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theme/themeOverride2.xml" ContentType="application/vnd.openxmlformats-officedocument.themeOverride+xml"/>
  <Override PartName="/word/charts/chart3.xml" ContentType="application/vnd.openxmlformats-officedocument.drawingml.chart+xml"/>
  <Override PartName="/word/theme/themeOverride3.xml" ContentType="application/vnd.openxmlformats-officedocument.themeOverride+xml"/>
  <Override PartName="/word/charts/chart4.xml" ContentType="application/vnd.openxmlformats-officedocument.drawingml.chart+xml"/>
  <Override PartName="/word/theme/themeOverride4.xml" ContentType="application/vnd.openxmlformats-officedocument.themeOverride+xml"/>
  <Override PartName="/word/charts/chart5.xml" ContentType="application/vnd.openxmlformats-officedocument.drawingml.chart+xml"/>
  <Override PartName="/word/theme/themeOverride5.xml" ContentType="application/vnd.openxmlformats-officedocument.themeOverride+xml"/>
  <Override PartName="/word/charts/chart6.xml" ContentType="application/vnd.openxmlformats-officedocument.drawingml.chart+xml"/>
  <Override PartName="/word/theme/themeOverride6.xml" ContentType="application/vnd.openxmlformats-officedocument.themeOverride+xml"/>
  <Override PartName="/word/charts/chart7.xml" ContentType="application/vnd.openxmlformats-officedocument.drawingml.chart+xml"/>
  <Override PartName="/word/theme/themeOverride7.xml" ContentType="application/vnd.openxmlformats-officedocument.themeOverride+xml"/>
  <Override PartName="/word/charts/chart8.xml" ContentType="application/vnd.openxmlformats-officedocument.drawingml.chart+xml"/>
  <Override PartName="/word/theme/themeOverride8.xml" ContentType="application/vnd.openxmlformats-officedocument.themeOverride+xml"/>
  <Override PartName="/word/charts/chart9.xml" ContentType="application/vnd.openxmlformats-officedocument.drawingml.chart+xml"/>
  <Override PartName="/word/theme/themeOverride9.xml" ContentType="application/vnd.openxmlformats-officedocument.themeOverride+xml"/>
  <Override PartName="/word/footer2.xml" ContentType="application/vnd.openxmlformats-officedocument.wordprocessingml.footer+xml"/>
  <Override PartName="/word/header2.xml" ContentType="application/vnd.openxmlformats-officedocument.wordprocessingml.header+xml"/>
  <Override PartName="/word/charts/chart10.xml" ContentType="application/vnd.openxmlformats-officedocument.drawingml.chart+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people.xml" ContentType="application/vnd.openxmlformats-officedocument.wordprocessingml.people+xml"/>
  <Override PartName="/word/commentsIds.xml" ContentType="application/vnd.openxmlformats-officedocument.wordprocessingml.commentsIds+xml"/>
  <Override PartName="/word/commentsExtended.xml" ContentType="application/vnd.openxmlformats-officedocument.wordprocessingml.commentsExtended+xml"/>
  <Override PartName="/word/commentsExtensible.xml" ContentType="application/vnd.openxmlformats-officedocument.wordprocessingml.commentsExtensible+xml"/>
  <Override PartName="/word/charts/style1.xml" ContentType="application/vnd.ms-office.chartstyle+xml"/>
  <Override PartName="/word/charts/colors1.xml" ContentType="application/vnd.ms-office.chartcolorsty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0F7BABCB" w14:textId="77777777" w:rsidR="00F12DD7" w:rsidRDefault="005959FD" w:rsidP="00F12DD7">
      <w:pPr>
        <w:pStyle w:val="BodyText"/>
      </w:pPr>
      <w:bookmarkStart w:id="0" w:name="Undo_Change_font_09x58z16"/>
      <w:bookmarkEnd w:id="0"/>
      <w:r>
        <w:rPr>
          <w:noProof/>
        </w:rPr>
        <w:drawing>
          <wp:anchor distT="0" distB="0" distL="114300" distR="114300" simplePos="0" relativeHeight="251686912" behindDoc="1" locked="0" layoutInCell="1" allowOverlap="1" wp14:anchorId="4F77AE51" wp14:editId="3D672E05">
            <wp:simplePos x="0" y="0"/>
            <wp:positionH relativeFrom="page">
              <wp:posOffset>-94615</wp:posOffset>
            </wp:positionH>
            <wp:positionV relativeFrom="page">
              <wp:posOffset>-1992342</wp:posOffset>
            </wp:positionV>
            <wp:extent cx="9048750" cy="6035040"/>
            <wp:effectExtent l="0" t="0" r="0" b="3810"/>
            <wp:wrapNone/>
            <wp:docPr id="3" name="Cover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cstate="print">
                      <a:extLst>
                        <a:ext uri="{28A0092B-C50C-407E-A947-70E740481C1C}">
                          <a14:useLocalDpi xmlns:a14="http://schemas.microsoft.com/office/drawing/2010/main" val="0"/>
                        </a:ext>
                      </a:extLst>
                    </a:blip>
                    <a:stretch>
                      <a:fillRect/>
                    </a:stretch>
                  </pic:blipFill>
                  <pic:spPr>
                    <a:xfrm>
                      <a:off x="0" y="0"/>
                      <a:ext cx="9048750" cy="6035040"/>
                    </a:xfrm>
                    <a:prstGeom prst="rect">
                      <a:avLst/>
                    </a:prstGeom>
                  </pic:spPr>
                </pic:pic>
              </a:graphicData>
            </a:graphic>
            <wp14:sizeRelH relativeFrom="margin">
              <wp14:pctWidth>0</wp14:pctWidth>
            </wp14:sizeRelH>
            <wp14:sizeRelV relativeFrom="margin">
              <wp14:pctHeight>0</wp14:pctHeight>
            </wp14:sizeRelV>
          </wp:anchor>
        </w:drawing>
      </w:r>
      <w:r w:rsidR="0030437A" w:rsidRPr="00A87365">
        <w:rPr>
          <w:noProof/>
        </w:rPr>
        <mc:AlternateContent>
          <mc:Choice Requires="wps">
            <w:drawing>
              <wp:anchor distT="0" distB="0" distL="114300" distR="114300" simplePos="0" relativeHeight="251688960" behindDoc="1" locked="0" layoutInCell="0" allowOverlap="1" wp14:anchorId="3A5D526E" wp14:editId="29300CEB">
                <wp:simplePos x="0" y="0"/>
                <wp:positionH relativeFrom="page">
                  <wp:align>left</wp:align>
                </wp:positionH>
                <wp:positionV relativeFrom="page">
                  <wp:align>bottom</wp:align>
                </wp:positionV>
                <wp:extent cx="7772400" cy="8549640"/>
                <wp:effectExtent l="0" t="0" r="0" b="3810"/>
                <wp:wrapNone/>
                <wp:docPr id="6" name="CoverLowerHalfBlue"/>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772400" cy="8549640"/>
                        </a:xfrm>
                        <a:custGeom>
                          <a:avLst/>
                          <a:gdLst>
                            <a:gd name="connsiteX0" fmla="*/ 4571406 w 7560000"/>
                            <a:gd name="connsiteY0" fmla="*/ 0 h 7092000"/>
                            <a:gd name="connsiteX1" fmla="*/ 7560000 w 7560000"/>
                            <a:gd name="connsiteY1" fmla="*/ 0 h 7092000"/>
                            <a:gd name="connsiteX2" fmla="*/ 7560000 w 7560000"/>
                            <a:gd name="connsiteY2" fmla="*/ 7092000 h 7092000"/>
                            <a:gd name="connsiteX3" fmla="*/ 4571923 w 7560000"/>
                            <a:gd name="connsiteY3" fmla="*/ 7092000 h 7092000"/>
                            <a:gd name="connsiteX4" fmla="*/ 4654753 w 7560000"/>
                            <a:gd name="connsiteY4" fmla="*/ 7088200 h 7092000"/>
                            <a:gd name="connsiteX5" fmla="*/ 5179738 w 7560000"/>
                            <a:gd name="connsiteY5" fmla="*/ 6637985 h 7092000"/>
                            <a:gd name="connsiteX6" fmla="*/ 7001861 w 7560000"/>
                            <a:gd name="connsiteY6" fmla="*/ 3501586 h 7092000"/>
                            <a:gd name="connsiteX7" fmla="*/ 7023108 w 7560000"/>
                            <a:gd name="connsiteY7" fmla="*/ 2930229 h 7092000"/>
                            <a:gd name="connsiteX8" fmla="*/ 5162578 w 7560000"/>
                            <a:gd name="connsiteY8" fmla="*/ 381384 h 7092000"/>
                            <a:gd name="connsiteX9" fmla="*/ 4654234 w 7560000"/>
                            <a:gd name="connsiteY9" fmla="*/ 3140 h 7092000"/>
                            <a:gd name="connsiteX10" fmla="*/ 0 w 7560000"/>
                            <a:gd name="connsiteY10" fmla="*/ 0 h 7092000"/>
                            <a:gd name="connsiteX11" fmla="*/ 975511 w 7560000"/>
                            <a:gd name="connsiteY11" fmla="*/ 0 h 7092000"/>
                            <a:gd name="connsiteX12" fmla="*/ 884357 w 7560000"/>
                            <a:gd name="connsiteY12" fmla="*/ 5209 h 7092000"/>
                            <a:gd name="connsiteX13" fmla="*/ 527812 w 7560000"/>
                            <a:gd name="connsiteY13" fmla="*/ 742134 h 7092000"/>
                            <a:gd name="connsiteX14" fmla="*/ 2340157 w 7560000"/>
                            <a:gd name="connsiteY14" fmla="*/ 3224908 h 7092000"/>
                            <a:gd name="connsiteX15" fmla="*/ 542413 w 7560000"/>
                            <a:gd name="connsiteY15" fmla="*/ 6318621 h 7092000"/>
                            <a:gd name="connsiteX16" fmla="*/ 884876 w 7560000"/>
                            <a:gd name="connsiteY16" fmla="*/ 7085695 h 7092000"/>
                            <a:gd name="connsiteX17" fmla="*/ 976028 w 7560000"/>
                            <a:gd name="connsiteY17" fmla="*/ 7092000 h 7092000"/>
                            <a:gd name="connsiteX18" fmla="*/ 0 w 7560000"/>
                            <a:gd name="connsiteY18" fmla="*/ 7092000 h 7092000"/>
                            <a:gd name="connsiteX0" fmla="*/ 4571406 w 7560000"/>
                            <a:gd name="connsiteY0" fmla="*/ 0 h 7092000"/>
                            <a:gd name="connsiteX1" fmla="*/ 7560000 w 7560000"/>
                            <a:gd name="connsiteY1" fmla="*/ 0 h 7092000"/>
                            <a:gd name="connsiteX2" fmla="*/ 7560000 w 7560000"/>
                            <a:gd name="connsiteY2" fmla="*/ 7092000 h 7092000"/>
                            <a:gd name="connsiteX3" fmla="*/ 4571923 w 7560000"/>
                            <a:gd name="connsiteY3" fmla="*/ 7092000 h 7092000"/>
                            <a:gd name="connsiteX4" fmla="*/ 4654753 w 7560000"/>
                            <a:gd name="connsiteY4" fmla="*/ 7088200 h 7092000"/>
                            <a:gd name="connsiteX5" fmla="*/ 5179738 w 7560000"/>
                            <a:gd name="connsiteY5" fmla="*/ 6637985 h 7092000"/>
                            <a:gd name="connsiteX6" fmla="*/ 6126743 w 7560000"/>
                            <a:gd name="connsiteY6" fmla="*/ 3436775 h 7092000"/>
                            <a:gd name="connsiteX7" fmla="*/ 7023108 w 7560000"/>
                            <a:gd name="connsiteY7" fmla="*/ 2930229 h 7092000"/>
                            <a:gd name="connsiteX8" fmla="*/ 5162578 w 7560000"/>
                            <a:gd name="connsiteY8" fmla="*/ 381384 h 7092000"/>
                            <a:gd name="connsiteX9" fmla="*/ 4654234 w 7560000"/>
                            <a:gd name="connsiteY9" fmla="*/ 3140 h 7092000"/>
                            <a:gd name="connsiteX10" fmla="*/ 4571406 w 7560000"/>
                            <a:gd name="connsiteY10" fmla="*/ 0 h 7092000"/>
                            <a:gd name="connsiteX11" fmla="*/ 0 w 7560000"/>
                            <a:gd name="connsiteY11" fmla="*/ 0 h 7092000"/>
                            <a:gd name="connsiteX12" fmla="*/ 975511 w 7560000"/>
                            <a:gd name="connsiteY12" fmla="*/ 0 h 7092000"/>
                            <a:gd name="connsiteX13" fmla="*/ 884357 w 7560000"/>
                            <a:gd name="connsiteY13" fmla="*/ 5209 h 7092000"/>
                            <a:gd name="connsiteX14" fmla="*/ 527812 w 7560000"/>
                            <a:gd name="connsiteY14" fmla="*/ 742134 h 7092000"/>
                            <a:gd name="connsiteX15" fmla="*/ 2340157 w 7560000"/>
                            <a:gd name="connsiteY15" fmla="*/ 3224908 h 7092000"/>
                            <a:gd name="connsiteX16" fmla="*/ 542413 w 7560000"/>
                            <a:gd name="connsiteY16" fmla="*/ 6318621 h 7092000"/>
                            <a:gd name="connsiteX17" fmla="*/ 884876 w 7560000"/>
                            <a:gd name="connsiteY17" fmla="*/ 7085695 h 7092000"/>
                            <a:gd name="connsiteX18" fmla="*/ 976028 w 7560000"/>
                            <a:gd name="connsiteY18" fmla="*/ 7092000 h 7092000"/>
                            <a:gd name="connsiteX19" fmla="*/ 0 w 7560000"/>
                            <a:gd name="connsiteY19" fmla="*/ 7092000 h 7092000"/>
                            <a:gd name="connsiteX20" fmla="*/ 0 w 7560000"/>
                            <a:gd name="connsiteY20" fmla="*/ 0 h 7092000"/>
                            <a:gd name="connsiteX0" fmla="*/ 4571406 w 7560000"/>
                            <a:gd name="connsiteY0" fmla="*/ 0 h 7092000"/>
                            <a:gd name="connsiteX1" fmla="*/ 7560000 w 7560000"/>
                            <a:gd name="connsiteY1" fmla="*/ 0 h 7092000"/>
                            <a:gd name="connsiteX2" fmla="*/ 7560000 w 7560000"/>
                            <a:gd name="connsiteY2" fmla="*/ 7092000 h 7092000"/>
                            <a:gd name="connsiteX3" fmla="*/ 4571923 w 7560000"/>
                            <a:gd name="connsiteY3" fmla="*/ 7092000 h 7092000"/>
                            <a:gd name="connsiteX4" fmla="*/ 4654753 w 7560000"/>
                            <a:gd name="connsiteY4" fmla="*/ 7088200 h 7092000"/>
                            <a:gd name="connsiteX5" fmla="*/ 5179738 w 7560000"/>
                            <a:gd name="connsiteY5" fmla="*/ 6637985 h 7092000"/>
                            <a:gd name="connsiteX6" fmla="*/ 6126743 w 7560000"/>
                            <a:gd name="connsiteY6" fmla="*/ 3436775 h 7092000"/>
                            <a:gd name="connsiteX7" fmla="*/ 5318989 w 7560000"/>
                            <a:gd name="connsiteY7" fmla="*/ 2110835 h 7092000"/>
                            <a:gd name="connsiteX8" fmla="*/ 5162578 w 7560000"/>
                            <a:gd name="connsiteY8" fmla="*/ 381384 h 7092000"/>
                            <a:gd name="connsiteX9" fmla="*/ 4654234 w 7560000"/>
                            <a:gd name="connsiteY9" fmla="*/ 3140 h 7092000"/>
                            <a:gd name="connsiteX10" fmla="*/ 4571406 w 7560000"/>
                            <a:gd name="connsiteY10" fmla="*/ 0 h 7092000"/>
                            <a:gd name="connsiteX11" fmla="*/ 0 w 7560000"/>
                            <a:gd name="connsiteY11" fmla="*/ 0 h 7092000"/>
                            <a:gd name="connsiteX12" fmla="*/ 975511 w 7560000"/>
                            <a:gd name="connsiteY12" fmla="*/ 0 h 7092000"/>
                            <a:gd name="connsiteX13" fmla="*/ 884357 w 7560000"/>
                            <a:gd name="connsiteY13" fmla="*/ 5209 h 7092000"/>
                            <a:gd name="connsiteX14" fmla="*/ 527812 w 7560000"/>
                            <a:gd name="connsiteY14" fmla="*/ 742134 h 7092000"/>
                            <a:gd name="connsiteX15" fmla="*/ 2340157 w 7560000"/>
                            <a:gd name="connsiteY15" fmla="*/ 3224908 h 7092000"/>
                            <a:gd name="connsiteX16" fmla="*/ 542413 w 7560000"/>
                            <a:gd name="connsiteY16" fmla="*/ 6318621 h 7092000"/>
                            <a:gd name="connsiteX17" fmla="*/ 884876 w 7560000"/>
                            <a:gd name="connsiteY17" fmla="*/ 7085695 h 7092000"/>
                            <a:gd name="connsiteX18" fmla="*/ 976028 w 7560000"/>
                            <a:gd name="connsiteY18" fmla="*/ 7092000 h 7092000"/>
                            <a:gd name="connsiteX19" fmla="*/ 0 w 7560000"/>
                            <a:gd name="connsiteY19" fmla="*/ 7092000 h 7092000"/>
                            <a:gd name="connsiteX20" fmla="*/ 0 w 7560000"/>
                            <a:gd name="connsiteY20" fmla="*/ 0 h 7092000"/>
                            <a:gd name="connsiteX0" fmla="*/ 4571406 w 7560000"/>
                            <a:gd name="connsiteY0" fmla="*/ 0 h 7092000"/>
                            <a:gd name="connsiteX1" fmla="*/ 7560000 w 7560000"/>
                            <a:gd name="connsiteY1" fmla="*/ 0 h 7092000"/>
                            <a:gd name="connsiteX2" fmla="*/ 7560000 w 7560000"/>
                            <a:gd name="connsiteY2" fmla="*/ 7092000 h 7092000"/>
                            <a:gd name="connsiteX3" fmla="*/ 4571923 w 7560000"/>
                            <a:gd name="connsiteY3" fmla="*/ 7092000 h 7092000"/>
                            <a:gd name="connsiteX4" fmla="*/ 4654753 w 7560000"/>
                            <a:gd name="connsiteY4" fmla="*/ 7088200 h 7092000"/>
                            <a:gd name="connsiteX5" fmla="*/ 5179738 w 7560000"/>
                            <a:gd name="connsiteY5" fmla="*/ 6637985 h 7092000"/>
                            <a:gd name="connsiteX6" fmla="*/ 6126743 w 7560000"/>
                            <a:gd name="connsiteY6" fmla="*/ 3436775 h 7092000"/>
                            <a:gd name="connsiteX7" fmla="*/ 5318989 w 7560000"/>
                            <a:gd name="connsiteY7" fmla="*/ 2110835 h 7092000"/>
                            <a:gd name="connsiteX8" fmla="*/ 5162578 w 7560000"/>
                            <a:gd name="connsiteY8" fmla="*/ 381384 h 7092000"/>
                            <a:gd name="connsiteX9" fmla="*/ 4654234 w 7560000"/>
                            <a:gd name="connsiteY9" fmla="*/ 3140 h 7092000"/>
                            <a:gd name="connsiteX10" fmla="*/ 4571406 w 7560000"/>
                            <a:gd name="connsiteY10" fmla="*/ 0 h 7092000"/>
                            <a:gd name="connsiteX11" fmla="*/ 0 w 7560000"/>
                            <a:gd name="connsiteY11" fmla="*/ 0 h 7092000"/>
                            <a:gd name="connsiteX12" fmla="*/ 975511 w 7560000"/>
                            <a:gd name="connsiteY12" fmla="*/ 0 h 7092000"/>
                            <a:gd name="connsiteX13" fmla="*/ 884357 w 7560000"/>
                            <a:gd name="connsiteY13" fmla="*/ 5209 h 7092000"/>
                            <a:gd name="connsiteX14" fmla="*/ 527812 w 7560000"/>
                            <a:gd name="connsiteY14" fmla="*/ 742134 h 7092000"/>
                            <a:gd name="connsiteX15" fmla="*/ 3958760 w 7560000"/>
                            <a:gd name="connsiteY15" fmla="*/ 1634564 h 7092000"/>
                            <a:gd name="connsiteX16" fmla="*/ 542413 w 7560000"/>
                            <a:gd name="connsiteY16" fmla="*/ 6318621 h 7092000"/>
                            <a:gd name="connsiteX17" fmla="*/ 884876 w 7560000"/>
                            <a:gd name="connsiteY17" fmla="*/ 7085695 h 7092000"/>
                            <a:gd name="connsiteX18" fmla="*/ 976028 w 7560000"/>
                            <a:gd name="connsiteY18" fmla="*/ 7092000 h 7092000"/>
                            <a:gd name="connsiteX19" fmla="*/ 0 w 7560000"/>
                            <a:gd name="connsiteY19" fmla="*/ 7092000 h 7092000"/>
                            <a:gd name="connsiteX20" fmla="*/ 0 w 7560000"/>
                            <a:gd name="connsiteY20" fmla="*/ 0 h 7092000"/>
                            <a:gd name="connsiteX0" fmla="*/ 4571406 w 7560000"/>
                            <a:gd name="connsiteY0" fmla="*/ 0 h 7092000"/>
                            <a:gd name="connsiteX1" fmla="*/ 7560000 w 7560000"/>
                            <a:gd name="connsiteY1" fmla="*/ 0 h 7092000"/>
                            <a:gd name="connsiteX2" fmla="*/ 7560000 w 7560000"/>
                            <a:gd name="connsiteY2" fmla="*/ 7092000 h 7092000"/>
                            <a:gd name="connsiteX3" fmla="*/ 4571923 w 7560000"/>
                            <a:gd name="connsiteY3" fmla="*/ 7092000 h 7092000"/>
                            <a:gd name="connsiteX4" fmla="*/ 4654753 w 7560000"/>
                            <a:gd name="connsiteY4" fmla="*/ 7088200 h 7092000"/>
                            <a:gd name="connsiteX5" fmla="*/ 5179738 w 7560000"/>
                            <a:gd name="connsiteY5" fmla="*/ 6637985 h 7092000"/>
                            <a:gd name="connsiteX6" fmla="*/ 4221661 w 7560000"/>
                            <a:gd name="connsiteY6" fmla="*/ 2388978 h 7092000"/>
                            <a:gd name="connsiteX7" fmla="*/ 5318989 w 7560000"/>
                            <a:gd name="connsiteY7" fmla="*/ 2110835 h 7092000"/>
                            <a:gd name="connsiteX8" fmla="*/ 5162578 w 7560000"/>
                            <a:gd name="connsiteY8" fmla="*/ 381384 h 7092000"/>
                            <a:gd name="connsiteX9" fmla="*/ 4654234 w 7560000"/>
                            <a:gd name="connsiteY9" fmla="*/ 3140 h 7092000"/>
                            <a:gd name="connsiteX10" fmla="*/ 4571406 w 7560000"/>
                            <a:gd name="connsiteY10" fmla="*/ 0 h 7092000"/>
                            <a:gd name="connsiteX11" fmla="*/ 0 w 7560000"/>
                            <a:gd name="connsiteY11" fmla="*/ 0 h 7092000"/>
                            <a:gd name="connsiteX12" fmla="*/ 975511 w 7560000"/>
                            <a:gd name="connsiteY12" fmla="*/ 0 h 7092000"/>
                            <a:gd name="connsiteX13" fmla="*/ 884357 w 7560000"/>
                            <a:gd name="connsiteY13" fmla="*/ 5209 h 7092000"/>
                            <a:gd name="connsiteX14" fmla="*/ 527812 w 7560000"/>
                            <a:gd name="connsiteY14" fmla="*/ 742134 h 7092000"/>
                            <a:gd name="connsiteX15" fmla="*/ 3958760 w 7560000"/>
                            <a:gd name="connsiteY15" fmla="*/ 1634564 h 7092000"/>
                            <a:gd name="connsiteX16" fmla="*/ 542413 w 7560000"/>
                            <a:gd name="connsiteY16" fmla="*/ 6318621 h 7092000"/>
                            <a:gd name="connsiteX17" fmla="*/ 884876 w 7560000"/>
                            <a:gd name="connsiteY17" fmla="*/ 7085695 h 7092000"/>
                            <a:gd name="connsiteX18" fmla="*/ 976028 w 7560000"/>
                            <a:gd name="connsiteY18" fmla="*/ 7092000 h 7092000"/>
                            <a:gd name="connsiteX19" fmla="*/ 0 w 7560000"/>
                            <a:gd name="connsiteY19" fmla="*/ 7092000 h 7092000"/>
                            <a:gd name="connsiteX20" fmla="*/ 0 w 7560000"/>
                            <a:gd name="connsiteY20" fmla="*/ 0 h 7092000"/>
                            <a:gd name="connsiteX0" fmla="*/ 4571406 w 7560000"/>
                            <a:gd name="connsiteY0" fmla="*/ 0 h 7092000"/>
                            <a:gd name="connsiteX1" fmla="*/ 7560000 w 7560000"/>
                            <a:gd name="connsiteY1" fmla="*/ 0 h 7092000"/>
                            <a:gd name="connsiteX2" fmla="*/ 7560000 w 7560000"/>
                            <a:gd name="connsiteY2" fmla="*/ 7092000 h 7092000"/>
                            <a:gd name="connsiteX3" fmla="*/ 4571923 w 7560000"/>
                            <a:gd name="connsiteY3" fmla="*/ 7092000 h 7092000"/>
                            <a:gd name="connsiteX4" fmla="*/ 4654753 w 7560000"/>
                            <a:gd name="connsiteY4" fmla="*/ 7088200 h 7092000"/>
                            <a:gd name="connsiteX5" fmla="*/ 2865243 w 7560000"/>
                            <a:gd name="connsiteY5" fmla="*/ 4179759 h 7092000"/>
                            <a:gd name="connsiteX6" fmla="*/ 4221661 w 7560000"/>
                            <a:gd name="connsiteY6" fmla="*/ 2388978 h 7092000"/>
                            <a:gd name="connsiteX7" fmla="*/ 5318989 w 7560000"/>
                            <a:gd name="connsiteY7" fmla="*/ 2110835 h 7092000"/>
                            <a:gd name="connsiteX8" fmla="*/ 5162578 w 7560000"/>
                            <a:gd name="connsiteY8" fmla="*/ 381384 h 7092000"/>
                            <a:gd name="connsiteX9" fmla="*/ 4654234 w 7560000"/>
                            <a:gd name="connsiteY9" fmla="*/ 3140 h 7092000"/>
                            <a:gd name="connsiteX10" fmla="*/ 4571406 w 7560000"/>
                            <a:gd name="connsiteY10" fmla="*/ 0 h 7092000"/>
                            <a:gd name="connsiteX11" fmla="*/ 0 w 7560000"/>
                            <a:gd name="connsiteY11" fmla="*/ 0 h 7092000"/>
                            <a:gd name="connsiteX12" fmla="*/ 975511 w 7560000"/>
                            <a:gd name="connsiteY12" fmla="*/ 0 h 7092000"/>
                            <a:gd name="connsiteX13" fmla="*/ 884357 w 7560000"/>
                            <a:gd name="connsiteY13" fmla="*/ 5209 h 7092000"/>
                            <a:gd name="connsiteX14" fmla="*/ 527812 w 7560000"/>
                            <a:gd name="connsiteY14" fmla="*/ 742134 h 7092000"/>
                            <a:gd name="connsiteX15" fmla="*/ 3958760 w 7560000"/>
                            <a:gd name="connsiteY15" fmla="*/ 1634564 h 7092000"/>
                            <a:gd name="connsiteX16" fmla="*/ 542413 w 7560000"/>
                            <a:gd name="connsiteY16" fmla="*/ 6318621 h 7092000"/>
                            <a:gd name="connsiteX17" fmla="*/ 884876 w 7560000"/>
                            <a:gd name="connsiteY17" fmla="*/ 7085695 h 7092000"/>
                            <a:gd name="connsiteX18" fmla="*/ 976028 w 7560000"/>
                            <a:gd name="connsiteY18" fmla="*/ 7092000 h 7092000"/>
                            <a:gd name="connsiteX19" fmla="*/ 0 w 7560000"/>
                            <a:gd name="connsiteY19" fmla="*/ 7092000 h 7092000"/>
                            <a:gd name="connsiteX20" fmla="*/ 0 w 7560000"/>
                            <a:gd name="connsiteY20" fmla="*/ 0 h 7092000"/>
                            <a:gd name="connsiteX0" fmla="*/ 4571406 w 7560000"/>
                            <a:gd name="connsiteY0" fmla="*/ 0 h 7092000"/>
                            <a:gd name="connsiteX1" fmla="*/ 7560000 w 7560000"/>
                            <a:gd name="connsiteY1" fmla="*/ 0 h 7092000"/>
                            <a:gd name="connsiteX2" fmla="*/ 7560000 w 7560000"/>
                            <a:gd name="connsiteY2" fmla="*/ 7092000 h 7092000"/>
                            <a:gd name="connsiteX3" fmla="*/ 4571923 w 7560000"/>
                            <a:gd name="connsiteY3" fmla="*/ 7092000 h 7092000"/>
                            <a:gd name="connsiteX4" fmla="*/ 2198465 w 7560000"/>
                            <a:gd name="connsiteY4" fmla="*/ 5002756 h 7092000"/>
                            <a:gd name="connsiteX5" fmla="*/ 2865243 w 7560000"/>
                            <a:gd name="connsiteY5" fmla="*/ 4179759 h 7092000"/>
                            <a:gd name="connsiteX6" fmla="*/ 4221661 w 7560000"/>
                            <a:gd name="connsiteY6" fmla="*/ 2388978 h 7092000"/>
                            <a:gd name="connsiteX7" fmla="*/ 5318989 w 7560000"/>
                            <a:gd name="connsiteY7" fmla="*/ 2110835 h 7092000"/>
                            <a:gd name="connsiteX8" fmla="*/ 5162578 w 7560000"/>
                            <a:gd name="connsiteY8" fmla="*/ 381384 h 7092000"/>
                            <a:gd name="connsiteX9" fmla="*/ 4654234 w 7560000"/>
                            <a:gd name="connsiteY9" fmla="*/ 3140 h 7092000"/>
                            <a:gd name="connsiteX10" fmla="*/ 4571406 w 7560000"/>
                            <a:gd name="connsiteY10" fmla="*/ 0 h 7092000"/>
                            <a:gd name="connsiteX11" fmla="*/ 0 w 7560000"/>
                            <a:gd name="connsiteY11" fmla="*/ 0 h 7092000"/>
                            <a:gd name="connsiteX12" fmla="*/ 975511 w 7560000"/>
                            <a:gd name="connsiteY12" fmla="*/ 0 h 7092000"/>
                            <a:gd name="connsiteX13" fmla="*/ 884357 w 7560000"/>
                            <a:gd name="connsiteY13" fmla="*/ 5209 h 7092000"/>
                            <a:gd name="connsiteX14" fmla="*/ 527812 w 7560000"/>
                            <a:gd name="connsiteY14" fmla="*/ 742134 h 7092000"/>
                            <a:gd name="connsiteX15" fmla="*/ 3958760 w 7560000"/>
                            <a:gd name="connsiteY15" fmla="*/ 1634564 h 7092000"/>
                            <a:gd name="connsiteX16" fmla="*/ 542413 w 7560000"/>
                            <a:gd name="connsiteY16" fmla="*/ 6318621 h 7092000"/>
                            <a:gd name="connsiteX17" fmla="*/ 884876 w 7560000"/>
                            <a:gd name="connsiteY17" fmla="*/ 7085695 h 7092000"/>
                            <a:gd name="connsiteX18" fmla="*/ 976028 w 7560000"/>
                            <a:gd name="connsiteY18" fmla="*/ 7092000 h 7092000"/>
                            <a:gd name="connsiteX19" fmla="*/ 0 w 7560000"/>
                            <a:gd name="connsiteY19" fmla="*/ 7092000 h 7092000"/>
                            <a:gd name="connsiteX20" fmla="*/ 0 w 7560000"/>
                            <a:gd name="connsiteY20" fmla="*/ 0 h 7092000"/>
                            <a:gd name="connsiteX0" fmla="*/ 4571406 w 7560000"/>
                            <a:gd name="connsiteY0" fmla="*/ 0 h 7092000"/>
                            <a:gd name="connsiteX1" fmla="*/ 7560000 w 7560000"/>
                            <a:gd name="connsiteY1" fmla="*/ 0 h 7092000"/>
                            <a:gd name="connsiteX2" fmla="*/ 7560000 w 7560000"/>
                            <a:gd name="connsiteY2" fmla="*/ 7092000 h 7092000"/>
                            <a:gd name="connsiteX3" fmla="*/ 1162100 w 7560000"/>
                            <a:gd name="connsiteY3" fmla="*/ 6149617 h 7092000"/>
                            <a:gd name="connsiteX4" fmla="*/ 2198465 w 7560000"/>
                            <a:gd name="connsiteY4" fmla="*/ 5002756 h 7092000"/>
                            <a:gd name="connsiteX5" fmla="*/ 2865243 w 7560000"/>
                            <a:gd name="connsiteY5" fmla="*/ 4179759 h 7092000"/>
                            <a:gd name="connsiteX6" fmla="*/ 4221661 w 7560000"/>
                            <a:gd name="connsiteY6" fmla="*/ 2388978 h 7092000"/>
                            <a:gd name="connsiteX7" fmla="*/ 5318989 w 7560000"/>
                            <a:gd name="connsiteY7" fmla="*/ 2110835 h 7092000"/>
                            <a:gd name="connsiteX8" fmla="*/ 5162578 w 7560000"/>
                            <a:gd name="connsiteY8" fmla="*/ 381384 h 7092000"/>
                            <a:gd name="connsiteX9" fmla="*/ 4654234 w 7560000"/>
                            <a:gd name="connsiteY9" fmla="*/ 3140 h 7092000"/>
                            <a:gd name="connsiteX10" fmla="*/ 4571406 w 7560000"/>
                            <a:gd name="connsiteY10" fmla="*/ 0 h 7092000"/>
                            <a:gd name="connsiteX11" fmla="*/ 0 w 7560000"/>
                            <a:gd name="connsiteY11" fmla="*/ 0 h 7092000"/>
                            <a:gd name="connsiteX12" fmla="*/ 975511 w 7560000"/>
                            <a:gd name="connsiteY12" fmla="*/ 0 h 7092000"/>
                            <a:gd name="connsiteX13" fmla="*/ 884357 w 7560000"/>
                            <a:gd name="connsiteY13" fmla="*/ 5209 h 7092000"/>
                            <a:gd name="connsiteX14" fmla="*/ 527812 w 7560000"/>
                            <a:gd name="connsiteY14" fmla="*/ 742134 h 7092000"/>
                            <a:gd name="connsiteX15" fmla="*/ 3958760 w 7560000"/>
                            <a:gd name="connsiteY15" fmla="*/ 1634564 h 7092000"/>
                            <a:gd name="connsiteX16" fmla="*/ 542413 w 7560000"/>
                            <a:gd name="connsiteY16" fmla="*/ 6318621 h 7092000"/>
                            <a:gd name="connsiteX17" fmla="*/ 884876 w 7560000"/>
                            <a:gd name="connsiteY17" fmla="*/ 7085695 h 7092000"/>
                            <a:gd name="connsiteX18" fmla="*/ 976028 w 7560000"/>
                            <a:gd name="connsiteY18" fmla="*/ 7092000 h 7092000"/>
                            <a:gd name="connsiteX19" fmla="*/ 0 w 7560000"/>
                            <a:gd name="connsiteY19" fmla="*/ 7092000 h 7092000"/>
                            <a:gd name="connsiteX20" fmla="*/ 0 w 7560000"/>
                            <a:gd name="connsiteY20" fmla="*/ 0 h 7092000"/>
                            <a:gd name="connsiteX0" fmla="*/ 4571406 w 7560000"/>
                            <a:gd name="connsiteY0" fmla="*/ 0 h 7092000"/>
                            <a:gd name="connsiteX1" fmla="*/ 7560000 w 7560000"/>
                            <a:gd name="connsiteY1" fmla="*/ 0 h 7092000"/>
                            <a:gd name="connsiteX2" fmla="*/ 7560000 w 7560000"/>
                            <a:gd name="connsiteY2" fmla="*/ 7092000 h 7092000"/>
                            <a:gd name="connsiteX3" fmla="*/ 1097327 w 7560000"/>
                            <a:gd name="connsiteY3" fmla="*/ 7083110 h 7092000"/>
                            <a:gd name="connsiteX4" fmla="*/ 2198465 w 7560000"/>
                            <a:gd name="connsiteY4" fmla="*/ 5002756 h 7092000"/>
                            <a:gd name="connsiteX5" fmla="*/ 2865243 w 7560000"/>
                            <a:gd name="connsiteY5" fmla="*/ 4179759 h 7092000"/>
                            <a:gd name="connsiteX6" fmla="*/ 4221661 w 7560000"/>
                            <a:gd name="connsiteY6" fmla="*/ 2388978 h 7092000"/>
                            <a:gd name="connsiteX7" fmla="*/ 5318989 w 7560000"/>
                            <a:gd name="connsiteY7" fmla="*/ 2110835 h 7092000"/>
                            <a:gd name="connsiteX8" fmla="*/ 5162578 w 7560000"/>
                            <a:gd name="connsiteY8" fmla="*/ 381384 h 7092000"/>
                            <a:gd name="connsiteX9" fmla="*/ 4654234 w 7560000"/>
                            <a:gd name="connsiteY9" fmla="*/ 3140 h 7092000"/>
                            <a:gd name="connsiteX10" fmla="*/ 4571406 w 7560000"/>
                            <a:gd name="connsiteY10" fmla="*/ 0 h 7092000"/>
                            <a:gd name="connsiteX11" fmla="*/ 0 w 7560000"/>
                            <a:gd name="connsiteY11" fmla="*/ 0 h 7092000"/>
                            <a:gd name="connsiteX12" fmla="*/ 975511 w 7560000"/>
                            <a:gd name="connsiteY12" fmla="*/ 0 h 7092000"/>
                            <a:gd name="connsiteX13" fmla="*/ 884357 w 7560000"/>
                            <a:gd name="connsiteY13" fmla="*/ 5209 h 7092000"/>
                            <a:gd name="connsiteX14" fmla="*/ 527812 w 7560000"/>
                            <a:gd name="connsiteY14" fmla="*/ 742134 h 7092000"/>
                            <a:gd name="connsiteX15" fmla="*/ 3958760 w 7560000"/>
                            <a:gd name="connsiteY15" fmla="*/ 1634564 h 7092000"/>
                            <a:gd name="connsiteX16" fmla="*/ 542413 w 7560000"/>
                            <a:gd name="connsiteY16" fmla="*/ 6318621 h 7092000"/>
                            <a:gd name="connsiteX17" fmla="*/ 884876 w 7560000"/>
                            <a:gd name="connsiteY17" fmla="*/ 7085695 h 7092000"/>
                            <a:gd name="connsiteX18" fmla="*/ 976028 w 7560000"/>
                            <a:gd name="connsiteY18" fmla="*/ 7092000 h 7092000"/>
                            <a:gd name="connsiteX19" fmla="*/ 0 w 7560000"/>
                            <a:gd name="connsiteY19" fmla="*/ 7092000 h 7092000"/>
                            <a:gd name="connsiteX20" fmla="*/ 0 w 7560000"/>
                            <a:gd name="connsiteY20" fmla="*/ 0 h 7092000"/>
                            <a:gd name="connsiteX0" fmla="*/ 4571406 w 7560000"/>
                            <a:gd name="connsiteY0" fmla="*/ 0 h 7092000"/>
                            <a:gd name="connsiteX1" fmla="*/ 7560000 w 7560000"/>
                            <a:gd name="connsiteY1" fmla="*/ 0 h 7092000"/>
                            <a:gd name="connsiteX2" fmla="*/ 7560000 w 7560000"/>
                            <a:gd name="connsiteY2" fmla="*/ 7092000 h 7092000"/>
                            <a:gd name="connsiteX3" fmla="*/ 1097327 w 7560000"/>
                            <a:gd name="connsiteY3" fmla="*/ 7083110 h 7092000"/>
                            <a:gd name="connsiteX4" fmla="*/ 2198465 w 7560000"/>
                            <a:gd name="connsiteY4" fmla="*/ 5002756 h 7092000"/>
                            <a:gd name="connsiteX5" fmla="*/ 2865243 w 7560000"/>
                            <a:gd name="connsiteY5" fmla="*/ 4179759 h 7092000"/>
                            <a:gd name="connsiteX6" fmla="*/ 4221661 w 7560000"/>
                            <a:gd name="connsiteY6" fmla="*/ 2388978 h 7092000"/>
                            <a:gd name="connsiteX7" fmla="*/ 5162578 w 7560000"/>
                            <a:gd name="connsiteY7" fmla="*/ 381384 h 7092000"/>
                            <a:gd name="connsiteX8" fmla="*/ 4654234 w 7560000"/>
                            <a:gd name="connsiteY8" fmla="*/ 3140 h 7092000"/>
                            <a:gd name="connsiteX9" fmla="*/ 4571406 w 7560000"/>
                            <a:gd name="connsiteY9" fmla="*/ 0 h 7092000"/>
                            <a:gd name="connsiteX10" fmla="*/ 0 w 7560000"/>
                            <a:gd name="connsiteY10" fmla="*/ 0 h 7092000"/>
                            <a:gd name="connsiteX11" fmla="*/ 975511 w 7560000"/>
                            <a:gd name="connsiteY11" fmla="*/ 0 h 7092000"/>
                            <a:gd name="connsiteX12" fmla="*/ 884357 w 7560000"/>
                            <a:gd name="connsiteY12" fmla="*/ 5209 h 7092000"/>
                            <a:gd name="connsiteX13" fmla="*/ 527812 w 7560000"/>
                            <a:gd name="connsiteY13" fmla="*/ 742134 h 7092000"/>
                            <a:gd name="connsiteX14" fmla="*/ 3958760 w 7560000"/>
                            <a:gd name="connsiteY14" fmla="*/ 1634564 h 7092000"/>
                            <a:gd name="connsiteX15" fmla="*/ 542413 w 7560000"/>
                            <a:gd name="connsiteY15" fmla="*/ 6318621 h 7092000"/>
                            <a:gd name="connsiteX16" fmla="*/ 884876 w 7560000"/>
                            <a:gd name="connsiteY16" fmla="*/ 7085695 h 7092000"/>
                            <a:gd name="connsiteX17" fmla="*/ 976028 w 7560000"/>
                            <a:gd name="connsiteY17" fmla="*/ 7092000 h 7092000"/>
                            <a:gd name="connsiteX18" fmla="*/ 0 w 7560000"/>
                            <a:gd name="connsiteY18" fmla="*/ 7092000 h 7092000"/>
                            <a:gd name="connsiteX19" fmla="*/ 0 w 7560000"/>
                            <a:gd name="connsiteY19" fmla="*/ 0 h 7092000"/>
                            <a:gd name="connsiteX0" fmla="*/ 4571406 w 7560000"/>
                            <a:gd name="connsiteY0" fmla="*/ 83969 h 7175969"/>
                            <a:gd name="connsiteX1" fmla="*/ 7560000 w 7560000"/>
                            <a:gd name="connsiteY1" fmla="*/ 83969 h 7175969"/>
                            <a:gd name="connsiteX2" fmla="*/ 7560000 w 7560000"/>
                            <a:gd name="connsiteY2" fmla="*/ 7175969 h 7175969"/>
                            <a:gd name="connsiteX3" fmla="*/ 1097327 w 7560000"/>
                            <a:gd name="connsiteY3" fmla="*/ 7167079 h 7175969"/>
                            <a:gd name="connsiteX4" fmla="*/ 2198465 w 7560000"/>
                            <a:gd name="connsiteY4" fmla="*/ 5086725 h 7175969"/>
                            <a:gd name="connsiteX5" fmla="*/ 2865243 w 7560000"/>
                            <a:gd name="connsiteY5" fmla="*/ 4263728 h 7175969"/>
                            <a:gd name="connsiteX6" fmla="*/ 4221661 w 7560000"/>
                            <a:gd name="connsiteY6" fmla="*/ 2472947 h 7175969"/>
                            <a:gd name="connsiteX7" fmla="*/ 5162578 w 7560000"/>
                            <a:gd name="connsiteY7" fmla="*/ 465353 h 7175969"/>
                            <a:gd name="connsiteX8" fmla="*/ 4654234 w 7560000"/>
                            <a:gd name="connsiteY8" fmla="*/ 87109 h 7175969"/>
                            <a:gd name="connsiteX9" fmla="*/ 4571406 w 7560000"/>
                            <a:gd name="connsiteY9" fmla="*/ 83969 h 7175969"/>
                            <a:gd name="connsiteX10" fmla="*/ 0 w 7560000"/>
                            <a:gd name="connsiteY10" fmla="*/ 83969 h 7175969"/>
                            <a:gd name="connsiteX11" fmla="*/ 975511 w 7560000"/>
                            <a:gd name="connsiteY11" fmla="*/ 83969 h 7175969"/>
                            <a:gd name="connsiteX12" fmla="*/ 884357 w 7560000"/>
                            <a:gd name="connsiteY12" fmla="*/ 89178 h 7175969"/>
                            <a:gd name="connsiteX13" fmla="*/ 4309295 w 7560000"/>
                            <a:gd name="connsiteY13" fmla="*/ 1272743 h 7175969"/>
                            <a:gd name="connsiteX14" fmla="*/ 3958760 w 7560000"/>
                            <a:gd name="connsiteY14" fmla="*/ 1718533 h 7175969"/>
                            <a:gd name="connsiteX15" fmla="*/ 542413 w 7560000"/>
                            <a:gd name="connsiteY15" fmla="*/ 6402590 h 7175969"/>
                            <a:gd name="connsiteX16" fmla="*/ 884876 w 7560000"/>
                            <a:gd name="connsiteY16" fmla="*/ 7169664 h 7175969"/>
                            <a:gd name="connsiteX17" fmla="*/ 976028 w 7560000"/>
                            <a:gd name="connsiteY17" fmla="*/ 7175969 h 7175969"/>
                            <a:gd name="connsiteX18" fmla="*/ 0 w 7560000"/>
                            <a:gd name="connsiteY18" fmla="*/ 7175969 h 7175969"/>
                            <a:gd name="connsiteX19" fmla="*/ 0 w 7560000"/>
                            <a:gd name="connsiteY19" fmla="*/ 83969 h 7175969"/>
                            <a:gd name="connsiteX0" fmla="*/ 4571406 w 7560000"/>
                            <a:gd name="connsiteY0" fmla="*/ 0 h 7092000"/>
                            <a:gd name="connsiteX1" fmla="*/ 7560000 w 7560000"/>
                            <a:gd name="connsiteY1" fmla="*/ 0 h 7092000"/>
                            <a:gd name="connsiteX2" fmla="*/ 7560000 w 7560000"/>
                            <a:gd name="connsiteY2" fmla="*/ 7092000 h 7092000"/>
                            <a:gd name="connsiteX3" fmla="*/ 1097327 w 7560000"/>
                            <a:gd name="connsiteY3" fmla="*/ 7083110 h 7092000"/>
                            <a:gd name="connsiteX4" fmla="*/ 2198465 w 7560000"/>
                            <a:gd name="connsiteY4" fmla="*/ 5002756 h 7092000"/>
                            <a:gd name="connsiteX5" fmla="*/ 2865243 w 7560000"/>
                            <a:gd name="connsiteY5" fmla="*/ 4179759 h 7092000"/>
                            <a:gd name="connsiteX6" fmla="*/ 4221661 w 7560000"/>
                            <a:gd name="connsiteY6" fmla="*/ 2388978 h 7092000"/>
                            <a:gd name="connsiteX7" fmla="*/ 5162578 w 7560000"/>
                            <a:gd name="connsiteY7" fmla="*/ 381384 h 7092000"/>
                            <a:gd name="connsiteX8" fmla="*/ 4654234 w 7560000"/>
                            <a:gd name="connsiteY8" fmla="*/ 3140 h 7092000"/>
                            <a:gd name="connsiteX9" fmla="*/ 4571406 w 7560000"/>
                            <a:gd name="connsiteY9" fmla="*/ 0 h 7092000"/>
                            <a:gd name="connsiteX10" fmla="*/ 0 w 7560000"/>
                            <a:gd name="connsiteY10" fmla="*/ 0 h 7092000"/>
                            <a:gd name="connsiteX11" fmla="*/ 975511 w 7560000"/>
                            <a:gd name="connsiteY11" fmla="*/ 0 h 7092000"/>
                            <a:gd name="connsiteX12" fmla="*/ 1257354 w 7560000"/>
                            <a:gd name="connsiteY12" fmla="*/ 1091493 h 7092000"/>
                            <a:gd name="connsiteX13" fmla="*/ 4309295 w 7560000"/>
                            <a:gd name="connsiteY13" fmla="*/ 1188774 h 7092000"/>
                            <a:gd name="connsiteX14" fmla="*/ 3958760 w 7560000"/>
                            <a:gd name="connsiteY14" fmla="*/ 1634564 h 7092000"/>
                            <a:gd name="connsiteX15" fmla="*/ 542413 w 7560000"/>
                            <a:gd name="connsiteY15" fmla="*/ 6318621 h 7092000"/>
                            <a:gd name="connsiteX16" fmla="*/ 884876 w 7560000"/>
                            <a:gd name="connsiteY16" fmla="*/ 7085695 h 7092000"/>
                            <a:gd name="connsiteX17" fmla="*/ 976028 w 7560000"/>
                            <a:gd name="connsiteY17" fmla="*/ 7092000 h 7092000"/>
                            <a:gd name="connsiteX18" fmla="*/ 0 w 7560000"/>
                            <a:gd name="connsiteY18" fmla="*/ 7092000 h 7092000"/>
                            <a:gd name="connsiteX19" fmla="*/ 0 w 7560000"/>
                            <a:gd name="connsiteY19" fmla="*/ 0 h 7092000"/>
                            <a:gd name="connsiteX0" fmla="*/ 4571406 w 7560000"/>
                            <a:gd name="connsiteY0" fmla="*/ 0 h 7092000"/>
                            <a:gd name="connsiteX1" fmla="*/ 7560000 w 7560000"/>
                            <a:gd name="connsiteY1" fmla="*/ 0 h 7092000"/>
                            <a:gd name="connsiteX2" fmla="*/ 7560000 w 7560000"/>
                            <a:gd name="connsiteY2" fmla="*/ 7092000 h 7092000"/>
                            <a:gd name="connsiteX3" fmla="*/ 1097327 w 7560000"/>
                            <a:gd name="connsiteY3" fmla="*/ 7083110 h 7092000"/>
                            <a:gd name="connsiteX4" fmla="*/ 2198465 w 7560000"/>
                            <a:gd name="connsiteY4" fmla="*/ 5002756 h 7092000"/>
                            <a:gd name="connsiteX5" fmla="*/ 2865243 w 7560000"/>
                            <a:gd name="connsiteY5" fmla="*/ 4179759 h 7092000"/>
                            <a:gd name="connsiteX6" fmla="*/ 4221661 w 7560000"/>
                            <a:gd name="connsiteY6" fmla="*/ 2388978 h 7092000"/>
                            <a:gd name="connsiteX7" fmla="*/ 5162578 w 7560000"/>
                            <a:gd name="connsiteY7" fmla="*/ 381384 h 7092000"/>
                            <a:gd name="connsiteX8" fmla="*/ 4654234 w 7560000"/>
                            <a:gd name="connsiteY8" fmla="*/ 3140 h 7092000"/>
                            <a:gd name="connsiteX9" fmla="*/ 4571406 w 7560000"/>
                            <a:gd name="connsiteY9" fmla="*/ 0 h 7092000"/>
                            <a:gd name="connsiteX10" fmla="*/ 0 w 7560000"/>
                            <a:gd name="connsiteY10" fmla="*/ 0 h 7092000"/>
                            <a:gd name="connsiteX11" fmla="*/ 1257354 w 7560000"/>
                            <a:gd name="connsiteY11" fmla="*/ 1091493 h 7092000"/>
                            <a:gd name="connsiteX12" fmla="*/ 4309295 w 7560000"/>
                            <a:gd name="connsiteY12" fmla="*/ 1188774 h 7092000"/>
                            <a:gd name="connsiteX13" fmla="*/ 3958760 w 7560000"/>
                            <a:gd name="connsiteY13" fmla="*/ 1634564 h 7092000"/>
                            <a:gd name="connsiteX14" fmla="*/ 542413 w 7560000"/>
                            <a:gd name="connsiteY14" fmla="*/ 6318621 h 7092000"/>
                            <a:gd name="connsiteX15" fmla="*/ 884876 w 7560000"/>
                            <a:gd name="connsiteY15" fmla="*/ 7085695 h 7092000"/>
                            <a:gd name="connsiteX16" fmla="*/ 976028 w 7560000"/>
                            <a:gd name="connsiteY16" fmla="*/ 7092000 h 7092000"/>
                            <a:gd name="connsiteX17" fmla="*/ 0 w 7560000"/>
                            <a:gd name="connsiteY17" fmla="*/ 7092000 h 7092000"/>
                            <a:gd name="connsiteX18" fmla="*/ 0 w 7560000"/>
                            <a:gd name="connsiteY18" fmla="*/ 0 h 7092000"/>
                            <a:gd name="connsiteX0" fmla="*/ 4571406 w 7560000"/>
                            <a:gd name="connsiteY0" fmla="*/ 0 h 7092000"/>
                            <a:gd name="connsiteX1" fmla="*/ 7560000 w 7560000"/>
                            <a:gd name="connsiteY1" fmla="*/ 0 h 7092000"/>
                            <a:gd name="connsiteX2" fmla="*/ 7560000 w 7560000"/>
                            <a:gd name="connsiteY2" fmla="*/ 7092000 h 7092000"/>
                            <a:gd name="connsiteX3" fmla="*/ 1097327 w 7560000"/>
                            <a:gd name="connsiteY3" fmla="*/ 7083110 h 7092000"/>
                            <a:gd name="connsiteX4" fmla="*/ 2198465 w 7560000"/>
                            <a:gd name="connsiteY4" fmla="*/ 5002756 h 7092000"/>
                            <a:gd name="connsiteX5" fmla="*/ 2865243 w 7560000"/>
                            <a:gd name="connsiteY5" fmla="*/ 4179759 h 7092000"/>
                            <a:gd name="connsiteX6" fmla="*/ 4221661 w 7560000"/>
                            <a:gd name="connsiteY6" fmla="*/ 2388978 h 7092000"/>
                            <a:gd name="connsiteX7" fmla="*/ 5162578 w 7560000"/>
                            <a:gd name="connsiteY7" fmla="*/ 381384 h 7092000"/>
                            <a:gd name="connsiteX8" fmla="*/ 4654234 w 7560000"/>
                            <a:gd name="connsiteY8" fmla="*/ 3140 h 7092000"/>
                            <a:gd name="connsiteX9" fmla="*/ 4571406 w 7560000"/>
                            <a:gd name="connsiteY9" fmla="*/ 0 h 7092000"/>
                            <a:gd name="connsiteX10" fmla="*/ 0 w 7560000"/>
                            <a:gd name="connsiteY10" fmla="*/ 0 h 7092000"/>
                            <a:gd name="connsiteX11" fmla="*/ 3231019 w 7560000"/>
                            <a:gd name="connsiteY11" fmla="*/ 720187 h 7092000"/>
                            <a:gd name="connsiteX12" fmla="*/ 4309295 w 7560000"/>
                            <a:gd name="connsiteY12" fmla="*/ 1188774 h 7092000"/>
                            <a:gd name="connsiteX13" fmla="*/ 3958760 w 7560000"/>
                            <a:gd name="connsiteY13" fmla="*/ 1634564 h 7092000"/>
                            <a:gd name="connsiteX14" fmla="*/ 542413 w 7560000"/>
                            <a:gd name="connsiteY14" fmla="*/ 6318621 h 7092000"/>
                            <a:gd name="connsiteX15" fmla="*/ 884876 w 7560000"/>
                            <a:gd name="connsiteY15" fmla="*/ 7085695 h 7092000"/>
                            <a:gd name="connsiteX16" fmla="*/ 976028 w 7560000"/>
                            <a:gd name="connsiteY16" fmla="*/ 7092000 h 7092000"/>
                            <a:gd name="connsiteX17" fmla="*/ 0 w 7560000"/>
                            <a:gd name="connsiteY17" fmla="*/ 7092000 h 7092000"/>
                            <a:gd name="connsiteX18" fmla="*/ 0 w 7560000"/>
                            <a:gd name="connsiteY18" fmla="*/ 0 h 7092000"/>
                            <a:gd name="connsiteX0" fmla="*/ 4571406 w 7560000"/>
                            <a:gd name="connsiteY0" fmla="*/ 0 h 7092000"/>
                            <a:gd name="connsiteX1" fmla="*/ 7560000 w 7560000"/>
                            <a:gd name="connsiteY1" fmla="*/ 0 h 7092000"/>
                            <a:gd name="connsiteX2" fmla="*/ 7560000 w 7560000"/>
                            <a:gd name="connsiteY2" fmla="*/ 7092000 h 7092000"/>
                            <a:gd name="connsiteX3" fmla="*/ 1097327 w 7560000"/>
                            <a:gd name="connsiteY3" fmla="*/ 7083110 h 7092000"/>
                            <a:gd name="connsiteX4" fmla="*/ 2198465 w 7560000"/>
                            <a:gd name="connsiteY4" fmla="*/ 5002756 h 7092000"/>
                            <a:gd name="connsiteX5" fmla="*/ 2865243 w 7560000"/>
                            <a:gd name="connsiteY5" fmla="*/ 4179759 h 7092000"/>
                            <a:gd name="connsiteX6" fmla="*/ 4221661 w 7560000"/>
                            <a:gd name="connsiteY6" fmla="*/ 2388978 h 7092000"/>
                            <a:gd name="connsiteX7" fmla="*/ 5162578 w 7560000"/>
                            <a:gd name="connsiteY7" fmla="*/ 381384 h 7092000"/>
                            <a:gd name="connsiteX8" fmla="*/ 6694458 w 7560000"/>
                            <a:gd name="connsiteY8" fmla="*/ 842123 h 7092000"/>
                            <a:gd name="connsiteX9" fmla="*/ 4571406 w 7560000"/>
                            <a:gd name="connsiteY9" fmla="*/ 0 h 7092000"/>
                            <a:gd name="connsiteX10" fmla="*/ 0 w 7560000"/>
                            <a:gd name="connsiteY10" fmla="*/ 0 h 7092000"/>
                            <a:gd name="connsiteX11" fmla="*/ 3231019 w 7560000"/>
                            <a:gd name="connsiteY11" fmla="*/ 720187 h 7092000"/>
                            <a:gd name="connsiteX12" fmla="*/ 4309295 w 7560000"/>
                            <a:gd name="connsiteY12" fmla="*/ 1188774 h 7092000"/>
                            <a:gd name="connsiteX13" fmla="*/ 3958760 w 7560000"/>
                            <a:gd name="connsiteY13" fmla="*/ 1634564 h 7092000"/>
                            <a:gd name="connsiteX14" fmla="*/ 542413 w 7560000"/>
                            <a:gd name="connsiteY14" fmla="*/ 6318621 h 7092000"/>
                            <a:gd name="connsiteX15" fmla="*/ 884876 w 7560000"/>
                            <a:gd name="connsiteY15" fmla="*/ 7085695 h 7092000"/>
                            <a:gd name="connsiteX16" fmla="*/ 976028 w 7560000"/>
                            <a:gd name="connsiteY16" fmla="*/ 7092000 h 7092000"/>
                            <a:gd name="connsiteX17" fmla="*/ 0 w 7560000"/>
                            <a:gd name="connsiteY17" fmla="*/ 7092000 h 7092000"/>
                            <a:gd name="connsiteX18" fmla="*/ 0 w 7560000"/>
                            <a:gd name="connsiteY18" fmla="*/ 0 h 7092000"/>
                            <a:gd name="connsiteX0" fmla="*/ 4571406 w 7560000"/>
                            <a:gd name="connsiteY0" fmla="*/ 0 h 7092000"/>
                            <a:gd name="connsiteX1" fmla="*/ 7560000 w 7560000"/>
                            <a:gd name="connsiteY1" fmla="*/ 0 h 7092000"/>
                            <a:gd name="connsiteX2" fmla="*/ 7560000 w 7560000"/>
                            <a:gd name="connsiteY2" fmla="*/ 7092000 h 7092000"/>
                            <a:gd name="connsiteX3" fmla="*/ 1097327 w 7560000"/>
                            <a:gd name="connsiteY3" fmla="*/ 7083110 h 7092000"/>
                            <a:gd name="connsiteX4" fmla="*/ 2198465 w 7560000"/>
                            <a:gd name="connsiteY4" fmla="*/ 5002756 h 7092000"/>
                            <a:gd name="connsiteX5" fmla="*/ 2865243 w 7560000"/>
                            <a:gd name="connsiteY5" fmla="*/ 4179759 h 7092000"/>
                            <a:gd name="connsiteX6" fmla="*/ 4221661 w 7560000"/>
                            <a:gd name="connsiteY6" fmla="*/ 2388978 h 7092000"/>
                            <a:gd name="connsiteX7" fmla="*/ 6896396 w 7560000"/>
                            <a:gd name="connsiteY7" fmla="*/ 1973846 h 7092000"/>
                            <a:gd name="connsiteX8" fmla="*/ 6694458 w 7560000"/>
                            <a:gd name="connsiteY8" fmla="*/ 842123 h 7092000"/>
                            <a:gd name="connsiteX9" fmla="*/ 4571406 w 7560000"/>
                            <a:gd name="connsiteY9" fmla="*/ 0 h 7092000"/>
                            <a:gd name="connsiteX10" fmla="*/ 0 w 7560000"/>
                            <a:gd name="connsiteY10" fmla="*/ 0 h 7092000"/>
                            <a:gd name="connsiteX11" fmla="*/ 3231019 w 7560000"/>
                            <a:gd name="connsiteY11" fmla="*/ 720187 h 7092000"/>
                            <a:gd name="connsiteX12" fmla="*/ 4309295 w 7560000"/>
                            <a:gd name="connsiteY12" fmla="*/ 1188774 h 7092000"/>
                            <a:gd name="connsiteX13" fmla="*/ 3958760 w 7560000"/>
                            <a:gd name="connsiteY13" fmla="*/ 1634564 h 7092000"/>
                            <a:gd name="connsiteX14" fmla="*/ 542413 w 7560000"/>
                            <a:gd name="connsiteY14" fmla="*/ 6318621 h 7092000"/>
                            <a:gd name="connsiteX15" fmla="*/ 884876 w 7560000"/>
                            <a:gd name="connsiteY15" fmla="*/ 7085695 h 7092000"/>
                            <a:gd name="connsiteX16" fmla="*/ 976028 w 7560000"/>
                            <a:gd name="connsiteY16" fmla="*/ 7092000 h 7092000"/>
                            <a:gd name="connsiteX17" fmla="*/ 0 w 7560000"/>
                            <a:gd name="connsiteY17" fmla="*/ 7092000 h 7092000"/>
                            <a:gd name="connsiteX18" fmla="*/ 0 w 7560000"/>
                            <a:gd name="connsiteY18" fmla="*/ 0 h 7092000"/>
                            <a:gd name="connsiteX0" fmla="*/ 4541715 w 7560000"/>
                            <a:gd name="connsiteY0" fmla="*/ 1085996 h 7092000"/>
                            <a:gd name="connsiteX1" fmla="*/ 7560000 w 7560000"/>
                            <a:gd name="connsiteY1" fmla="*/ 0 h 7092000"/>
                            <a:gd name="connsiteX2" fmla="*/ 7560000 w 7560000"/>
                            <a:gd name="connsiteY2" fmla="*/ 7092000 h 7092000"/>
                            <a:gd name="connsiteX3" fmla="*/ 1097327 w 7560000"/>
                            <a:gd name="connsiteY3" fmla="*/ 7083110 h 7092000"/>
                            <a:gd name="connsiteX4" fmla="*/ 2198465 w 7560000"/>
                            <a:gd name="connsiteY4" fmla="*/ 5002756 h 7092000"/>
                            <a:gd name="connsiteX5" fmla="*/ 2865243 w 7560000"/>
                            <a:gd name="connsiteY5" fmla="*/ 4179759 h 7092000"/>
                            <a:gd name="connsiteX6" fmla="*/ 4221661 w 7560000"/>
                            <a:gd name="connsiteY6" fmla="*/ 2388978 h 7092000"/>
                            <a:gd name="connsiteX7" fmla="*/ 6896396 w 7560000"/>
                            <a:gd name="connsiteY7" fmla="*/ 1973846 h 7092000"/>
                            <a:gd name="connsiteX8" fmla="*/ 6694458 w 7560000"/>
                            <a:gd name="connsiteY8" fmla="*/ 842123 h 7092000"/>
                            <a:gd name="connsiteX9" fmla="*/ 4541715 w 7560000"/>
                            <a:gd name="connsiteY9" fmla="*/ 1085996 h 7092000"/>
                            <a:gd name="connsiteX10" fmla="*/ 0 w 7560000"/>
                            <a:gd name="connsiteY10" fmla="*/ 0 h 7092000"/>
                            <a:gd name="connsiteX11" fmla="*/ 3231019 w 7560000"/>
                            <a:gd name="connsiteY11" fmla="*/ 720187 h 7092000"/>
                            <a:gd name="connsiteX12" fmla="*/ 4309295 w 7560000"/>
                            <a:gd name="connsiteY12" fmla="*/ 1188774 h 7092000"/>
                            <a:gd name="connsiteX13" fmla="*/ 3958760 w 7560000"/>
                            <a:gd name="connsiteY13" fmla="*/ 1634564 h 7092000"/>
                            <a:gd name="connsiteX14" fmla="*/ 542413 w 7560000"/>
                            <a:gd name="connsiteY14" fmla="*/ 6318621 h 7092000"/>
                            <a:gd name="connsiteX15" fmla="*/ 884876 w 7560000"/>
                            <a:gd name="connsiteY15" fmla="*/ 7085695 h 7092000"/>
                            <a:gd name="connsiteX16" fmla="*/ 976028 w 7560000"/>
                            <a:gd name="connsiteY16" fmla="*/ 7092000 h 7092000"/>
                            <a:gd name="connsiteX17" fmla="*/ 0 w 7560000"/>
                            <a:gd name="connsiteY17" fmla="*/ 7092000 h 7092000"/>
                            <a:gd name="connsiteX18" fmla="*/ 0 w 7560000"/>
                            <a:gd name="connsiteY18" fmla="*/ 0 h 7092000"/>
                            <a:gd name="connsiteX0" fmla="*/ 4541715 w 7560000"/>
                            <a:gd name="connsiteY0" fmla="*/ 1085996 h 7092000"/>
                            <a:gd name="connsiteX1" fmla="*/ 7560000 w 7560000"/>
                            <a:gd name="connsiteY1" fmla="*/ 0 h 7092000"/>
                            <a:gd name="connsiteX2" fmla="*/ 7560000 w 7560000"/>
                            <a:gd name="connsiteY2" fmla="*/ 7092000 h 7092000"/>
                            <a:gd name="connsiteX3" fmla="*/ 1097327 w 7560000"/>
                            <a:gd name="connsiteY3" fmla="*/ 7083110 h 7092000"/>
                            <a:gd name="connsiteX4" fmla="*/ 2198465 w 7560000"/>
                            <a:gd name="connsiteY4" fmla="*/ 5002756 h 7092000"/>
                            <a:gd name="connsiteX5" fmla="*/ 2865243 w 7560000"/>
                            <a:gd name="connsiteY5" fmla="*/ 4179759 h 7092000"/>
                            <a:gd name="connsiteX6" fmla="*/ 4221661 w 7560000"/>
                            <a:gd name="connsiteY6" fmla="*/ 2388978 h 7092000"/>
                            <a:gd name="connsiteX7" fmla="*/ 4362638 w 7560000"/>
                            <a:gd name="connsiteY7" fmla="*/ 1832857 h 7092000"/>
                            <a:gd name="connsiteX8" fmla="*/ 6694458 w 7560000"/>
                            <a:gd name="connsiteY8" fmla="*/ 842123 h 7092000"/>
                            <a:gd name="connsiteX9" fmla="*/ 4541715 w 7560000"/>
                            <a:gd name="connsiteY9" fmla="*/ 1085996 h 7092000"/>
                            <a:gd name="connsiteX10" fmla="*/ 0 w 7560000"/>
                            <a:gd name="connsiteY10" fmla="*/ 0 h 7092000"/>
                            <a:gd name="connsiteX11" fmla="*/ 3231019 w 7560000"/>
                            <a:gd name="connsiteY11" fmla="*/ 720187 h 7092000"/>
                            <a:gd name="connsiteX12" fmla="*/ 4309295 w 7560000"/>
                            <a:gd name="connsiteY12" fmla="*/ 1188774 h 7092000"/>
                            <a:gd name="connsiteX13" fmla="*/ 3958760 w 7560000"/>
                            <a:gd name="connsiteY13" fmla="*/ 1634564 h 7092000"/>
                            <a:gd name="connsiteX14" fmla="*/ 542413 w 7560000"/>
                            <a:gd name="connsiteY14" fmla="*/ 6318621 h 7092000"/>
                            <a:gd name="connsiteX15" fmla="*/ 884876 w 7560000"/>
                            <a:gd name="connsiteY15" fmla="*/ 7085695 h 7092000"/>
                            <a:gd name="connsiteX16" fmla="*/ 976028 w 7560000"/>
                            <a:gd name="connsiteY16" fmla="*/ 7092000 h 7092000"/>
                            <a:gd name="connsiteX17" fmla="*/ 0 w 7560000"/>
                            <a:gd name="connsiteY17" fmla="*/ 7092000 h 7092000"/>
                            <a:gd name="connsiteX18" fmla="*/ 0 w 7560000"/>
                            <a:gd name="connsiteY18" fmla="*/ 0 h 7092000"/>
                            <a:gd name="connsiteX0" fmla="*/ 4541715 w 7560000"/>
                            <a:gd name="connsiteY0" fmla="*/ 1085996 h 7092000"/>
                            <a:gd name="connsiteX1" fmla="*/ 7560000 w 7560000"/>
                            <a:gd name="connsiteY1" fmla="*/ 0 h 7092000"/>
                            <a:gd name="connsiteX2" fmla="*/ 7560000 w 7560000"/>
                            <a:gd name="connsiteY2" fmla="*/ 7092000 h 7092000"/>
                            <a:gd name="connsiteX3" fmla="*/ 1097327 w 7560000"/>
                            <a:gd name="connsiteY3" fmla="*/ 7083110 h 7092000"/>
                            <a:gd name="connsiteX4" fmla="*/ 2198465 w 7560000"/>
                            <a:gd name="connsiteY4" fmla="*/ 5002756 h 7092000"/>
                            <a:gd name="connsiteX5" fmla="*/ 2865243 w 7560000"/>
                            <a:gd name="connsiteY5" fmla="*/ 4179759 h 7092000"/>
                            <a:gd name="connsiteX6" fmla="*/ 4221661 w 7560000"/>
                            <a:gd name="connsiteY6" fmla="*/ 2388978 h 7092000"/>
                            <a:gd name="connsiteX7" fmla="*/ 4362638 w 7560000"/>
                            <a:gd name="connsiteY7" fmla="*/ 1832857 h 7092000"/>
                            <a:gd name="connsiteX8" fmla="*/ 4370258 w 7560000"/>
                            <a:gd name="connsiteY8" fmla="*/ 1520395 h 7092000"/>
                            <a:gd name="connsiteX9" fmla="*/ 4541715 w 7560000"/>
                            <a:gd name="connsiteY9" fmla="*/ 1085996 h 7092000"/>
                            <a:gd name="connsiteX10" fmla="*/ 0 w 7560000"/>
                            <a:gd name="connsiteY10" fmla="*/ 0 h 7092000"/>
                            <a:gd name="connsiteX11" fmla="*/ 3231019 w 7560000"/>
                            <a:gd name="connsiteY11" fmla="*/ 720187 h 7092000"/>
                            <a:gd name="connsiteX12" fmla="*/ 4309295 w 7560000"/>
                            <a:gd name="connsiteY12" fmla="*/ 1188774 h 7092000"/>
                            <a:gd name="connsiteX13" fmla="*/ 3958760 w 7560000"/>
                            <a:gd name="connsiteY13" fmla="*/ 1634564 h 7092000"/>
                            <a:gd name="connsiteX14" fmla="*/ 542413 w 7560000"/>
                            <a:gd name="connsiteY14" fmla="*/ 6318621 h 7092000"/>
                            <a:gd name="connsiteX15" fmla="*/ 884876 w 7560000"/>
                            <a:gd name="connsiteY15" fmla="*/ 7085695 h 7092000"/>
                            <a:gd name="connsiteX16" fmla="*/ 976028 w 7560000"/>
                            <a:gd name="connsiteY16" fmla="*/ 7092000 h 7092000"/>
                            <a:gd name="connsiteX17" fmla="*/ 0 w 7560000"/>
                            <a:gd name="connsiteY17" fmla="*/ 7092000 h 7092000"/>
                            <a:gd name="connsiteX18" fmla="*/ 0 w 7560000"/>
                            <a:gd name="connsiteY18" fmla="*/ 0 h 7092000"/>
                            <a:gd name="connsiteX0" fmla="*/ 4541715 w 7560584"/>
                            <a:gd name="connsiteY0" fmla="*/ 1085996 h 7092000"/>
                            <a:gd name="connsiteX1" fmla="*/ 7560584 w 7560584"/>
                            <a:gd name="connsiteY1" fmla="*/ 1917907 h 7092000"/>
                            <a:gd name="connsiteX2" fmla="*/ 7560000 w 7560584"/>
                            <a:gd name="connsiteY2" fmla="*/ 7092000 h 7092000"/>
                            <a:gd name="connsiteX3" fmla="*/ 1097327 w 7560584"/>
                            <a:gd name="connsiteY3" fmla="*/ 7083110 h 7092000"/>
                            <a:gd name="connsiteX4" fmla="*/ 2198465 w 7560584"/>
                            <a:gd name="connsiteY4" fmla="*/ 5002756 h 7092000"/>
                            <a:gd name="connsiteX5" fmla="*/ 2865243 w 7560584"/>
                            <a:gd name="connsiteY5" fmla="*/ 4179759 h 7092000"/>
                            <a:gd name="connsiteX6" fmla="*/ 4221661 w 7560584"/>
                            <a:gd name="connsiteY6" fmla="*/ 2388978 h 7092000"/>
                            <a:gd name="connsiteX7" fmla="*/ 4362638 w 7560584"/>
                            <a:gd name="connsiteY7" fmla="*/ 1832857 h 7092000"/>
                            <a:gd name="connsiteX8" fmla="*/ 4370258 w 7560584"/>
                            <a:gd name="connsiteY8" fmla="*/ 1520395 h 7092000"/>
                            <a:gd name="connsiteX9" fmla="*/ 4541715 w 7560584"/>
                            <a:gd name="connsiteY9" fmla="*/ 1085996 h 7092000"/>
                            <a:gd name="connsiteX10" fmla="*/ 0 w 7560584"/>
                            <a:gd name="connsiteY10" fmla="*/ 0 h 7092000"/>
                            <a:gd name="connsiteX11" fmla="*/ 3231019 w 7560584"/>
                            <a:gd name="connsiteY11" fmla="*/ 720187 h 7092000"/>
                            <a:gd name="connsiteX12" fmla="*/ 4309295 w 7560584"/>
                            <a:gd name="connsiteY12" fmla="*/ 1188774 h 7092000"/>
                            <a:gd name="connsiteX13" fmla="*/ 3958760 w 7560584"/>
                            <a:gd name="connsiteY13" fmla="*/ 1634564 h 7092000"/>
                            <a:gd name="connsiteX14" fmla="*/ 542413 w 7560584"/>
                            <a:gd name="connsiteY14" fmla="*/ 6318621 h 7092000"/>
                            <a:gd name="connsiteX15" fmla="*/ 884876 w 7560584"/>
                            <a:gd name="connsiteY15" fmla="*/ 7085695 h 7092000"/>
                            <a:gd name="connsiteX16" fmla="*/ 976028 w 7560584"/>
                            <a:gd name="connsiteY16" fmla="*/ 7092000 h 7092000"/>
                            <a:gd name="connsiteX17" fmla="*/ 0 w 7560584"/>
                            <a:gd name="connsiteY17" fmla="*/ 7092000 h 7092000"/>
                            <a:gd name="connsiteX18" fmla="*/ 0 w 7560584"/>
                            <a:gd name="connsiteY18" fmla="*/ 0 h 7092000"/>
                            <a:gd name="connsiteX0" fmla="*/ 4541715 w 7560584"/>
                            <a:gd name="connsiteY0" fmla="*/ 1085996 h 7092000"/>
                            <a:gd name="connsiteX1" fmla="*/ 7560584 w 7560584"/>
                            <a:gd name="connsiteY1" fmla="*/ 1917907 h 7092000"/>
                            <a:gd name="connsiteX2" fmla="*/ 7560000 w 7560584"/>
                            <a:gd name="connsiteY2" fmla="*/ 7092000 h 7092000"/>
                            <a:gd name="connsiteX3" fmla="*/ 1097327 w 7560584"/>
                            <a:gd name="connsiteY3" fmla="*/ 7083110 h 7092000"/>
                            <a:gd name="connsiteX4" fmla="*/ 2198465 w 7560584"/>
                            <a:gd name="connsiteY4" fmla="*/ 5002756 h 7092000"/>
                            <a:gd name="connsiteX5" fmla="*/ 2865243 w 7560584"/>
                            <a:gd name="connsiteY5" fmla="*/ 4179759 h 7092000"/>
                            <a:gd name="connsiteX6" fmla="*/ 4221661 w 7560584"/>
                            <a:gd name="connsiteY6" fmla="*/ 2388978 h 7092000"/>
                            <a:gd name="connsiteX7" fmla="*/ 4362638 w 7560584"/>
                            <a:gd name="connsiteY7" fmla="*/ 1832857 h 7092000"/>
                            <a:gd name="connsiteX8" fmla="*/ 4370258 w 7560584"/>
                            <a:gd name="connsiteY8" fmla="*/ 1520395 h 7092000"/>
                            <a:gd name="connsiteX9" fmla="*/ 4541715 w 7560584"/>
                            <a:gd name="connsiteY9" fmla="*/ 1085996 h 7092000"/>
                            <a:gd name="connsiteX10" fmla="*/ 0 w 7560584"/>
                            <a:gd name="connsiteY10" fmla="*/ 0 h 7092000"/>
                            <a:gd name="connsiteX11" fmla="*/ 4309295 w 7560584"/>
                            <a:gd name="connsiteY11" fmla="*/ 1188774 h 7092000"/>
                            <a:gd name="connsiteX12" fmla="*/ 3958760 w 7560584"/>
                            <a:gd name="connsiteY12" fmla="*/ 1634564 h 7092000"/>
                            <a:gd name="connsiteX13" fmla="*/ 542413 w 7560584"/>
                            <a:gd name="connsiteY13" fmla="*/ 6318621 h 7092000"/>
                            <a:gd name="connsiteX14" fmla="*/ 884876 w 7560584"/>
                            <a:gd name="connsiteY14" fmla="*/ 7085695 h 7092000"/>
                            <a:gd name="connsiteX15" fmla="*/ 976028 w 7560584"/>
                            <a:gd name="connsiteY15" fmla="*/ 7092000 h 7092000"/>
                            <a:gd name="connsiteX16" fmla="*/ 0 w 7560584"/>
                            <a:gd name="connsiteY16" fmla="*/ 7092000 h 7092000"/>
                            <a:gd name="connsiteX17" fmla="*/ 0 w 7560584"/>
                            <a:gd name="connsiteY17" fmla="*/ 0 h 7092000"/>
                            <a:gd name="connsiteX0" fmla="*/ 4541715 w 7560584"/>
                            <a:gd name="connsiteY0" fmla="*/ 1085996 h 7092000"/>
                            <a:gd name="connsiteX1" fmla="*/ 7560584 w 7560584"/>
                            <a:gd name="connsiteY1" fmla="*/ 1917907 h 7092000"/>
                            <a:gd name="connsiteX2" fmla="*/ 7560000 w 7560584"/>
                            <a:gd name="connsiteY2" fmla="*/ 7092000 h 7092000"/>
                            <a:gd name="connsiteX3" fmla="*/ 1097327 w 7560584"/>
                            <a:gd name="connsiteY3" fmla="*/ 7083110 h 7092000"/>
                            <a:gd name="connsiteX4" fmla="*/ 2198465 w 7560584"/>
                            <a:gd name="connsiteY4" fmla="*/ 5002756 h 7092000"/>
                            <a:gd name="connsiteX5" fmla="*/ 2865243 w 7560584"/>
                            <a:gd name="connsiteY5" fmla="*/ 4179759 h 7092000"/>
                            <a:gd name="connsiteX6" fmla="*/ 4221661 w 7560584"/>
                            <a:gd name="connsiteY6" fmla="*/ 2388978 h 7092000"/>
                            <a:gd name="connsiteX7" fmla="*/ 4362638 w 7560584"/>
                            <a:gd name="connsiteY7" fmla="*/ 1832857 h 7092000"/>
                            <a:gd name="connsiteX8" fmla="*/ 4370258 w 7560584"/>
                            <a:gd name="connsiteY8" fmla="*/ 1520395 h 7092000"/>
                            <a:gd name="connsiteX9" fmla="*/ 4541715 w 7560584"/>
                            <a:gd name="connsiteY9" fmla="*/ 1085996 h 7092000"/>
                            <a:gd name="connsiteX10" fmla="*/ 0 w 7560584"/>
                            <a:gd name="connsiteY10" fmla="*/ 0 h 7092000"/>
                            <a:gd name="connsiteX11" fmla="*/ 4470887 w 7560584"/>
                            <a:gd name="connsiteY11" fmla="*/ 1064352 h 7092000"/>
                            <a:gd name="connsiteX12" fmla="*/ 3958760 w 7560584"/>
                            <a:gd name="connsiteY12" fmla="*/ 1634564 h 7092000"/>
                            <a:gd name="connsiteX13" fmla="*/ 542413 w 7560584"/>
                            <a:gd name="connsiteY13" fmla="*/ 6318621 h 7092000"/>
                            <a:gd name="connsiteX14" fmla="*/ 884876 w 7560584"/>
                            <a:gd name="connsiteY14" fmla="*/ 7085695 h 7092000"/>
                            <a:gd name="connsiteX15" fmla="*/ 976028 w 7560584"/>
                            <a:gd name="connsiteY15" fmla="*/ 7092000 h 7092000"/>
                            <a:gd name="connsiteX16" fmla="*/ 0 w 7560584"/>
                            <a:gd name="connsiteY16" fmla="*/ 7092000 h 7092000"/>
                            <a:gd name="connsiteX17" fmla="*/ 0 w 7560584"/>
                            <a:gd name="connsiteY17" fmla="*/ 0 h 7092000"/>
                            <a:gd name="connsiteX0" fmla="*/ 4541715 w 7560584"/>
                            <a:gd name="connsiteY0" fmla="*/ 1085996 h 7092000"/>
                            <a:gd name="connsiteX1" fmla="*/ 7560584 w 7560584"/>
                            <a:gd name="connsiteY1" fmla="*/ 1917907 h 7092000"/>
                            <a:gd name="connsiteX2" fmla="*/ 7560000 w 7560584"/>
                            <a:gd name="connsiteY2" fmla="*/ 7092000 h 7092000"/>
                            <a:gd name="connsiteX3" fmla="*/ 1097327 w 7560584"/>
                            <a:gd name="connsiteY3" fmla="*/ 7083110 h 7092000"/>
                            <a:gd name="connsiteX4" fmla="*/ 2198465 w 7560584"/>
                            <a:gd name="connsiteY4" fmla="*/ 5002756 h 7092000"/>
                            <a:gd name="connsiteX5" fmla="*/ 2865243 w 7560584"/>
                            <a:gd name="connsiteY5" fmla="*/ 4179759 h 7092000"/>
                            <a:gd name="connsiteX6" fmla="*/ 4221661 w 7560584"/>
                            <a:gd name="connsiteY6" fmla="*/ 2388978 h 7092000"/>
                            <a:gd name="connsiteX7" fmla="*/ 4362638 w 7560584"/>
                            <a:gd name="connsiteY7" fmla="*/ 1832857 h 7092000"/>
                            <a:gd name="connsiteX8" fmla="*/ 4370258 w 7560584"/>
                            <a:gd name="connsiteY8" fmla="*/ 1520395 h 7092000"/>
                            <a:gd name="connsiteX9" fmla="*/ 4541715 w 7560584"/>
                            <a:gd name="connsiteY9" fmla="*/ 1085996 h 7092000"/>
                            <a:gd name="connsiteX10" fmla="*/ 0 w 7560584"/>
                            <a:gd name="connsiteY10" fmla="*/ 0 h 7092000"/>
                            <a:gd name="connsiteX11" fmla="*/ 4470887 w 7560584"/>
                            <a:gd name="connsiteY11" fmla="*/ 1064352 h 7092000"/>
                            <a:gd name="connsiteX12" fmla="*/ 3958760 w 7560584"/>
                            <a:gd name="connsiteY12" fmla="*/ 1634564 h 7092000"/>
                            <a:gd name="connsiteX13" fmla="*/ 1136736 w 7560584"/>
                            <a:gd name="connsiteY13" fmla="*/ 6261892 h 7092000"/>
                            <a:gd name="connsiteX14" fmla="*/ 884876 w 7560584"/>
                            <a:gd name="connsiteY14" fmla="*/ 7085695 h 7092000"/>
                            <a:gd name="connsiteX15" fmla="*/ 976028 w 7560584"/>
                            <a:gd name="connsiteY15" fmla="*/ 7092000 h 7092000"/>
                            <a:gd name="connsiteX16" fmla="*/ 0 w 7560584"/>
                            <a:gd name="connsiteY16" fmla="*/ 7092000 h 7092000"/>
                            <a:gd name="connsiteX17" fmla="*/ 0 w 7560584"/>
                            <a:gd name="connsiteY17" fmla="*/ 0 h 7092000"/>
                            <a:gd name="connsiteX0" fmla="*/ 4541715 w 7560584"/>
                            <a:gd name="connsiteY0" fmla="*/ 1085996 h 7092000"/>
                            <a:gd name="connsiteX1" fmla="*/ 7560584 w 7560584"/>
                            <a:gd name="connsiteY1" fmla="*/ 1917907 h 7092000"/>
                            <a:gd name="connsiteX2" fmla="*/ 7560000 w 7560584"/>
                            <a:gd name="connsiteY2" fmla="*/ 7092000 h 7092000"/>
                            <a:gd name="connsiteX3" fmla="*/ 1097327 w 7560584"/>
                            <a:gd name="connsiteY3" fmla="*/ 7083110 h 7092000"/>
                            <a:gd name="connsiteX4" fmla="*/ 2198465 w 7560584"/>
                            <a:gd name="connsiteY4" fmla="*/ 5002756 h 7092000"/>
                            <a:gd name="connsiteX5" fmla="*/ 2865243 w 7560584"/>
                            <a:gd name="connsiteY5" fmla="*/ 4179759 h 7092000"/>
                            <a:gd name="connsiteX6" fmla="*/ 4221661 w 7560584"/>
                            <a:gd name="connsiteY6" fmla="*/ 2388978 h 7092000"/>
                            <a:gd name="connsiteX7" fmla="*/ 4362638 w 7560584"/>
                            <a:gd name="connsiteY7" fmla="*/ 1832857 h 7092000"/>
                            <a:gd name="connsiteX8" fmla="*/ 4370258 w 7560584"/>
                            <a:gd name="connsiteY8" fmla="*/ 1520395 h 7092000"/>
                            <a:gd name="connsiteX9" fmla="*/ 4541715 w 7560584"/>
                            <a:gd name="connsiteY9" fmla="*/ 1085996 h 7092000"/>
                            <a:gd name="connsiteX10" fmla="*/ 0 w 7560584"/>
                            <a:gd name="connsiteY10" fmla="*/ 0 h 7092000"/>
                            <a:gd name="connsiteX11" fmla="*/ 4470887 w 7560584"/>
                            <a:gd name="connsiteY11" fmla="*/ 1064352 h 7092000"/>
                            <a:gd name="connsiteX12" fmla="*/ 3958760 w 7560584"/>
                            <a:gd name="connsiteY12" fmla="*/ 1634564 h 7092000"/>
                            <a:gd name="connsiteX13" fmla="*/ 2923841 w 7560584"/>
                            <a:gd name="connsiteY13" fmla="*/ 6292376 h 7092000"/>
                            <a:gd name="connsiteX14" fmla="*/ 884876 w 7560584"/>
                            <a:gd name="connsiteY14" fmla="*/ 7085695 h 7092000"/>
                            <a:gd name="connsiteX15" fmla="*/ 976028 w 7560584"/>
                            <a:gd name="connsiteY15" fmla="*/ 7092000 h 7092000"/>
                            <a:gd name="connsiteX16" fmla="*/ 0 w 7560584"/>
                            <a:gd name="connsiteY16" fmla="*/ 7092000 h 7092000"/>
                            <a:gd name="connsiteX17" fmla="*/ 0 w 7560584"/>
                            <a:gd name="connsiteY17" fmla="*/ 0 h 7092000"/>
                            <a:gd name="connsiteX0" fmla="*/ 4541715 w 7560584"/>
                            <a:gd name="connsiteY0" fmla="*/ 1085996 h 7092000"/>
                            <a:gd name="connsiteX1" fmla="*/ 7560584 w 7560584"/>
                            <a:gd name="connsiteY1" fmla="*/ 1917907 h 7092000"/>
                            <a:gd name="connsiteX2" fmla="*/ 7560000 w 7560584"/>
                            <a:gd name="connsiteY2" fmla="*/ 7092000 h 7092000"/>
                            <a:gd name="connsiteX3" fmla="*/ 1097327 w 7560584"/>
                            <a:gd name="connsiteY3" fmla="*/ 7083110 h 7092000"/>
                            <a:gd name="connsiteX4" fmla="*/ 2198465 w 7560584"/>
                            <a:gd name="connsiteY4" fmla="*/ 5002756 h 7092000"/>
                            <a:gd name="connsiteX5" fmla="*/ 2865243 w 7560584"/>
                            <a:gd name="connsiteY5" fmla="*/ 4179759 h 7092000"/>
                            <a:gd name="connsiteX6" fmla="*/ 4221661 w 7560584"/>
                            <a:gd name="connsiteY6" fmla="*/ 2388978 h 7092000"/>
                            <a:gd name="connsiteX7" fmla="*/ 4362638 w 7560584"/>
                            <a:gd name="connsiteY7" fmla="*/ 1832857 h 7092000"/>
                            <a:gd name="connsiteX8" fmla="*/ 4370258 w 7560584"/>
                            <a:gd name="connsiteY8" fmla="*/ 1520395 h 7092000"/>
                            <a:gd name="connsiteX9" fmla="*/ 4541715 w 7560584"/>
                            <a:gd name="connsiteY9" fmla="*/ 1085996 h 7092000"/>
                            <a:gd name="connsiteX10" fmla="*/ 0 w 7560584"/>
                            <a:gd name="connsiteY10" fmla="*/ 0 h 7092000"/>
                            <a:gd name="connsiteX11" fmla="*/ 4470887 w 7560584"/>
                            <a:gd name="connsiteY11" fmla="*/ 1064352 h 7092000"/>
                            <a:gd name="connsiteX12" fmla="*/ 3958760 w 7560584"/>
                            <a:gd name="connsiteY12" fmla="*/ 1634564 h 7092000"/>
                            <a:gd name="connsiteX13" fmla="*/ 884876 w 7560584"/>
                            <a:gd name="connsiteY13" fmla="*/ 7085695 h 7092000"/>
                            <a:gd name="connsiteX14" fmla="*/ 976028 w 7560584"/>
                            <a:gd name="connsiteY14" fmla="*/ 7092000 h 7092000"/>
                            <a:gd name="connsiteX15" fmla="*/ 0 w 7560584"/>
                            <a:gd name="connsiteY15" fmla="*/ 7092000 h 7092000"/>
                            <a:gd name="connsiteX16" fmla="*/ 0 w 7560584"/>
                            <a:gd name="connsiteY16" fmla="*/ 0 h 7092000"/>
                            <a:gd name="connsiteX0" fmla="*/ 4541715 w 7560584"/>
                            <a:gd name="connsiteY0" fmla="*/ 1085996 h 7092000"/>
                            <a:gd name="connsiteX1" fmla="*/ 7560584 w 7560584"/>
                            <a:gd name="connsiteY1" fmla="*/ 1917907 h 7092000"/>
                            <a:gd name="connsiteX2" fmla="*/ 7560000 w 7560584"/>
                            <a:gd name="connsiteY2" fmla="*/ 7092000 h 7092000"/>
                            <a:gd name="connsiteX3" fmla="*/ 1097327 w 7560584"/>
                            <a:gd name="connsiteY3" fmla="*/ 7083110 h 7092000"/>
                            <a:gd name="connsiteX4" fmla="*/ 2865243 w 7560584"/>
                            <a:gd name="connsiteY4" fmla="*/ 4179759 h 7092000"/>
                            <a:gd name="connsiteX5" fmla="*/ 4221661 w 7560584"/>
                            <a:gd name="connsiteY5" fmla="*/ 2388978 h 7092000"/>
                            <a:gd name="connsiteX6" fmla="*/ 4362638 w 7560584"/>
                            <a:gd name="connsiteY6" fmla="*/ 1832857 h 7092000"/>
                            <a:gd name="connsiteX7" fmla="*/ 4370258 w 7560584"/>
                            <a:gd name="connsiteY7" fmla="*/ 1520395 h 7092000"/>
                            <a:gd name="connsiteX8" fmla="*/ 4541715 w 7560584"/>
                            <a:gd name="connsiteY8" fmla="*/ 1085996 h 7092000"/>
                            <a:gd name="connsiteX9" fmla="*/ 0 w 7560584"/>
                            <a:gd name="connsiteY9" fmla="*/ 0 h 7092000"/>
                            <a:gd name="connsiteX10" fmla="*/ 4470887 w 7560584"/>
                            <a:gd name="connsiteY10" fmla="*/ 1064352 h 7092000"/>
                            <a:gd name="connsiteX11" fmla="*/ 3958760 w 7560584"/>
                            <a:gd name="connsiteY11" fmla="*/ 1634564 h 7092000"/>
                            <a:gd name="connsiteX12" fmla="*/ 884876 w 7560584"/>
                            <a:gd name="connsiteY12" fmla="*/ 7085695 h 7092000"/>
                            <a:gd name="connsiteX13" fmla="*/ 976028 w 7560584"/>
                            <a:gd name="connsiteY13" fmla="*/ 7092000 h 7092000"/>
                            <a:gd name="connsiteX14" fmla="*/ 0 w 7560584"/>
                            <a:gd name="connsiteY14" fmla="*/ 7092000 h 7092000"/>
                            <a:gd name="connsiteX15" fmla="*/ 0 w 7560584"/>
                            <a:gd name="connsiteY15" fmla="*/ 0 h 7092000"/>
                            <a:gd name="connsiteX0" fmla="*/ 4541715 w 7560584"/>
                            <a:gd name="connsiteY0" fmla="*/ 1085996 h 7092000"/>
                            <a:gd name="connsiteX1" fmla="*/ 7560584 w 7560584"/>
                            <a:gd name="connsiteY1" fmla="*/ 1917907 h 7092000"/>
                            <a:gd name="connsiteX2" fmla="*/ 7560000 w 7560584"/>
                            <a:gd name="connsiteY2" fmla="*/ 7092000 h 7092000"/>
                            <a:gd name="connsiteX3" fmla="*/ 1097327 w 7560584"/>
                            <a:gd name="connsiteY3" fmla="*/ 7083110 h 7092000"/>
                            <a:gd name="connsiteX4" fmla="*/ 4221661 w 7560584"/>
                            <a:gd name="connsiteY4" fmla="*/ 2388978 h 7092000"/>
                            <a:gd name="connsiteX5" fmla="*/ 4362638 w 7560584"/>
                            <a:gd name="connsiteY5" fmla="*/ 1832857 h 7092000"/>
                            <a:gd name="connsiteX6" fmla="*/ 4370258 w 7560584"/>
                            <a:gd name="connsiteY6" fmla="*/ 1520395 h 7092000"/>
                            <a:gd name="connsiteX7" fmla="*/ 4541715 w 7560584"/>
                            <a:gd name="connsiteY7" fmla="*/ 1085996 h 7092000"/>
                            <a:gd name="connsiteX8" fmla="*/ 0 w 7560584"/>
                            <a:gd name="connsiteY8" fmla="*/ 0 h 7092000"/>
                            <a:gd name="connsiteX9" fmla="*/ 4470887 w 7560584"/>
                            <a:gd name="connsiteY9" fmla="*/ 1064352 h 7092000"/>
                            <a:gd name="connsiteX10" fmla="*/ 3958760 w 7560584"/>
                            <a:gd name="connsiteY10" fmla="*/ 1634564 h 7092000"/>
                            <a:gd name="connsiteX11" fmla="*/ 884876 w 7560584"/>
                            <a:gd name="connsiteY11" fmla="*/ 7085695 h 7092000"/>
                            <a:gd name="connsiteX12" fmla="*/ 976028 w 7560584"/>
                            <a:gd name="connsiteY12" fmla="*/ 7092000 h 7092000"/>
                            <a:gd name="connsiteX13" fmla="*/ 0 w 7560584"/>
                            <a:gd name="connsiteY13" fmla="*/ 7092000 h 7092000"/>
                            <a:gd name="connsiteX14" fmla="*/ 0 w 7560584"/>
                            <a:gd name="connsiteY14" fmla="*/ 0 h 7092000"/>
                            <a:gd name="connsiteX0" fmla="*/ 4541715 w 7560584"/>
                            <a:gd name="connsiteY0" fmla="*/ 1085996 h 7092000"/>
                            <a:gd name="connsiteX1" fmla="*/ 7560584 w 7560584"/>
                            <a:gd name="connsiteY1" fmla="*/ 1917907 h 7092000"/>
                            <a:gd name="connsiteX2" fmla="*/ 7560000 w 7560584"/>
                            <a:gd name="connsiteY2" fmla="*/ 7092000 h 7092000"/>
                            <a:gd name="connsiteX3" fmla="*/ 2611383 w 7560584"/>
                            <a:gd name="connsiteY3" fmla="*/ 5297832 h 7092000"/>
                            <a:gd name="connsiteX4" fmla="*/ 4221661 w 7560584"/>
                            <a:gd name="connsiteY4" fmla="*/ 2388978 h 7092000"/>
                            <a:gd name="connsiteX5" fmla="*/ 4362638 w 7560584"/>
                            <a:gd name="connsiteY5" fmla="*/ 1832857 h 7092000"/>
                            <a:gd name="connsiteX6" fmla="*/ 4370258 w 7560584"/>
                            <a:gd name="connsiteY6" fmla="*/ 1520395 h 7092000"/>
                            <a:gd name="connsiteX7" fmla="*/ 4541715 w 7560584"/>
                            <a:gd name="connsiteY7" fmla="*/ 1085996 h 7092000"/>
                            <a:gd name="connsiteX8" fmla="*/ 0 w 7560584"/>
                            <a:gd name="connsiteY8" fmla="*/ 0 h 7092000"/>
                            <a:gd name="connsiteX9" fmla="*/ 4470887 w 7560584"/>
                            <a:gd name="connsiteY9" fmla="*/ 1064352 h 7092000"/>
                            <a:gd name="connsiteX10" fmla="*/ 3958760 w 7560584"/>
                            <a:gd name="connsiteY10" fmla="*/ 1634564 h 7092000"/>
                            <a:gd name="connsiteX11" fmla="*/ 884876 w 7560584"/>
                            <a:gd name="connsiteY11" fmla="*/ 7085695 h 7092000"/>
                            <a:gd name="connsiteX12" fmla="*/ 976028 w 7560584"/>
                            <a:gd name="connsiteY12" fmla="*/ 7092000 h 7092000"/>
                            <a:gd name="connsiteX13" fmla="*/ 0 w 7560584"/>
                            <a:gd name="connsiteY13" fmla="*/ 7092000 h 7092000"/>
                            <a:gd name="connsiteX14" fmla="*/ 0 w 7560584"/>
                            <a:gd name="connsiteY14" fmla="*/ 0 h 7092000"/>
                            <a:gd name="connsiteX0" fmla="*/ 4541715 w 7560584"/>
                            <a:gd name="connsiteY0" fmla="*/ 1085996 h 7092000"/>
                            <a:gd name="connsiteX1" fmla="*/ 7560584 w 7560584"/>
                            <a:gd name="connsiteY1" fmla="*/ 1917907 h 7092000"/>
                            <a:gd name="connsiteX2" fmla="*/ 7560000 w 7560584"/>
                            <a:gd name="connsiteY2" fmla="*/ 7092000 h 7092000"/>
                            <a:gd name="connsiteX3" fmla="*/ 2005520 w 7560584"/>
                            <a:gd name="connsiteY3" fmla="*/ 6307618 h 7092000"/>
                            <a:gd name="connsiteX4" fmla="*/ 4221661 w 7560584"/>
                            <a:gd name="connsiteY4" fmla="*/ 2388978 h 7092000"/>
                            <a:gd name="connsiteX5" fmla="*/ 4362638 w 7560584"/>
                            <a:gd name="connsiteY5" fmla="*/ 1832857 h 7092000"/>
                            <a:gd name="connsiteX6" fmla="*/ 4370258 w 7560584"/>
                            <a:gd name="connsiteY6" fmla="*/ 1520395 h 7092000"/>
                            <a:gd name="connsiteX7" fmla="*/ 4541715 w 7560584"/>
                            <a:gd name="connsiteY7" fmla="*/ 1085996 h 7092000"/>
                            <a:gd name="connsiteX8" fmla="*/ 0 w 7560584"/>
                            <a:gd name="connsiteY8" fmla="*/ 0 h 7092000"/>
                            <a:gd name="connsiteX9" fmla="*/ 4470887 w 7560584"/>
                            <a:gd name="connsiteY9" fmla="*/ 1064352 h 7092000"/>
                            <a:gd name="connsiteX10" fmla="*/ 3958760 w 7560584"/>
                            <a:gd name="connsiteY10" fmla="*/ 1634564 h 7092000"/>
                            <a:gd name="connsiteX11" fmla="*/ 884876 w 7560584"/>
                            <a:gd name="connsiteY11" fmla="*/ 7085695 h 7092000"/>
                            <a:gd name="connsiteX12" fmla="*/ 976028 w 7560584"/>
                            <a:gd name="connsiteY12" fmla="*/ 7092000 h 7092000"/>
                            <a:gd name="connsiteX13" fmla="*/ 0 w 7560584"/>
                            <a:gd name="connsiteY13" fmla="*/ 7092000 h 7092000"/>
                            <a:gd name="connsiteX14" fmla="*/ 0 w 7560584"/>
                            <a:gd name="connsiteY14" fmla="*/ 0 h 7092000"/>
                            <a:gd name="connsiteX0" fmla="*/ 4541715 w 7560584"/>
                            <a:gd name="connsiteY0" fmla="*/ 1085996 h 7092000"/>
                            <a:gd name="connsiteX1" fmla="*/ 7560584 w 7560584"/>
                            <a:gd name="connsiteY1" fmla="*/ 1917907 h 7092000"/>
                            <a:gd name="connsiteX2" fmla="*/ 7560000 w 7560584"/>
                            <a:gd name="connsiteY2" fmla="*/ 7092000 h 7092000"/>
                            <a:gd name="connsiteX3" fmla="*/ 2005520 w 7560584"/>
                            <a:gd name="connsiteY3" fmla="*/ 6307618 h 7092000"/>
                            <a:gd name="connsiteX4" fmla="*/ 4221661 w 7560584"/>
                            <a:gd name="connsiteY4" fmla="*/ 2388978 h 7092000"/>
                            <a:gd name="connsiteX5" fmla="*/ 4362638 w 7560584"/>
                            <a:gd name="connsiteY5" fmla="*/ 1832857 h 7092000"/>
                            <a:gd name="connsiteX6" fmla="*/ 4370258 w 7560584"/>
                            <a:gd name="connsiteY6" fmla="*/ 1520395 h 7092000"/>
                            <a:gd name="connsiteX7" fmla="*/ 4541715 w 7560584"/>
                            <a:gd name="connsiteY7" fmla="*/ 1085996 h 7092000"/>
                            <a:gd name="connsiteX8" fmla="*/ 0 w 7560584"/>
                            <a:gd name="connsiteY8" fmla="*/ 0 h 7092000"/>
                            <a:gd name="connsiteX9" fmla="*/ 3986958 w 7560584"/>
                            <a:gd name="connsiteY9" fmla="*/ 2257043 h 7092000"/>
                            <a:gd name="connsiteX10" fmla="*/ 3958760 w 7560584"/>
                            <a:gd name="connsiteY10" fmla="*/ 1634564 h 7092000"/>
                            <a:gd name="connsiteX11" fmla="*/ 884876 w 7560584"/>
                            <a:gd name="connsiteY11" fmla="*/ 7085695 h 7092000"/>
                            <a:gd name="connsiteX12" fmla="*/ 976028 w 7560584"/>
                            <a:gd name="connsiteY12" fmla="*/ 7092000 h 7092000"/>
                            <a:gd name="connsiteX13" fmla="*/ 0 w 7560584"/>
                            <a:gd name="connsiteY13" fmla="*/ 7092000 h 7092000"/>
                            <a:gd name="connsiteX14" fmla="*/ 0 w 7560584"/>
                            <a:gd name="connsiteY14" fmla="*/ 0 h 7092000"/>
                            <a:gd name="connsiteX0" fmla="*/ 4541715 w 7560584"/>
                            <a:gd name="connsiteY0" fmla="*/ 1085996 h 7092000"/>
                            <a:gd name="connsiteX1" fmla="*/ 7560584 w 7560584"/>
                            <a:gd name="connsiteY1" fmla="*/ 1917907 h 7092000"/>
                            <a:gd name="connsiteX2" fmla="*/ 7560000 w 7560584"/>
                            <a:gd name="connsiteY2" fmla="*/ 7092000 h 7092000"/>
                            <a:gd name="connsiteX3" fmla="*/ 2005520 w 7560584"/>
                            <a:gd name="connsiteY3" fmla="*/ 6307618 h 7092000"/>
                            <a:gd name="connsiteX4" fmla="*/ 4221661 w 7560584"/>
                            <a:gd name="connsiteY4" fmla="*/ 2388978 h 7092000"/>
                            <a:gd name="connsiteX5" fmla="*/ 4362638 w 7560584"/>
                            <a:gd name="connsiteY5" fmla="*/ 1832857 h 7092000"/>
                            <a:gd name="connsiteX6" fmla="*/ 4370258 w 7560584"/>
                            <a:gd name="connsiteY6" fmla="*/ 1520395 h 7092000"/>
                            <a:gd name="connsiteX7" fmla="*/ 4541715 w 7560584"/>
                            <a:gd name="connsiteY7" fmla="*/ 1085996 h 7092000"/>
                            <a:gd name="connsiteX8" fmla="*/ 0 w 7560584"/>
                            <a:gd name="connsiteY8" fmla="*/ 0 h 7092000"/>
                            <a:gd name="connsiteX9" fmla="*/ 3964096 w 7560584"/>
                            <a:gd name="connsiteY9" fmla="*/ 1327278 h 7092000"/>
                            <a:gd name="connsiteX10" fmla="*/ 3958760 w 7560584"/>
                            <a:gd name="connsiteY10" fmla="*/ 1634564 h 7092000"/>
                            <a:gd name="connsiteX11" fmla="*/ 884876 w 7560584"/>
                            <a:gd name="connsiteY11" fmla="*/ 7085695 h 7092000"/>
                            <a:gd name="connsiteX12" fmla="*/ 976028 w 7560584"/>
                            <a:gd name="connsiteY12" fmla="*/ 7092000 h 7092000"/>
                            <a:gd name="connsiteX13" fmla="*/ 0 w 7560584"/>
                            <a:gd name="connsiteY13" fmla="*/ 7092000 h 7092000"/>
                            <a:gd name="connsiteX14" fmla="*/ 0 w 7560584"/>
                            <a:gd name="connsiteY14" fmla="*/ 0 h 7092000"/>
                            <a:gd name="connsiteX0" fmla="*/ 5633076 w 7560584"/>
                            <a:gd name="connsiteY0" fmla="*/ 3537375 h 7092000"/>
                            <a:gd name="connsiteX1" fmla="*/ 7560584 w 7560584"/>
                            <a:gd name="connsiteY1" fmla="*/ 1917907 h 7092000"/>
                            <a:gd name="connsiteX2" fmla="*/ 7560000 w 7560584"/>
                            <a:gd name="connsiteY2" fmla="*/ 7092000 h 7092000"/>
                            <a:gd name="connsiteX3" fmla="*/ 2005520 w 7560584"/>
                            <a:gd name="connsiteY3" fmla="*/ 6307618 h 7092000"/>
                            <a:gd name="connsiteX4" fmla="*/ 4221661 w 7560584"/>
                            <a:gd name="connsiteY4" fmla="*/ 2388978 h 7092000"/>
                            <a:gd name="connsiteX5" fmla="*/ 4362638 w 7560584"/>
                            <a:gd name="connsiteY5" fmla="*/ 1832857 h 7092000"/>
                            <a:gd name="connsiteX6" fmla="*/ 4370258 w 7560584"/>
                            <a:gd name="connsiteY6" fmla="*/ 1520395 h 7092000"/>
                            <a:gd name="connsiteX7" fmla="*/ 5633076 w 7560584"/>
                            <a:gd name="connsiteY7" fmla="*/ 3537375 h 7092000"/>
                            <a:gd name="connsiteX8" fmla="*/ 0 w 7560584"/>
                            <a:gd name="connsiteY8" fmla="*/ 0 h 7092000"/>
                            <a:gd name="connsiteX9" fmla="*/ 3964096 w 7560584"/>
                            <a:gd name="connsiteY9" fmla="*/ 1327278 h 7092000"/>
                            <a:gd name="connsiteX10" fmla="*/ 3958760 w 7560584"/>
                            <a:gd name="connsiteY10" fmla="*/ 1634564 h 7092000"/>
                            <a:gd name="connsiteX11" fmla="*/ 884876 w 7560584"/>
                            <a:gd name="connsiteY11" fmla="*/ 7085695 h 7092000"/>
                            <a:gd name="connsiteX12" fmla="*/ 976028 w 7560584"/>
                            <a:gd name="connsiteY12" fmla="*/ 7092000 h 7092000"/>
                            <a:gd name="connsiteX13" fmla="*/ 0 w 7560584"/>
                            <a:gd name="connsiteY13" fmla="*/ 7092000 h 7092000"/>
                            <a:gd name="connsiteX14" fmla="*/ 0 w 7560584"/>
                            <a:gd name="connsiteY14" fmla="*/ 0 h 7092000"/>
                            <a:gd name="connsiteX0" fmla="*/ 5823599 w 7560584"/>
                            <a:gd name="connsiteY0" fmla="*/ 1590203 h 7092000"/>
                            <a:gd name="connsiteX1" fmla="*/ 7560584 w 7560584"/>
                            <a:gd name="connsiteY1" fmla="*/ 1917907 h 7092000"/>
                            <a:gd name="connsiteX2" fmla="*/ 7560000 w 7560584"/>
                            <a:gd name="connsiteY2" fmla="*/ 7092000 h 7092000"/>
                            <a:gd name="connsiteX3" fmla="*/ 2005520 w 7560584"/>
                            <a:gd name="connsiteY3" fmla="*/ 6307618 h 7092000"/>
                            <a:gd name="connsiteX4" fmla="*/ 4221661 w 7560584"/>
                            <a:gd name="connsiteY4" fmla="*/ 2388978 h 7092000"/>
                            <a:gd name="connsiteX5" fmla="*/ 4362638 w 7560584"/>
                            <a:gd name="connsiteY5" fmla="*/ 1832857 h 7092000"/>
                            <a:gd name="connsiteX6" fmla="*/ 4370258 w 7560584"/>
                            <a:gd name="connsiteY6" fmla="*/ 1520395 h 7092000"/>
                            <a:gd name="connsiteX7" fmla="*/ 5823599 w 7560584"/>
                            <a:gd name="connsiteY7" fmla="*/ 1590203 h 7092000"/>
                            <a:gd name="connsiteX8" fmla="*/ 0 w 7560584"/>
                            <a:gd name="connsiteY8" fmla="*/ 0 h 7092000"/>
                            <a:gd name="connsiteX9" fmla="*/ 3964096 w 7560584"/>
                            <a:gd name="connsiteY9" fmla="*/ 1327278 h 7092000"/>
                            <a:gd name="connsiteX10" fmla="*/ 3958760 w 7560584"/>
                            <a:gd name="connsiteY10" fmla="*/ 1634564 h 7092000"/>
                            <a:gd name="connsiteX11" fmla="*/ 884876 w 7560584"/>
                            <a:gd name="connsiteY11" fmla="*/ 7085695 h 7092000"/>
                            <a:gd name="connsiteX12" fmla="*/ 976028 w 7560584"/>
                            <a:gd name="connsiteY12" fmla="*/ 7092000 h 7092000"/>
                            <a:gd name="connsiteX13" fmla="*/ 0 w 7560584"/>
                            <a:gd name="connsiteY13" fmla="*/ 7092000 h 7092000"/>
                            <a:gd name="connsiteX14" fmla="*/ 0 w 7560584"/>
                            <a:gd name="connsiteY14" fmla="*/ 0 h 7092000"/>
                            <a:gd name="connsiteX0" fmla="*/ 5823599 w 7560584"/>
                            <a:gd name="connsiteY0" fmla="*/ 1590203 h 7092000"/>
                            <a:gd name="connsiteX1" fmla="*/ 7560584 w 7560584"/>
                            <a:gd name="connsiteY1" fmla="*/ 1917907 h 7092000"/>
                            <a:gd name="connsiteX2" fmla="*/ 7560000 w 7560584"/>
                            <a:gd name="connsiteY2" fmla="*/ 7092000 h 7092000"/>
                            <a:gd name="connsiteX3" fmla="*/ 2005520 w 7560584"/>
                            <a:gd name="connsiteY3" fmla="*/ 6307618 h 7092000"/>
                            <a:gd name="connsiteX4" fmla="*/ 4221661 w 7560584"/>
                            <a:gd name="connsiteY4" fmla="*/ 2388978 h 7092000"/>
                            <a:gd name="connsiteX5" fmla="*/ 4362638 w 7560584"/>
                            <a:gd name="connsiteY5" fmla="*/ 1832857 h 7092000"/>
                            <a:gd name="connsiteX6" fmla="*/ 4370258 w 7560584"/>
                            <a:gd name="connsiteY6" fmla="*/ 1520395 h 7092000"/>
                            <a:gd name="connsiteX7" fmla="*/ 5823599 w 7560584"/>
                            <a:gd name="connsiteY7" fmla="*/ 1590203 h 7092000"/>
                            <a:gd name="connsiteX8" fmla="*/ 0 w 7560584"/>
                            <a:gd name="connsiteY8" fmla="*/ 0 h 7092000"/>
                            <a:gd name="connsiteX9" fmla="*/ 4383246 w 7560584"/>
                            <a:gd name="connsiteY9" fmla="*/ 1376814 h 7092000"/>
                            <a:gd name="connsiteX10" fmla="*/ 3958760 w 7560584"/>
                            <a:gd name="connsiteY10" fmla="*/ 1634564 h 7092000"/>
                            <a:gd name="connsiteX11" fmla="*/ 884876 w 7560584"/>
                            <a:gd name="connsiteY11" fmla="*/ 7085695 h 7092000"/>
                            <a:gd name="connsiteX12" fmla="*/ 976028 w 7560584"/>
                            <a:gd name="connsiteY12" fmla="*/ 7092000 h 7092000"/>
                            <a:gd name="connsiteX13" fmla="*/ 0 w 7560584"/>
                            <a:gd name="connsiteY13" fmla="*/ 7092000 h 7092000"/>
                            <a:gd name="connsiteX14" fmla="*/ 0 w 7560584"/>
                            <a:gd name="connsiteY14" fmla="*/ 0 h 7092000"/>
                            <a:gd name="connsiteX0" fmla="*/ 5823599 w 7560584"/>
                            <a:gd name="connsiteY0" fmla="*/ 1590203 h 7092000"/>
                            <a:gd name="connsiteX1" fmla="*/ 7560584 w 7560584"/>
                            <a:gd name="connsiteY1" fmla="*/ 1917907 h 7092000"/>
                            <a:gd name="connsiteX2" fmla="*/ 7560000 w 7560584"/>
                            <a:gd name="connsiteY2" fmla="*/ 7092000 h 7092000"/>
                            <a:gd name="connsiteX3" fmla="*/ 2005520 w 7560584"/>
                            <a:gd name="connsiteY3" fmla="*/ 6307618 h 7092000"/>
                            <a:gd name="connsiteX4" fmla="*/ 4221661 w 7560584"/>
                            <a:gd name="connsiteY4" fmla="*/ 2388978 h 7092000"/>
                            <a:gd name="connsiteX5" fmla="*/ 4362638 w 7560584"/>
                            <a:gd name="connsiteY5" fmla="*/ 1832857 h 7092000"/>
                            <a:gd name="connsiteX6" fmla="*/ 4370258 w 7560584"/>
                            <a:gd name="connsiteY6" fmla="*/ 1520395 h 7092000"/>
                            <a:gd name="connsiteX7" fmla="*/ 5823599 w 7560584"/>
                            <a:gd name="connsiteY7" fmla="*/ 1590203 h 7092000"/>
                            <a:gd name="connsiteX8" fmla="*/ 0 w 7560584"/>
                            <a:gd name="connsiteY8" fmla="*/ 0 h 7092000"/>
                            <a:gd name="connsiteX9" fmla="*/ 4383246 w 7560584"/>
                            <a:gd name="connsiteY9" fmla="*/ 1376814 h 7092000"/>
                            <a:gd name="connsiteX10" fmla="*/ 884876 w 7560584"/>
                            <a:gd name="connsiteY10" fmla="*/ 7085695 h 7092000"/>
                            <a:gd name="connsiteX11" fmla="*/ 976028 w 7560584"/>
                            <a:gd name="connsiteY11" fmla="*/ 7092000 h 7092000"/>
                            <a:gd name="connsiteX12" fmla="*/ 0 w 7560584"/>
                            <a:gd name="connsiteY12" fmla="*/ 7092000 h 7092000"/>
                            <a:gd name="connsiteX13" fmla="*/ 0 w 7560584"/>
                            <a:gd name="connsiteY13" fmla="*/ 0 h 7092000"/>
                            <a:gd name="connsiteX0" fmla="*/ 5823599 w 7560584"/>
                            <a:gd name="connsiteY0" fmla="*/ 1590203 h 7092000"/>
                            <a:gd name="connsiteX1" fmla="*/ 7560584 w 7560584"/>
                            <a:gd name="connsiteY1" fmla="*/ 1917907 h 7092000"/>
                            <a:gd name="connsiteX2" fmla="*/ 7560000 w 7560584"/>
                            <a:gd name="connsiteY2" fmla="*/ 7092000 h 7092000"/>
                            <a:gd name="connsiteX3" fmla="*/ 2005520 w 7560584"/>
                            <a:gd name="connsiteY3" fmla="*/ 6307618 h 7092000"/>
                            <a:gd name="connsiteX4" fmla="*/ 4221661 w 7560584"/>
                            <a:gd name="connsiteY4" fmla="*/ 2388978 h 7092000"/>
                            <a:gd name="connsiteX5" fmla="*/ 4362638 w 7560584"/>
                            <a:gd name="connsiteY5" fmla="*/ 1832857 h 7092000"/>
                            <a:gd name="connsiteX6" fmla="*/ 4370258 w 7560584"/>
                            <a:gd name="connsiteY6" fmla="*/ 1520395 h 7092000"/>
                            <a:gd name="connsiteX7" fmla="*/ 5823599 w 7560584"/>
                            <a:gd name="connsiteY7" fmla="*/ 1590203 h 7092000"/>
                            <a:gd name="connsiteX8" fmla="*/ 0 w 7560584"/>
                            <a:gd name="connsiteY8" fmla="*/ 0 h 7092000"/>
                            <a:gd name="connsiteX9" fmla="*/ 4383246 w 7560584"/>
                            <a:gd name="connsiteY9" fmla="*/ 1376814 h 7092000"/>
                            <a:gd name="connsiteX10" fmla="*/ 976028 w 7560584"/>
                            <a:gd name="connsiteY10" fmla="*/ 7092000 h 7092000"/>
                            <a:gd name="connsiteX11" fmla="*/ 0 w 7560584"/>
                            <a:gd name="connsiteY11" fmla="*/ 7092000 h 7092000"/>
                            <a:gd name="connsiteX12" fmla="*/ 0 w 7560584"/>
                            <a:gd name="connsiteY12" fmla="*/ 0 h 7092000"/>
                            <a:gd name="connsiteX0" fmla="*/ 5823599 w 7560584"/>
                            <a:gd name="connsiteY0" fmla="*/ 1590203 h 7092000"/>
                            <a:gd name="connsiteX1" fmla="*/ 7560584 w 7560584"/>
                            <a:gd name="connsiteY1" fmla="*/ 1917907 h 7092000"/>
                            <a:gd name="connsiteX2" fmla="*/ 7560000 w 7560584"/>
                            <a:gd name="connsiteY2" fmla="*/ 7092000 h 7092000"/>
                            <a:gd name="connsiteX3" fmla="*/ 4221661 w 7560584"/>
                            <a:gd name="connsiteY3" fmla="*/ 2388978 h 7092000"/>
                            <a:gd name="connsiteX4" fmla="*/ 4362638 w 7560584"/>
                            <a:gd name="connsiteY4" fmla="*/ 1832857 h 7092000"/>
                            <a:gd name="connsiteX5" fmla="*/ 4370258 w 7560584"/>
                            <a:gd name="connsiteY5" fmla="*/ 1520395 h 7092000"/>
                            <a:gd name="connsiteX6" fmla="*/ 5823599 w 7560584"/>
                            <a:gd name="connsiteY6" fmla="*/ 1590203 h 7092000"/>
                            <a:gd name="connsiteX7" fmla="*/ 0 w 7560584"/>
                            <a:gd name="connsiteY7" fmla="*/ 0 h 7092000"/>
                            <a:gd name="connsiteX8" fmla="*/ 4383246 w 7560584"/>
                            <a:gd name="connsiteY8" fmla="*/ 1376814 h 7092000"/>
                            <a:gd name="connsiteX9" fmla="*/ 976028 w 7560584"/>
                            <a:gd name="connsiteY9" fmla="*/ 7092000 h 7092000"/>
                            <a:gd name="connsiteX10" fmla="*/ 0 w 7560584"/>
                            <a:gd name="connsiteY10" fmla="*/ 7092000 h 7092000"/>
                            <a:gd name="connsiteX11" fmla="*/ 0 w 7560584"/>
                            <a:gd name="connsiteY11" fmla="*/ 0 h 7092000"/>
                            <a:gd name="connsiteX0" fmla="*/ 5823599 w 7560584"/>
                            <a:gd name="connsiteY0" fmla="*/ 1590203 h 7092000"/>
                            <a:gd name="connsiteX1" fmla="*/ 7560584 w 7560584"/>
                            <a:gd name="connsiteY1" fmla="*/ 1917907 h 7092000"/>
                            <a:gd name="connsiteX2" fmla="*/ 7560000 w 7560584"/>
                            <a:gd name="connsiteY2" fmla="*/ 7092000 h 7092000"/>
                            <a:gd name="connsiteX3" fmla="*/ 4362638 w 7560584"/>
                            <a:gd name="connsiteY3" fmla="*/ 1832857 h 7092000"/>
                            <a:gd name="connsiteX4" fmla="*/ 4370258 w 7560584"/>
                            <a:gd name="connsiteY4" fmla="*/ 1520395 h 7092000"/>
                            <a:gd name="connsiteX5" fmla="*/ 5823599 w 7560584"/>
                            <a:gd name="connsiteY5" fmla="*/ 1590203 h 7092000"/>
                            <a:gd name="connsiteX6" fmla="*/ 0 w 7560584"/>
                            <a:gd name="connsiteY6" fmla="*/ 0 h 7092000"/>
                            <a:gd name="connsiteX7" fmla="*/ 4383246 w 7560584"/>
                            <a:gd name="connsiteY7" fmla="*/ 1376814 h 7092000"/>
                            <a:gd name="connsiteX8" fmla="*/ 976028 w 7560584"/>
                            <a:gd name="connsiteY8" fmla="*/ 7092000 h 7092000"/>
                            <a:gd name="connsiteX9" fmla="*/ 0 w 7560584"/>
                            <a:gd name="connsiteY9" fmla="*/ 7092000 h 7092000"/>
                            <a:gd name="connsiteX10" fmla="*/ 0 w 7560584"/>
                            <a:gd name="connsiteY10" fmla="*/ 0 h 7092000"/>
                            <a:gd name="connsiteX0" fmla="*/ 5823599 w 7560584"/>
                            <a:gd name="connsiteY0" fmla="*/ 1590203 h 7092000"/>
                            <a:gd name="connsiteX1" fmla="*/ 7560584 w 7560584"/>
                            <a:gd name="connsiteY1" fmla="*/ 1917907 h 7092000"/>
                            <a:gd name="connsiteX2" fmla="*/ 7560000 w 7560584"/>
                            <a:gd name="connsiteY2" fmla="*/ 7092000 h 7092000"/>
                            <a:gd name="connsiteX3" fmla="*/ 4370258 w 7560584"/>
                            <a:gd name="connsiteY3" fmla="*/ 1520395 h 7092000"/>
                            <a:gd name="connsiteX4" fmla="*/ 5823599 w 7560584"/>
                            <a:gd name="connsiteY4" fmla="*/ 1590203 h 7092000"/>
                            <a:gd name="connsiteX5" fmla="*/ 0 w 7560584"/>
                            <a:gd name="connsiteY5" fmla="*/ 0 h 7092000"/>
                            <a:gd name="connsiteX6" fmla="*/ 4383246 w 7560584"/>
                            <a:gd name="connsiteY6" fmla="*/ 1376814 h 7092000"/>
                            <a:gd name="connsiteX7" fmla="*/ 976028 w 7560584"/>
                            <a:gd name="connsiteY7" fmla="*/ 7092000 h 7092000"/>
                            <a:gd name="connsiteX8" fmla="*/ 0 w 7560584"/>
                            <a:gd name="connsiteY8" fmla="*/ 7092000 h 7092000"/>
                            <a:gd name="connsiteX9" fmla="*/ 0 w 7560584"/>
                            <a:gd name="connsiteY9" fmla="*/ 0 h 7092000"/>
                            <a:gd name="connsiteX0" fmla="*/ 5823599 w 7560584"/>
                            <a:gd name="connsiteY0" fmla="*/ 1590203 h 7092000"/>
                            <a:gd name="connsiteX1" fmla="*/ 7560584 w 7560584"/>
                            <a:gd name="connsiteY1" fmla="*/ 1917907 h 7092000"/>
                            <a:gd name="connsiteX2" fmla="*/ 7560000 w 7560584"/>
                            <a:gd name="connsiteY2" fmla="*/ 7092000 h 7092000"/>
                            <a:gd name="connsiteX3" fmla="*/ 5823599 w 7560584"/>
                            <a:gd name="connsiteY3" fmla="*/ 1590203 h 7092000"/>
                            <a:gd name="connsiteX4" fmla="*/ 0 w 7560584"/>
                            <a:gd name="connsiteY4" fmla="*/ 0 h 7092000"/>
                            <a:gd name="connsiteX5" fmla="*/ 4383246 w 7560584"/>
                            <a:gd name="connsiteY5" fmla="*/ 1376814 h 7092000"/>
                            <a:gd name="connsiteX6" fmla="*/ 976028 w 7560584"/>
                            <a:gd name="connsiteY6" fmla="*/ 7092000 h 7092000"/>
                            <a:gd name="connsiteX7" fmla="*/ 0 w 7560584"/>
                            <a:gd name="connsiteY7" fmla="*/ 7092000 h 7092000"/>
                            <a:gd name="connsiteX8" fmla="*/ 0 w 7560584"/>
                            <a:gd name="connsiteY8" fmla="*/ 0 h 7092000"/>
                            <a:gd name="connsiteX0" fmla="*/ 7560000 w 7560584"/>
                            <a:gd name="connsiteY0" fmla="*/ 7092000 h 7092000"/>
                            <a:gd name="connsiteX1" fmla="*/ 7560584 w 7560584"/>
                            <a:gd name="connsiteY1" fmla="*/ 1917907 h 7092000"/>
                            <a:gd name="connsiteX2" fmla="*/ 7560000 w 7560584"/>
                            <a:gd name="connsiteY2" fmla="*/ 7092000 h 7092000"/>
                            <a:gd name="connsiteX3" fmla="*/ 0 w 7560584"/>
                            <a:gd name="connsiteY3" fmla="*/ 0 h 7092000"/>
                            <a:gd name="connsiteX4" fmla="*/ 4383246 w 7560584"/>
                            <a:gd name="connsiteY4" fmla="*/ 1376814 h 7092000"/>
                            <a:gd name="connsiteX5" fmla="*/ 976028 w 7560584"/>
                            <a:gd name="connsiteY5" fmla="*/ 7092000 h 7092000"/>
                            <a:gd name="connsiteX6" fmla="*/ 0 w 7560584"/>
                            <a:gd name="connsiteY6" fmla="*/ 7092000 h 7092000"/>
                            <a:gd name="connsiteX7" fmla="*/ 0 w 7560584"/>
                            <a:gd name="connsiteY7" fmla="*/ 0 h 7092000"/>
                            <a:gd name="connsiteX0" fmla="*/ 0 w 4389962"/>
                            <a:gd name="connsiteY0" fmla="*/ 0 h 7092000"/>
                            <a:gd name="connsiteX1" fmla="*/ 4383246 w 4389962"/>
                            <a:gd name="connsiteY1" fmla="*/ 1376814 h 7092000"/>
                            <a:gd name="connsiteX2" fmla="*/ 976028 w 4389962"/>
                            <a:gd name="connsiteY2" fmla="*/ 7092000 h 7092000"/>
                            <a:gd name="connsiteX3" fmla="*/ 0 w 4389962"/>
                            <a:gd name="connsiteY3" fmla="*/ 7092000 h 7092000"/>
                            <a:gd name="connsiteX4" fmla="*/ 0 w 4389962"/>
                            <a:gd name="connsiteY4" fmla="*/ 0 h 7092000"/>
                            <a:gd name="connsiteX0" fmla="*/ 0 w 8095226"/>
                            <a:gd name="connsiteY0" fmla="*/ 0 h 7092000"/>
                            <a:gd name="connsiteX1" fmla="*/ 8092247 w 8095226"/>
                            <a:gd name="connsiteY1" fmla="*/ 2059187 h 7092000"/>
                            <a:gd name="connsiteX2" fmla="*/ 976028 w 8095226"/>
                            <a:gd name="connsiteY2" fmla="*/ 7092000 h 7092000"/>
                            <a:gd name="connsiteX3" fmla="*/ 0 w 8095226"/>
                            <a:gd name="connsiteY3" fmla="*/ 7092000 h 7092000"/>
                            <a:gd name="connsiteX4" fmla="*/ 0 w 8095226"/>
                            <a:gd name="connsiteY4" fmla="*/ 0 h 7092000"/>
                            <a:gd name="connsiteX0" fmla="*/ 976028 w 8183691"/>
                            <a:gd name="connsiteY0" fmla="*/ 7092000 h 7092000"/>
                            <a:gd name="connsiteX1" fmla="*/ 0 w 8183691"/>
                            <a:gd name="connsiteY1" fmla="*/ 7092000 h 7092000"/>
                            <a:gd name="connsiteX2" fmla="*/ 0 w 8183691"/>
                            <a:gd name="connsiteY2" fmla="*/ 0 h 7092000"/>
                            <a:gd name="connsiteX3" fmla="*/ 8183691 w 8183691"/>
                            <a:gd name="connsiteY3" fmla="*/ 2150639 h 7092000"/>
                            <a:gd name="connsiteX0" fmla="*/ 8084686 w 8183691"/>
                            <a:gd name="connsiteY0" fmla="*/ 6997612 h 7092000"/>
                            <a:gd name="connsiteX1" fmla="*/ 0 w 8183691"/>
                            <a:gd name="connsiteY1" fmla="*/ 7092000 h 7092000"/>
                            <a:gd name="connsiteX2" fmla="*/ 0 w 8183691"/>
                            <a:gd name="connsiteY2" fmla="*/ 0 h 7092000"/>
                            <a:gd name="connsiteX3" fmla="*/ 8183691 w 8183691"/>
                            <a:gd name="connsiteY3" fmla="*/ 2150639 h 7092000"/>
                            <a:gd name="connsiteX0" fmla="*/ 8084686 w 8084686"/>
                            <a:gd name="connsiteY0" fmla="*/ 6997612 h 7092000"/>
                            <a:gd name="connsiteX1" fmla="*/ 0 w 8084686"/>
                            <a:gd name="connsiteY1" fmla="*/ 7092000 h 7092000"/>
                            <a:gd name="connsiteX2" fmla="*/ 0 w 8084686"/>
                            <a:gd name="connsiteY2" fmla="*/ 0 h 7092000"/>
                            <a:gd name="connsiteX3" fmla="*/ 8080875 w 8084686"/>
                            <a:gd name="connsiteY3" fmla="*/ 2013461 h 7092000"/>
                            <a:gd name="connsiteX0" fmla="*/ 8092882 w 8092882"/>
                            <a:gd name="connsiteY0" fmla="*/ 6997612 h 6997612"/>
                            <a:gd name="connsiteX1" fmla="*/ 0 w 8092882"/>
                            <a:gd name="connsiteY1" fmla="*/ 6860434 h 6997612"/>
                            <a:gd name="connsiteX2" fmla="*/ 8196 w 8092882"/>
                            <a:gd name="connsiteY2" fmla="*/ 0 h 6997612"/>
                            <a:gd name="connsiteX3" fmla="*/ 8089071 w 8092882"/>
                            <a:gd name="connsiteY3" fmla="*/ 2013461 h 6997612"/>
                            <a:gd name="connsiteX0" fmla="*/ 8100933 w 8100933"/>
                            <a:gd name="connsiteY0" fmla="*/ 6860669 h 6860669"/>
                            <a:gd name="connsiteX1" fmla="*/ 0 w 8100933"/>
                            <a:gd name="connsiteY1" fmla="*/ 6860434 h 6860669"/>
                            <a:gd name="connsiteX2" fmla="*/ 8196 w 8100933"/>
                            <a:gd name="connsiteY2" fmla="*/ 0 h 6860669"/>
                            <a:gd name="connsiteX3" fmla="*/ 8089071 w 8100933"/>
                            <a:gd name="connsiteY3" fmla="*/ 2013461 h 6860669"/>
                            <a:gd name="connsiteX0" fmla="*/ 8113502 w 8113502"/>
                            <a:gd name="connsiteY0" fmla="*/ 6860669 h 6897110"/>
                            <a:gd name="connsiteX1" fmla="*/ 0 w 8113502"/>
                            <a:gd name="connsiteY1" fmla="*/ 6897110 h 6897110"/>
                            <a:gd name="connsiteX2" fmla="*/ 20765 w 8113502"/>
                            <a:gd name="connsiteY2" fmla="*/ 0 h 6897110"/>
                            <a:gd name="connsiteX3" fmla="*/ 8101640 w 8113502"/>
                            <a:gd name="connsiteY3" fmla="*/ 2013461 h 6897110"/>
                            <a:gd name="connsiteX0" fmla="*/ 8115349 w 8115349"/>
                            <a:gd name="connsiteY0" fmla="*/ 6904335 h 6904335"/>
                            <a:gd name="connsiteX1" fmla="*/ 0 w 8115349"/>
                            <a:gd name="connsiteY1" fmla="*/ 6897110 h 6904335"/>
                            <a:gd name="connsiteX2" fmla="*/ 20765 w 8115349"/>
                            <a:gd name="connsiteY2" fmla="*/ 0 h 6904335"/>
                            <a:gd name="connsiteX3" fmla="*/ 8101640 w 8115349"/>
                            <a:gd name="connsiteY3" fmla="*/ 2013461 h 6904335"/>
                            <a:gd name="connsiteX0" fmla="*/ 8111481 w 8111481"/>
                            <a:gd name="connsiteY0" fmla="*/ 6889331 h 6897110"/>
                            <a:gd name="connsiteX1" fmla="*/ 0 w 8111481"/>
                            <a:gd name="connsiteY1" fmla="*/ 6897110 h 6897110"/>
                            <a:gd name="connsiteX2" fmla="*/ 20765 w 8111481"/>
                            <a:gd name="connsiteY2" fmla="*/ 0 h 6897110"/>
                            <a:gd name="connsiteX3" fmla="*/ 8101640 w 8111481"/>
                            <a:gd name="connsiteY3" fmla="*/ 2013461 h 6897110"/>
                            <a:gd name="connsiteX0" fmla="*/ 8111481 w 8119406"/>
                            <a:gd name="connsiteY0" fmla="*/ 6889331 h 6897110"/>
                            <a:gd name="connsiteX1" fmla="*/ 0 w 8119406"/>
                            <a:gd name="connsiteY1" fmla="*/ 6897110 h 6897110"/>
                            <a:gd name="connsiteX2" fmla="*/ 20765 w 8119406"/>
                            <a:gd name="connsiteY2" fmla="*/ 0 h 6897110"/>
                            <a:gd name="connsiteX3" fmla="*/ 8119406 w 8119406"/>
                            <a:gd name="connsiteY3" fmla="*/ 2067808 h 6897110"/>
                            <a:gd name="connsiteX0" fmla="*/ 8111481 w 8119406"/>
                            <a:gd name="connsiteY0" fmla="*/ 6890656 h 6898435"/>
                            <a:gd name="connsiteX1" fmla="*/ 0 w 8119406"/>
                            <a:gd name="connsiteY1" fmla="*/ 6898435 h 6898435"/>
                            <a:gd name="connsiteX2" fmla="*/ 3479 w 8119406"/>
                            <a:gd name="connsiteY2" fmla="*/ 0 h 6898435"/>
                            <a:gd name="connsiteX3" fmla="*/ 8119406 w 8119406"/>
                            <a:gd name="connsiteY3" fmla="*/ 2069133 h 6898435"/>
                            <a:gd name="connsiteX0" fmla="*/ 8112089 w 8119406"/>
                            <a:gd name="connsiteY0" fmla="*/ 6907271 h 6907271"/>
                            <a:gd name="connsiteX1" fmla="*/ 0 w 8119406"/>
                            <a:gd name="connsiteY1" fmla="*/ 6898435 h 6907271"/>
                            <a:gd name="connsiteX2" fmla="*/ 3479 w 8119406"/>
                            <a:gd name="connsiteY2" fmla="*/ 0 h 6907271"/>
                            <a:gd name="connsiteX3" fmla="*/ 8119406 w 8119406"/>
                            <a:gd name="connsiteY3" fmla="*/ 2069133 h 6907271"/>
                            <a:gd name="connsiteX0" fmla="*/ 8104468 w 8119406"/>
                            <a:gd name="connsiteY0" fmla="*/ 6869110 h 6898435"/>
                            <a:gd name="connsiteX1" fmla="*/ 0 w 8119406"/>
                            <a:gd name="connsiteY1" fmla="*/ 6898435 h 6898435"/>
                            <a:gd name="connsiteX2" fmla="*/ 3479 w 8119406"/>
                            <a:gd name="connsiteY2" fmla="*/ 0 h 6898435"/>
                            <a:gd name="connsiteX3" fmla="*/ 8119406 w 8119406"/>
                            <a:gd name="connsiteY3" fmla="*/ 2069133 h 6898435"/>
                            <a:gd name="connsiteX0" fmla="*/ 8104468 w 8119406"/>
                            <a:gd name="connsiteY0" fmla="*/ 6895840 h 6898435"/>
                            <a:gd name="connsiteX1" fmla="*/ 0 w 8119406"/>
                            <a:gd name="connsiteY1" fmla="*/ 6898435 h 6898435"/>
                            <a:gd name="connsiteX2" fmla="*/ 3479 w 8119406"/>
                            <a:gd name="connsiteY2" fmla="*/ 0 h 6898435"/>
                            <a:gd name="connsiteX3" fmla="*/ 8119406 w 8119406"/>
                            <a:gd name="connsiteY3" fmla="*/ 2069133 h 6898435"/>
                            <a:gd name="connsiteX0" fmla="*/ 8138501 w 8138501"/>
                            <a:gd name="connsiteY0" fmla="*/ 6895707 h 6898435"/>
                            <a:gd name="connsiteX1" fmla="*/ 0 w 8138501"/>
                            <a:gd name="connsiteY1" fmla="*/ 6898435 h 6898435"/>
                            <a:gd name="connsiteX2" fmla="*/ 3479 w 8138501"/>
                            <a:gd name="connsiteY2" fmla="*/ 0 h 6898435"/>
                            <a:gd name="connsiteX3" fmla="*/ 8119406 w 8138501"/>
                            <a:gd name="connsiteY3" fmla="*/ 2069133 h 6898435"/>
                            <a:gd name="connsiteX0" fmla="*/ 8138501 w 8138501"/>
                            <a:gd name="connsiteY0" fmla="*/ 6895707 h 6898435"/>
                            <a:gd name="connsiteX1" fmla="*/ 0 w 8138501"/>
                            <a:gd name="connsiteY1" fmla="*/ 6898435 h 6898435"/>
                            <a:gd name="connsiteX2" fmla="*/ 2966 w 8138501"/>
                            <a:gd name="connsiteY2" fmla="*/ 0 h 6898435"/>
                            <a:gd name="connsiteX3" fmla="*/ 8119406 w 8138501"/>
                            <a:gd name="connsiteY3" fmla="*/ 2069133 h 6898435"/>
                            <a:gd name="connsiteX0" fmla="*/ 8138501 w 8138501"/>
                            <a:gd name="connsiteY0" fmla="*/ 6879090 h 6881818"/>
                            <a:gd name="connsiteX1" fmla="*/ 0 w 8138501"/>
                            <a:gd name="connsiteY1" fmla="*/ 6881818 h 6881818"/>
                            <a:gd name="connsiteX2" fmla="*/ 2966 w 8138501"/>
                            <a:gd name="connsiteY2" fmla="*/ 0 h 6881818"/>
                            <a:gd name="connsiteX3" fmla="*/ 8119406 w 8138501"/>
                            <a:gd name="connsiteY3" fmla="*/ 2052516 h 6881818"/>
                            <a:gd name="connsiteX0" fmla="*/ 8138501 w 8169945"/>
                            <a:gd name="connsiteY0" fmla="*/ 6879090 h 6881818"/>
                            <a:gd name="connsiteX1" fmla="*/ 0 w 8169945"/>
                            <a:gd name="connsiteY1" fmla="*/ 6881818 h 6881818"/>
                            <a:gd name="connsiteX2" fmla="*/ 2966 w 8169945"/>
                            <a:gd name="connsiteY2" fmla="*/ 0 h 6881818"/>
                            <a:gd name="connsiteX3" fmla="*/ 8169945 w 8169945"/>
                            <a:gd name="connsiteY3" fmla="*/ 2064981 h 6881818"/>
                            <a:gd name="connsiteX0" fmla="*/ 8144221 w 8175665"/>
                            <a:gd name="connsiteY0" fmla="*/ 6880923 h 6883651"/>
                            <a:gd name="connsiteX1" fmla="*/ 5720 w 8175665"/>
                            <a:gd name="connsiteY1" fmla="*/ 6883651 h 6883651"/>
                            <a:gd name="connsiteX2" fmla="*/ 1619 w 8175665"/>
                            <a:gd name="connsiteY2" fmla="*/ 0 h 6883651"/>
                            <a:gd name="connsiteX3" fmla="*/ 8175665 w 8175665"/>
                            <a:gd name="connsiteY3" fmla="*/ 2066814 h 6883651"/>
                            <a:gd name="connsiteX0" fmla="*/ 8174978 w 8175665"/>
                            <a:gd name="connsiteY0" fmla="*/ 6879381 h 6883651"/>
                            <a:gd name="connsiteX1" fmla="*/ 5720 w 8175665"/>
                            <a:gd name="connsiteY1" fmla="*/ 6883651 h 6883651"/>
                            <a:gd name="connsiteX2" fmla="*/ 1619 w 8175665"/>
                            <a:gd name="connsiteY2" fmla="*/ 0 h 6883651"/>
                            <a:gd name="connsiteX3" fmla="*/ 8175665 w 8175665"/>
                            <a:gd name="connsiteY3" fmla="*/ 2066814 h 6883651"/>
                            <a:gd name="connsiteX0" fmla="*/ 8174978 w 8175665"/>
                            <a:gd name="connsiteY0" fmla="*/ 6879381 h 6883651"/>
                            <a:gd name="connsiteX1" fmla="*/ 5720 w 8175665"/>
                            <a:gd name="connsiteY1" fmla="*/ 6883651 h 6883651"/>
                            <a:gd name="connsiteX2" fmla="*/ 1619 w 8175665"/>
                            <a:gd name="connsiteY2" fmla="*/ 0 h 6883651"/>
                            <a:gd name="connsiteX3" fmla="*/ 8175665 w 8175665"/>
                            <a:gd name="connsiteY3" fmla="*/ 2066814 h 6883651"/>
                            <a:gd name="connsiteX0" fmla="*/ 8174978 w 8186652"/>
                            <a:gd name="connsiteY0" fmla="*/ 6879381 h 6883651"/>
                            <a:gd name="connsiteX1" fmla="*/ 5720 w 8186652"/>
                            <a:gd name="connsiteY1" fmla="*/ 6883651 h 6883651"/>
                            <a:gd name="connsiteX2" fmla="*/ 1619 w 8186652"/>
                            <a:gd name="connsiteY2" fmla="*/ 0 h 6883651"/>
                            <a:gd name="connsiteX3" fmla="*/ 8186652 w 8186652"/>
                            <a:gd name="connsiteY3" fmla="*/ 1518580 h 6883651"/>
                          </a:gdLst>
                          <a:ahLst/>
                          <a:cxnLst>
                            <a:cxn ang="0">
                              <a:pos x="connsiteX0" y="connsiteY0"/>
                            </a:cxn>
                            <a:cxn ang="0">
                              <a:pos x="connsiteX1" y="connsiteY1"/>
                            </a:cxn>
                            <a:cxn ang="0">
                              <a:pos x="connsiteX2" y="connsiteY2"/>
                            </a:cxn>
                            <a:cxn ang="0">
                              <a:pos x="connsiteX3" y="connsiteY3"/>
                            </a:cxn>
                          </a:cxnLst>
                          <a:rect l="l" t="t" r="r" b="b"/>
                          <a:pathLst>
                            <a:path w="8186652" h="6883651">
                              <a:moveTo>
                                <a:pt x="8174978" y="6879381"/>
                              </a:moveTo>
                              <a:lnTo>
                                <a:pt x="5720" y="6883651"/>
                              </a:lnTo>
                              <a:cubicBezTo>
                                <a:pt x="12642" y="4584614"/>
                                <a:pt x="-5303" y="2299037"/>
                                <a:pt x="1619" y="0"/>
                              </a:cubicBezTo>
                              <a:lnTo>
                                <a:pt x="8186652" y="1518580"/>
                              </a:lnTo>
                            </a:path>
                          </a:pathLst>
                        </a:cu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64DC0652" w14:textId="77777777" w:rsidR="0023150D" w:rsidRDefault="0023150D" w:rsidP="00185372">
                            <w:pPr>
                              <w:jc w:val="center"/>
                            </w:pP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shape id="CoverLowerHalfBlue" o:spid="_x0000_s1026" style="position:absolute;margin-left:0;margin-top:0;width:612pt;height:673.2pt;z-index:-251627520;visibility:visible;mso-wrap-style:square;mso-width-percent:0;mso-height-percent:0;mso-wrap-distance-left:9pt;mso-wrap-distance-top:0;mso-wrap-distance-right:9pt;mso-wrap-distance-bottom:0;mso-position-horizontal:left;mso-position-horizontal-relative:page;mso-position-vertical:bottom;mso-position-vertical-relative:page;mso-width-percent:0;mso-height-percent:0;mso-width-relative:margin;mso-height-relative:margin;v-text-anchor:middle" coordsize="8186652,6883651"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" o:allowincell="f" adj="-11796480,,5400" path="m8174978,6879381l5720,6883651c12642,4584614,-5303,2299037,1619,l8186652,1518580e" fillcolor="#00b5e2 [3204]" stroked="f" strokeweight="2pt">
                <v:stroke joinstyle="miter"/>
                <v:formulas/>
                <v:path arrowok="t" o:connecttype="custom" o:connectlocs="7761317,8544337;5431,8549640;1537,0;7772400,1886108" o:connectangles="0,0,0,0" textboxrect="0,0,8186652,6883651"/>
                <v:textbox>
                  <w:txbxContent>
                    <w:p w14:paraId="64DC0652" w14:textId="77777777" w:rsidR="0023150D" w:rsidRDefault="0023150D" w:rsidP="00185372">
                      <w:pPr>
                        <w:jc w:val="center"/>
                      </w:pPr>
                    </w:p>
                  </w:txbxContent>
                </v:textbox>
                <w10:wrap anchorx="page" anchory="page"/>
              </v:shape>
            </w:pict>
          </mc:Fallback>
        </mc:AlternateContent>
      </w:r>
      <w:r w:rsidR="0030437A">
        <w:rPr>
          <w:noProof/>
        </w:rPr>
        <w:drawing>
          <wp:anchor distT="0" distB="0" distL="114300" distR="114300" simplePos="0" relativeHeight="251691008" behindDoc="0" locked="0" layoutInCell="1" allowOverlap="1" wp14:anchorId="336C6DBC" wp14:editId="61BAA162">
            <wp:simplePos x="0" y="0"/>
            <wp:positionH relativeFrom="rightMargin">
              <wp:posOffset>-1043940</wp:posOffset>
            </wp:positionH>
            <wp:positionV relativeFrom="page">
              <wp:posOffset>360045</wp:posOffset>
            </wp:positionV>
            <wp:extent cx="1620000" cy="238320"/>
            <wp:effectExtent l="0" t="0" r="0" b="9525"/>
            <wp:wrapNone/>
            <wp:docPr id="8" name="AECOMLogo" descr="aecom_imagineit_reverse_1mm_border_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ECOMLogo" descr="aecom_imagineit_reverse_1mm_border_v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620000" cy="238320"/>
                    </a:xfrm>
                    <a:prstGeom prst="rect">
                      <a:avLst/>
                    </a:prstGeom>
                    <a:noFill/>
                  </pic:spPr>
                </pic:pic>
              </a:graphicData>
            </a:graphic>
            <wp14:sizeRelH relativeFrom="page">
              <wp14:pctWidth>0</wp14:pctWidth>
            </wp14:sizeRelH>
            <wp14:sizeRelV relativeFrom="page">
              <wp14:pctHeight>0</wp14:pctHeight>
            </wp14:sizeRelV>
          </wp:anchor>
        </w:drawing>
      </w:r>
      <w:r w:rsidR="00F12DD7">
        <w:rPr>
          <w:noProof/>
        </w:rPr>
        <mc:AlternateContent>
          <mc:Choice Requires="wps">
            <w:drawing>
              <wp:anchor distT="0" distB="0" distL="114300" distR="114300" simplePos="0" relativeHeight="251676672" behindDoc="0" locked="0" layoutInCell="0" allowOverlap="1" wp14:anchorId="4FCE0F82" wp14:editId="2F35BF13">
                <wp:simplePos x="0" y="0"/>
                <wp:positionH relativeFrom="column">
                  <wp:posOffset>0</wp:posOffset>
                </wp:positionH>
                <wp:positionV relativeFrom="page">
                  <wp:posOffset>361507</wp:posOffset>
                </wp:positionV>
                <wp:extent cx="4284921" cy="202019"/>
                <wp:effectExtent l="0" t="0" r="1905" b="5715"/>
                <wp:wrapNone/>
                <wp:docPr id="4" name="CoverAdditionalCompany"/>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84921" cy="202019"/>
                        </a:xfrm>
                        <a:prstGeom prst="rect">
                          <a:avLst/>
                        </a:prstGeom>
                        <a:noFill/>
                        <a:ln w="9525">
                          <a:noFill/>
                          <a:miter lim="800000"/>
                          <a:headEnd/>
                          <a:tailEnd/>
                        </a:ln>
                      </wps:spPr>
                      <wps:txbx>
                        <w:txbxContent>
                          <w:bookmarkStart w:id="1" w:name="Cover2"/>
                          <w:bookmarkStart w:id="2" w:name="Start"/>
                          <w:bookmarkStart w:id="3" w:name="DRAFT"/>
                          <w:p w14:paraId="4EA9657B" w14:textId="77777777" w:rsidR="0023150D" w:rsidRPr="00F74319" w:rsidRDefault="0023150D" w:rsidP="00F83749">
                            <w:pPr>
                              <w:pStyle w:val="Subtitleheading"/>
                              <w:rPr>
                                <w:b/>
                                <w:sz w:val="36"/>
                                <w:szCs w:val="36"/>
                              </w:rPr>
                            </w:pPr>
                            <w:r w:rsidRPr="0030437A">
                              <w:rPr>
                                <w:b/>
                                <w:color w:val="FFFFFF"/>
                                <w:sz w:val="36"/>
                                <w:szCs w:val="36"/>
                              </w:rPr>
                              <w:fldChar w:fldCharType="begin"/>
                            </w:r>
                            <w:r w:rsidRPr="0030437A">
                              <w:rPr>
                                <w:b/>
                                <w:color w:val="FFFFFF"/>
                                <w:sz w:val="36"/>
                                <w:szCs w:val="36"/>
                              </w:rPr>
                              <w:instrText xml:space="preserve"> DOCPROPERTY  Draft \* MERGEFORMAT </w:instrText>
                            </w:r>
                            <w:r w:rsidRPr="0030437A">
                              <w:rPr>
                                <w:b/>
                                <w:color w:val="FFFFFF"/>
                                <w:sz w:val="36"/>
                                <w:szCs w:val="36"/>
                              </w:rPr>
                              <w:fldChar w:fldCharType="separate"/>
                            </w:r>
                            <w:r>
                              <w:rPr>
                                <w:b/>
                                <w:color w:val="FFFFFF"/>
                                <w:sz w:val="36"/>
                                <w:szCs w:val="36"/>
                              </w:rPr>
                              <w:t xml:space="preserve"> </w:t>
                            </w:r>
                            <w:r w:rsidRPr="0030437A">
                              <w:rPr>
                                <w:b/>
                                <w:color w:val="FFFFFF"/>
                                <w:sz w:val="36"/>
                                <w:szCs w:val="36"/>
                              </w:rPr>
                              <w:fldChar w:fldCharType="end"/>
                            </w:r>
                            <w:r w:rsidRPr="0030437A">
                              <w:rPr>
                                <w:b/>
                                <w:color w:val="FFFFFF"/>
                                <w:sz w:val="36"/>
                                <w:szCs w:val="36"/>
                              </w:rPr>
                              <w:t xml:space="preserve"> </w:t>
                            </w:r>
                            <w:bookmarkEnd w:id="1"/>
                            <w:bookmarkEnd w:id="2"/>
                            <w:bookmarkEnd w:id="3"/>
                          </w:p>
                        </w:txbxContent>
                      </wps:txbx>
                      <wps:bodyPr rot="0" vert="horz" wrap="square" lIns="0" tIns="0" rIns="0" bIns="0" anchor="t" anchorCtr="0">
                        <a:spAutoFit/>
                      </wps:bodyPr>
                    </wps:wsp>
                  </a:graphicData>
                </a:graphic>
                <wp14:sizeRelH relativeFrom="margin">
                  <wp14:pctWidth>0</wp14:pctWidth>
                </wp14:sizeRelH>
                <wp14:sizeRelV relativeFrom="margin">
                  <wp14:pctHeight>20000</wp14:pctHeight>
                </wp14:sizeRelV>
              </wp:anchor>
            </w:drawing>
          </mc:Choice>
          <mc:Fallback>
            <w:pict>
              <v:shapetype id="_x0000_t202" coordsize="21600,21600" o:spt="202" path="m,l,21600r21600,l21600,xe">
                <v:stroke joinstyle="miter"/>
                <v:path gradientshapeok="t" o:connecttype="rect"/>
              </v:shapetype>
              <v:shape id="CoverAdditionalCompany" o:spid="_x0000_s1027" type="#_x0000_t202" style="position:absolute;margin-left:0;margin-top:28.45pt;width:337.4pt;height:15.9pt;z-index:251676672;visibility:visible;mso-wrap-style:square;mso-width-percent:0;mso-height-percent:200;mso-wrap-distance-left:9pt;mso-wrap-distance-top:0;mso-wrap-distance-right:9pt;mso-wrap-distance-bottom:0;mso-position-horizontal:absolute;mso-position-horizontal-relative:text;mso-position-vertical:absolute;mso-position-vertical-relative:page;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" o:allowincell="f" filled="f" stroked="f">
                <v:textbox style="mso-fit-shape-to-text:t" inset="0,0,0,0">
                  <w:txbxContent>
                    <w:bookmarkStart w:id="4" w:name="Cover2"/>
                    <w:bookmarkStart w:id="5" w:name="Start"/>
                    <w:bookmarkStart w:id="6" w:name="DRAFT"/>
                    <w:p w14:paraId="4EA9657B" w14:textId="77777777" w:rsidR="0023150D" w:rsidRPr="00F74319" w:rsidRDefault="0023150D" w:rsidP="00F83749">
                      <w:pPr>
                        <w:pStyle w:val="Subtitleheading"/>
                        <w:rPr>
                          <w:b/>
                          <w:sz w:val="36"/>
                          <w:szCs w:val="36"/>
                        </w:rPr>
                      </w:pPr>
                      <w:r w:rsidRPr="0030437A">
                        <w:rPr>
                          <w:b/>
                          <w:color w:val="FFFFFF"/>
                          <w:sz w:val="36"/>
                          <w:szCs w:val="36"/>
                        </w:rPr>
                        <w:fldChar w:fldCharType="begin"/>
                      </w:r>
                      <w:r w:rsidRPr="0030437A">
                        <w:rPr>
                          <w:b/>
                          <w:color w:val="FFFFFF"/>
                          <w:sz w:val="36"/>
                          <w:szCs w:val="36"/>
                        </w:rPr>
                        <w:instrText xml:space="preserve"> DOCPROPERTY  Draft \* MERGEFORMAT </w:instrText>
                      </w:r>
                      <w:r w:rsidRPr="0030437A">
                        <w:rPr>
                          <w:b/>
                          <w:color w:val="FFFFFF"/>
                          <w:sz w:val="36"/>
                          <w:szCs w:val="36"/>
                        </w:rPr>
                        <w:fldChar w:fldCharType="separate"/>
                      </w:r>
                      <w:r>
                        <w:rPr>
                          <w:b/>
                          <w:color w:val="FFFFFF"/>
                          <w:sz w:val="36"/>
                          <w:szCs w:val="36"/>
                        </w:rPr>
                        <w:t xml:space="preserve"> </w:t>
                      </w:r>
                      <w:r w:rsidRPr="0030437A">
                        <w:rPr>
                          <w:b/>
                          <w:color w:val="FFFFFF"/>
                          <w:sz w:val="36"/>
                          <w:szCs w:val="36"/>
                        </w:rPr>
                        <w:fldChar w:fldCharType="end"/>
                      </w:r>
                      <w:r w:rsidRPr="0030437A">
                        <w:rPr>
                          <w:b/>
                          <w:color w:val="FFFFFF"/>
                          <w:sz w:val="36"/>
                          <w:szCs w:val="36"/>
                        </w:rPr>
                        <w:t xml:space="preserve"> </w:t>
                      </w:r>
                      <w:bookmarkEnd w:id="4"/>
                      <w:bookmarkEnd w:id="5"/>
                      <w:bookmarkEnd w:id="6"/>
                    </w:p>
                  </w:txbxContent>
                </v:textbox>
                <w10:wrap anchory="page"/>
              </v:shape>
            </w:pict>
          </mc:Fallback>
        </mc:AlternateContent>
      </w:r>
    </w:p>
    <w:p w14:paraId="167A3D67" w14:textId="77777777" w:rsidR="00F12DD7" w:rsidRDefault="00606621" w:rsidP="00F12DD7">
      <w:pPr>
        <w:pStyle w:val="BodyText"/>
      </w:pPr>
      <w:r>
        <w:rPr>
          <w:noProof/>
        </w:rPr>
        <mc:AlternateContent>
          <mc:Choice Requires="wps">
            <w:drawing>
              <wp:anchor distT="0" distB="0" distL="114300" distR="114300" simplePos="0" relativeHeight="251665408" behindDoc="0" locked="0" layoutInCell="0" allowOverlap="1" wp14:anchorId="3BF0155E" wp14:editId="04708C59">
                <wp:simplePos x="0" y="0"/>
                <wp:positionH relativeFrom="column">
                  <wp:posOffset>0</wp:posOffset>
                </wp:positionH>
                <wp:positionV relativeFrom="page">
                  <wp:align>bottom</wp:align>
                </wp:positionV>
                <wp:extent cx="5943600" cy="1354455"/>
                <wp:effectExtent l="0" t="0" r="0" b="0"/>
                <wp:wrapNone/>
                <wp:docPr id="307" name="CoverFooterBox"/>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43600" cy="1354455"/>
                        </a:xfrm>
                        <a:prstGeom prst="rect">
                          <a:avLst/>
                        </a:prstGeom>
                        <a:noFill/>
                        <a:ln w="9525">
                          <a:noFill/>
                          <a:miter lim="800000"/>
                          <a:headEnd/>
                          <a:tailEnd/>
                        </a:ln>
                      </wps:spPr>
                      <wps:txbx>
                        <w:txbxContent>
                          <w:tbl>
                            <w:tblPr>
                              <w:tblStyle w:val="Plaingrid"/>
                              <w:tblW w:w="4950" w:type="pct"/>
                              <w:tblLook w:val="04A0" w:firstRow="1" w:lastRow="0" w:firstColumn="1" w:lastColumn="0" w:noHBand="0" w:noVBand="1"/>
                            </w:tblPr>
                            <w:tblGrid>
                              <w:gridCol w:w="2722"/>
                              <w:gridCol w:w="2990"/>
                              <w:gridCol w:w="3662"/>
                            </w:tblGrid>
                            <w:tr w:rsidR="0023150D" w:rsidRPr="0030437A" w14:paraId="31160453" w14:textId="77777777" w:rsidTr="00606621">
                              <w:trPr>
                                <w:trHeight w:val="1554"/>
                              </w:trPr>
                              <w:tc>
                                <w:tcPr>
                                  <w:tcW w:w="2635" w:type="dxa"/>
                                  <w:vAlign w:val="bottom"/>
                                </w:tcPr>
                                <w:bookmarkStart w:id="4" w:name="Cover3" w:colFirst="0" w:colLast="2"/>
                                <w:bookmarkStart w:id="5" w:name="CoverTable2"/>
                                <w:p w14:paraId="4832562E" w14:textId="77777777" w:rsidR="0023150D" w:rsidRPr="0030437A" w:rsidRDefault="0023150D" w:rsidP="008A19FD">
                                  <w:pPr>
                                    <w:pStyle w:val="Coverfooter"/>
                                    <w:rPr>
                                      <w:color w:val="FFFFFF"/>
                                    </w:rPr>
                                  </w:pPr>
                                  <w:r w:rsidRPr="0030437A">
                                    <w:rPr>
                                      <w:color w:val="FFFFFF"/>
                                    </w:rPr>
                                    <w:fldChar w:fldCharType="begin"/>
                                  </w:r>
                                  <w:r w:rsidRPr="0030437A">
                                    <w:rPr>
                                      <w:color w:val="FFFFFF"/>
                                    </w:rPr>
                                    <w:instrText xml:space="preserve"> DOCPROPERTY  FooterClientAddress \* MERGEFORMAT </w:instrText>
                                  </w:r>
                                  <w:r w:rsidRPr="0030437A">
                                    <w:rPr>
                                      <w:color w:val="FFFFFF"/>
                                    </w:rPr>
                                    <w:fldChar w:fldCharType="end"/>
                                  </w:r>
                                </w:p>
                              </w:tc>
                              <w:tc>
                                <w:tcPr>
                                  <w:tcW w:w="2894" w:type="dxa"/>
                                  <w:vAlign w:val="bottom"/>
                                </w:tcPr>
                                <w:p w14:paraId="4E20F0B6" w14:textId="77777777" w:rsidR="0023150D" w:rsidRPr="0030437A" w:rsidRDefault="0023150D" w:rsidP="00BA5047">
                                  <w:pPr>
                                    <w:pStyle w:val="Coverfooter"/>
                                    <w:jc w:val="center"/>
                                    <w:rPr>
                                      <w:b/>
                                      <w:caps/>
                                      <w:color w:val="FFFFFF"/>
                                      <w:sz w:val="18"/>
                                      <w:szCs w:val="18"/>
                                    </w:rPr>
                                  </w:pPr>
                                  <w:r w:rsidRPr="0030437A">
                                    <w:rPr>
                                      <w:b/>
                                      <w:caps/>
                                      <w:color w:val="FFFFFF"/>
                                      <w:sz w:val="18"/>
                                      <w:szCs w:val="18"/>
                                    </w:rPr>
                                    <w:fldChar w:fldCharType="begin"/>
                                  </w:r>
                                  <w:r w:rsidRPr="0030437A">
                                    <w:rPr>
                                      <w:b/>
                                      <w:caps/>
                                      <w:color w:val="FFFFFF"/>
                                      <w:sz w:val="18"/>
                                      <w:szCs w:val="18"/>
                                    </w:rPr>
                                    <w:instrText xml:space="preserve"> DOCPROPERTY  ProtectiveMarking \* MERGEFORMAT </w:instrText>
                                  </w:r>
                                  <w:r w:rsidRPr="0030437A">
                                    <w:rPr>
                                      <w:b/>
                                      <w:caps/>
                                      <w:color w:val="FFFFFF"/>
                                      <w:sz w:val="18"/>
                                      <w:szCs w:val="18"/>
                                    </w:rPr>
                                    <w:fldChar w:fldCharType="end"/>
                                  </w:r>
                                </w:p>
                                <w:p w14:paraId="60BF5354" w14:textId="77777777" w:rsidR="0023150D" w:rsidRPr="0030437A" w:rsidRDefault="0023150D" w:rsidP="00BA5047">
                                  <w:pPr>
                                    <w:pStyle w:val="Coverfooter"/>
                                    <w:jc w:val="center"/>
                                    <w:rPr>
                                      <w:color w:val="FFFFFF"/>
                                    </w:rPr>
                                  </w:pPr>
                                  <w:r w:rsidRPr="0030437A">
                                    <w:rPr>
                                      <w:color w:val="FFFFFF"/>
                                    </w:rPr>
                                    <w:fldChar w:fldCharType="begin"/>
                                  </w:r>
                                  <w:r w:rsidRPr="0030437A">
                                    <w:rPr>
                                      <w:color w:val="FFFFFF"/>
                                    </w:rPr>
                                    <w:instrText xml:space="preserve"> DOCPROPERTY  Copies \* MERGEFORMAT </w:instrText>
                                  </w:r>
                                  <w:r w:rsidRPr="0030437A">
                                    <w:rPr>
                                      <w:color w:val="FFFFFF"/>
                                    </w:rPr>
                                    <w:fldChar w:fldCharType="end"/>
                                  </w:r>
                                </w:p>
                              </w:tc>
                              <w:tc>
                                <w:tcPr>
                                  <w:tcW w:w="3545" w:type="dxa"/>
                                  <w:vAlign w:val="bottom"/>
                                </w:tcPr>
                                <w:p w14:paraId="26EC95DC" w14:textId="77777777" w:rsidR="0023150D" w:rsidRPr="0030437A" w:rsidRDefault="0023150D" w:rsidP="008A19FD">
                                  <w:pPr>
                                    <w:pStyle w:val="Coverfooter"/>
                                    <w:rPr>
                                      <w:color w:val="FFFFFF"/>
                                    </w:rPr>
                                  </w:pPr>
                                </w:p>
                                <w:p w14:paraId="5D3DD251" w14:textId="77777777" w:rsidR="0023150D" w:rsidRPr="0030437A" w:rsidRDefault="0023150D" w:rsidP="008A19FD">
                                  <w:pPr>
                                    <w:pStyle w:val="Coverfooter"/>
                                    <w:rPr>
                                      <w:color w:val="FFFFFF"/>
                                    </w:rPr>
                                  </w:pPr>
                                </w:p>
                                <w:p w14:paraId="27BA4C83" w14:textId="77777777" w:rsidR="0023150D" w:rsidRPr="0030437A" w:rsidRDefault="0023150D" w:rsidP="008A19FD">
                                  <w:pPr>
                                    <w:pStyle w:val="Coverfooter"/>
                                    <w:rPr>
                                      <w:color w:val="FFFFFF"/>
                                    </w:rPr>
                                  </w:pPr>
                                </w:p>
                              </w:tc>
                            </w:tr>
                            <w:bookmarkEnd w:id="4"/>
                            <w:bookmarkEnd w:id="5"/>
                          </w:tbl>
                          <w:p w14:paraId="34B0A99D" w14:textId="77777777" w:rsidR="0023150D" w:rsidRDefault="0023150D" w:rsidP="00DA79BC"/>
                        </w:txbxContent>
                      </wps:txbx>
                      <wps:bodyPr rot="0" vert="horz" wrap="square" lIns="0" tIns="0" rIns="0" bIns="36000" anchor="t" anchorCtr="0">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CoverFooterBox" o:spid="_x0000_s1028" type="#_x0000_t202" style="position:absolute;margin-left:0;margin-top:0;width:468pt;height:106.65pt;z-index:251665408;visibility:visible;mso-wrap-style:square;mso-width-percent:0;mso-height-percent:0;mso-wrap-distance-left:9pt;mso-wrap-distance-top:0;mso-wrap-distance-right:9pt;mso-wrap-distance-bottom:0;mso-position-horizontal:absolute;mso-position-horizontal-relative:text;mso-position-vertical:bottom;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" o:allowincell="f" filled="f" stroked="f">
                <v:textbox inset="0,0,0,1mm">
                  <w:txbxContent>
                    <w:tbl>
                      <w:tblPr>
                        <w:tblStyle w:val="Plaingrid"/>
                        <w:tblW w:w="4950" w:type="pct"/>
                        <w:tblLook w:val="04A0" w:firstRow="1" w:lastRow="0" w:firstColumn="1" w:lastColumn="0" w:noHBand="0" w:noVBand="1"/>
                      </w:tblPr>
                      <w:tblGrid>
                        <w:gridCol w:w="2722"/>
                        <w:gridCol w:w="2990"/>
                        <w:gridCol w:w="3662"/>
                      </w:tblGrid>
                      <w:tr w:rsidR="0023150D" w:rsidRPr="0030437A" w14:paraId="31160453" w14:textId="77777777" w:rsidTr="00606621">
                        <w:trPr>
                          <w:trHeight w:val="1554"/>
                        </w:trPr>
                        <w:tc>
                          <w:tcPr>
                            <w:tcW w:w="2635" w:type="dxa"/>
                            <w:vAlign w:val="bottom"/>
                          </w:tcPr>
                          <w:bookmarkStart w:id="6" w:name="Cover3" w:colFirst="0" w:colLast="2"/>
                          <w:bookmarkStart w:id="7" w:name="CoverTable2"/>
                          <w:p w14:paraId="4832562E" w14:textId="77777777" w:rsidR="0023150D" w:rsidRPr="0030437A" w:rsidRDefault="0023150D" w:rsidP="008A19FD">
                            <w:pPr>
                              <w:pStyle w:val="Coverfooter"/>
                              <w:rPr>
                                <w:color w:val="FFFFFF"/>
                              </w:rPr>
                            </w:pPr>
                            <w:r w:rsidRPr="0030437A">
                              <w:rPr>
                                <w:color w:val="FFFFFF"/>
                              </w:rPr>
                              <w:fldChar w:fldCharType="begin"/>
                            </w:r>
                            <w:r w:rsidRPr="0030437A">
                              <w:rPr>
                                <w:color w:val="FFFFFF"/>
                              </w:rPr>
                              <w:instrText xml:space="preserve"> DOCPROPERTY  FooterClientAddress \* MERGEFORMAT </w:instrText>
                            </w:r>
                            <w:r w:rsidRPr="0030437A">
                              <w:rPr>
                                <w:color w:val="FFFFFF"/>
                              </w:rPr>
                              <w:fldChar w:fldCharType="end"/>
                            </w:r>
                          </w:p>
                        </w:tc>
                        <w:tc>
                          <w:tcPr>
                            <w:tcW w:w="2894" w:type="dxa"/>
                            <w:vAlign w:val="bottom"/>
                          </w:tcPr>
                          <w:p w14:paraId="4E20F0B6" w14:textId="77777777" w:rsidR="0023150D" w:rsidRPr="0030437A" w:rsidRDefault="0023150D" w:rsidP="00BA5047">
                            <w:pPr>
                              <w:pStyle w:val="Coverfooter"/>
                              <w:jc w:val="center"/>
                              <w:rPr>
                                <w:b/>
                                <w:caps/>
                                <w:color w:val="FFFFFF"/>
                                <w:sz w:val="18"/>
                                <w:szCs w:val="18"/>
                              </w:rPr>
                            </w:pPr>
                            <w:r w:rsidRPr="0030437A">
                              <w:rPr>
                                <w:b/>
                                <w:caps/>
                                <w:color w:val="FFFFFF"/>
                                <w:sz w:val="18"/>
                                <w:szCs w:val="18"/>
                              </w:rPr>
                              <w:fldChar w:fldCharType="begin"/>
                            </w:r>
                            <w:r w:rsidRPr="0030437A">
                              <w:rPr>
                                <w:b/>
                                <w:caps/>
                                <w:color w:val="FFFFFF"/>
                                <w:sz w:val="18"/>
                                <w:szCs w:val="18"/>
                              </w:rPr>
                              <w:instrText xml:space="preserve"> DOCPROPERTY  ProtectiveMarking \* MERGEFORMAT </w:instrText>
                            </w:r>
                            <w:r w:rsidRPr="0030437A">
                              <w:rPr>
                                <w:b/>
                                <w:caps/>
                                <w:color w:val="FFFFFF"/>
                                <w:sz w:val="18"/>
                                <w:szCs w:val="18"/>
                              </w:rPr>
                              <w:fldChar w:fldCharType="end"/>
                            </w:r>
                          </w:p>
                          <w:p w14:paraId="60BF5354" w14:textId="77777777" w:rsidR="0023150D" w:rsidRPr="0030437A" w:rsidRDefault="0023150D" w:rsidP="00BA5047">
                            <w:pPr>
                              <w:pStyle w:val="Coverfooter"/>
                              <w:jc w:val="center"/>
                              <w:rPr>
                                <w:color w:val="FFFFFF"/>
                              </w:rPr>
                            </w:pPr>
                            <w:r w:rsidRPr="0030437A">
                              <w:rPr>
                                <w:color w:val="FFFFFF"/>
                              </w:rPr>
                              <w:fldChar w:fldCharType="begin"/>
                            </w:r>
                            <w:r w:rsidRPr="0030437A">
                              <w:rPr>
                                <w:color w:val="FFFFFF"/>
                              </w:rPr>
                              <w:instrText xml:space="preserve"> DOCPROPERTY  Copies \* MERGEFORMAT </w:instrText>
                            </w:r>
                            <w:r w:rsidRPr="0030437A">
                              <w:rPr>
                                <w:color w:val="FFFFFF"/>
                              </w:rPr>
                              <w:fldChar w:fldCharType="end"/>
                            </w:r>
                          </w:p>
                        </w:tc>
                        <w:tc>
                          <w:tcPr>
                            <w:tcW w:w="3545" w:type="dxa"/>
                            <w:vAlign w:val="bottom"/>
                          </w:tcPr>
                          <w:p w14:paraId="26EC95DC" w14:textId="77777777" w:rsidR="0023150D" w:rsidRPr="0030437A" w:rsidRDefault="0023150D" w:rsidP="008A19FD">
                            <w:pPr>
                              <w:pStyle w:val="Coverfooter"/>
                              <w:rPr>
                                <w:color w:val="FFFFFF"/>
                              </w:rPr>
                            </w:pPr>
                          </w:p>
                          <w:p w14:paraId="5D3DD251" w14:textId="77777777" w:rsidR="0023150D" w:rsidRPr="0030437A" w:rsidRDefault="0023150D" w:rsidP="008A19FD">
                            <w:pPr>
                              <w:pStyle w:val="Coverfooter"/>
                              <w:rPr>
                                <w:color w:val="FFFFFF"/>
                              </w:rPr>
                            </w:pPr>
                          </w:p>
                          <w:p w14:paraId="27BA4C83" w14:textId="77777777" w:rsidR="0023150D" w:rsidRPr="0030437A" w:rsidRDefault="0023150D" w:rsidP="008A19FD">
                            <w:pPr>
                              <w:pStyle w:val="Coverfooter"/>
                              <w:rPr>
                                <w:color w:val="FFFFFF"/>
                              </w:rPr>
                            </w:pPr>
                          </w:p>
                        </w:tc>
                      </w:tr>
                      <w:bookmarkEnd w:id="6"/>
                      <w:bookmarkEnd w:id="7"/>
                    </w:tbl>
                    <w:p w14:paraId="34B0A99D" w14:textId="77777777" w:rsidR="0023150D" w:rsidRDefault="0023150D" w:rsidP="00DA79BC"/>
                  </w:txbxContent>
                </v:textbox>
                <w10:wrap anchory="page"/>
              </v:shape>
            </w:pict>
          </mc:Fallback>
        </mc:AlternateContent>
      </w:r>
      <w:r w:rsidR="000652F7">
        <w:rPr>
          <w:noProof/>
        </w:rPr>
        <mc:AlternateContent>
          <mc:Choice Requires="wps">
            <w:drawing>
              <wp:anchor distT="0" distB="0" distL="114300" distR="114300" simplePos="0" relativeHeight="251671552" behindDoc="0" locked="0" layoutInCell="0" allowOverlap="1" wp14:anchorId="6CC4D399" wp14:editId="55F6874C">
                <wp:simplePos x="0" y="0"/>
                <wp:positionH relativeFrom="margin">
                  <wp:posOffset>0</wp:posOffset>
                </wp:positionH>
                <wp:positionV relativeFrom="page">
                  <wp:posOffset>3771900</wp:posOffset>
                </wp:positionV>
                <wp:extent cx="5943600" cy="3081659"/>
                <wp:effectExtent l="0" t="0" r="0" b="0"/>
                <wp:wrapNone/>
                <wp:docPr id="7" name="CoverTitleBox"/>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43600" cy="3081659"/>
                        </a:xfrm>
                        <a:prstGeom prst="rect">
                          <a:avLst/>
                        </a:prstGeom>
                        <a:noFill/>
                        <a:ln w="9525">
                          <a:noFill/>
                          <a:miter lim="800000"/>
                          <a:headEnd/>
                          <a:tailEnd/>
                        </a:ln>
                      </wps:spPr>
                      <wps:txbx>
                        <w:txbxContent>
                          <w:tbl>
                            <w:tblPr>
                              <w:tblStyle w:val="Plaingrid"/>
                              <w:tblW w:w="4800" w:type="pct"/>
                              <w:tblLook w:val="04A0" w:firstRow="1" w:lastRow="0" w:firstColumn="1" w:lastColumn="0" w:noHBand="0" w:noVBand="1"/>
                            </w:tblPr>
                            <w:tblGrid>
                              <w:gridCol w:w="9090"/>
                            </w:tblGrid>
                            <w:tr w:rsidR="0023150D" w:rsidRPr="0030437A" w14:paraId="6ACEC2B6" w14:textId="77777777" w:rsidTr="002C4272">
                              <w:trPr>
                                <w:trHeight w:val="720"/>
                              </w:trPr>
                              <w:tc>
                                <w:tcPr>
                                  <w:tcW w:w="9090" w:type="dxa"/>
                                </w:tcPr>
                                <w:bookmarkStart w:id="8" w:name="Cover1" w:colFirst="0" w:colLast="1"/>
                                <w:bookmarkStart w:id="9" w:name="CoverTable1"/>
                                <w:p w14:paraId="71542A7B" w14:textId="4E1DA295" w:rsidR="0023150D" w:rsidRDefault="0023150D" w:rsidP="00E7679A">
                                  <w:pPr>
                                    <w:pStyle w:val="Title"/>
                                    <w:rPr>
                                      <w:color w:val="FFFFFF"/>
                                    </w:rPr>
                                  </w:pPr>
                                  <w:r w:rsidRPr="0030437A">
                                    <w:rPr>
                                      <w:color w:val="FFFFFF"/>
                                    </w:rPr>
                                    <w:fldChar w:fldCharType="begin"/>
                                  </w:r>
                                  <w:r w:rsidRPr="0030437A">
                                    <w:rPr>
                                      <w:color w:val="FFFFFF"/>
                                    </w:rPr>
                                    <w:instrText xml:space="preserve"> DOCPROPERTY  DocumentTitle \* MERGEFORMAT </w:instrText>
                                  </w:r>
                                  <w:r w:rsidRPr="0030437A">
                                    <w:rPr>
                                      <w:color w:val="FFFFFF"/>
                                    </w:rPr>
                                    <w:fldChar w:fldCharType="separate"/>
                                  </w:r>
                                  <w:r>
                                    <w:rPr>
                                      <w:color w:val="FFFFFF"/>
                                    </w:rPr>
                                    <w:t>Yellow Hous</w:t>
                                  </w:r>
                                  <w:bookmarkStart w:id="10" w:name="_GoBack"/>
                                  <w:bookmarkEnd w:id="10"/>
                                  <w:r>
                                    <w:rPr>
                                      <w:color w:val="FFFFFF"/>
                                    </w:rPr>
                                    <w:t>e Draw Watershed</w:t>
                                  </w:r>
                                  <w:r w:rsidRPr="0030437A">
                                    <w:rPr>
                                      <w:color w:val="FFFFFF"/>
                                    </w:rPr>
                                    <w:fldChar w:fldCharType="end"/>
                                  </w:r>
                                  <w:r>
                                    <w:rPr>
                                      <w:color w:val="FFFFFF"/>
                                    </w:rPr>
                                    <w:t>, Texas</w:t>
                                  </w:r>
                                </w:p>
                                <w:p w14:paraId="44EEA892" w14:textId="6B9C1CC3" w:rsidR="0023150D" w:rsidRPr="0030437A" w:rsidRDefault="0023150D" w:rsidP="00E7679A">
                                  <w:pPr>
                                    <w:pStyle w:val="Title"/>
                                    <w:rPr>
                                      <w:color w:val="FFFFFF"/>
                                    </w:rPr>
                                  </w:pPr>
                                  <w:r>
                                    <w:rPr>
                                      <w:color w:val="FFFFFF"/>
                                    </w:rPr>
                                    <w:t>2D Base Level Engineering and Mapping Methods and Results</w:t>
                                  </w:r>
                                </w:p>
                                <w:p w14:paraId="45AA1C3E" w14:textId="77777777" w:rsidR="0023150D" w:rsidRPr="0030437A" w:rsidRDefault="0023150D" w:rsidP="00E7679A">
                                  <w:pPr>
                                    <w:rPr>
                                      <w:color w:val="FFFFFF"/>
                                    </w:rPr>
                                  </w:pPr>
                                </w:p>
                                <w:p w14:paraId="2A0A4187" w14:textId="436D0B17" w:rsidR="0023150D" w:rsidRDefault="0023150D" w:rsidP="00F83749">
                                  <w:pPr>
                                    <w:pStyle w:val="Subtitleheading"/>
                                    <w:rPr>
                                      <w:color w:val="FFFFFF"/>
                                    </w:rPr>
                                  </w:pPr>
                                  <w:r w:rsidRPr="00EF4C85">
                                    <w:rPr>
                                      <w:color w:val="FFFFFF"/>
                                    </w:rPr>
                                    <w:t xml:space="preserve">Texas Water Development Board Contract No. 1800012224, Task Order </w:t>
                                  </w:r>
                                  <w:r>
                                    <w:rPr>
                                      <w:color w:val="FFFFFF"/>
                                    </w:rPr>
                                    <w:t>11</w:t>
                                  </w:r>
                                </w:p>
                                <w:p w14:paraId="7976AD4F" w14:textId="6113D575" w:rsidR="0023150D" w:rsidRPr="00EF4C85" w:rsidRDefault="0023150D" w:rsidP="00F83749">
                                  <w:pPr>
                                    <w:pStyle w:val="Subtitleheading"/>
                                    <w:rPr>
                                      <w:color w:val="FFFFFF"/>
                                    </w:rPr>
                                  </w:pPr>
                                  <w:r>
                                    <w:rPr>
                                      <w:color w:val="FFFFFF"/>
                                    </w:rPr>
                                    <w:t>Texas MAS (MAST) No. 4</w:t>
                                  </w:r>
                                </w:p>
                                <w:p w14:paraId="6680AB10" w14:textId="77777777" w:rsidR="0023150D" w:rsidRPr="009C415B" w:rsidRDefault="0023150D" w:rsidP="00347538">
                                  <w:pPr>
                                    <w:pStyle w:val="Subtitle"/>
                                    <w:rPr>
                                      <w:rFonts w:asciiTheme="minorHAnsi" w:hAnsiTheme="minorHAnsi" w:cstheme="minorHAnsi"/>
                                      <w:color w:val="FFFFFF"/>
                                    </w:rPr>
                                  </w:pPr>
                                  <w:r w:rsidRPr="009C415B">
                                    <w:rPr>
                                      <w:rFonts w:asciiTheme="minorHAnsi" w:hAnsiTheme="minorHAnsi" w:cstheme="minorHAnsi"/>
                                      <w:color w:val="FFFFFF"/>
                                    </w:rPr>
                                    <w:fldChar w:fldCharType="begin"/>
                                  </w:r>
                                  <w:r w:rsidRPr="009C415B">
                                    <w:rPr>
                                      <w:rFonts w:asciiTheme="minorHAnsi" w:hAnsiTheme="minorHAnsi" w:cstheme="minorHAnsi"/>
                                      <w:color w:val="FFFFFF"/>
                                    </w:rPr>
                                    <w:instrText xml:space="preserve"> DOCPROPERTY  TenderStage \* MERGEFORMAT </w:instrText>
                                  </w:r>
                                  <w:r w:rsidRPr="009C415B">
                                    <w:rPr>
                                      <w:rFonts w:asciiTheme="minorHAnsi" w:hAnsiTheme="minorHAnsi" w:cstheme="minorHAnsi"/>
                                      <w:color w:val="FFFFFF"/>
                                    </w:rPr>
                                    <w:fldChar w:fldCharType="end"/>
                                  </w:r>
                                </w:p>
                                <w:p w14:paraId="712F688A" w14:textId="77777777" w:rsidR="0023150D" w:rsidRPr="009C415B" w:rsidRDefault="0023150D" w:rsidP="00BA5047">
                                  <w:pPr>
                                    <w:pStyle w:val="Coverfooter"/>
                                    <w:rPr>
                                      <w:color w:val="FFFFFF"/>
                                    </w:rPr>
                                  </w:pPr>
                                </w:p>
                                <w:p w14:paraId="6D4FA063" w14:textId="6048805E" w:rsidR="0023150D" w:rsidRDefault="0023150D" w:rsidP="00CC5557">
                                  <w:pPr>
                                    <w:pStyle w:val="Subtitleheading"/>
                                    <w:rPr>
                                      <w:color w:val="FFFFFF"/>
                                    </w:rPr>
                                  </w:pPr>
                                  <w:r>
                                    <w:rPr>
                                      <w:color w:val="FFFFFF"/>
                                    </w:rPr>
                                    <w:t>August 2022</w:t>
                                  </w:r>
                                </w:p>
                                <w:p w14:paraId="22C8F74B" w14:textId="77777777" w:rsidR="0023150D" w:rsidRDefault="0023150D" w:rsidP="00CC5557">
                                  <w:pPr>
                                    <w:pStyle w:val="Subtitleheading"/>
                                    <w:rPr>
                                      <w:color w:val="FFFFFF"/>
                                    </w:rPr>
                                  </w:pPr>
                                </w:p>
                                <w:p w14:paraId="12C3BF5B" w14:textId="77777777" w:rsidR="0023150D" w:rsidRDefault="0023150D" w:rsidP="00CC5557">
                                  <w:pPr>
                                    <w:pStyle w:val="Subtitleheading"/>
                                    <w:rPr>
                                      <w:color w:val="FFFFFF"/>
                                    </w:rPr>
                                  </w:pPr>
                                </w:p>
                                <w:p w14:paraId="7A90C7FE" w14:textId="77777777" w:rsidR="0023150D" w:rsidRPr="00F75021" w:rsidRDefault="0023150D" w:rsidP="00CC5557">
                                  <w:pPr>
                                    <w:pStyle w:val="Heading"/>
                                    <w:rPr>
                                      <w:color w:val="FFFFFF" w:themeColor="background1"/>
                                    </w:rPr>
                                  </w:pPr>
                                  <w:r w:rsidRPr="00F75021">
                                    <w:rPr>
                                      <w:color w:val="FFFFFF" w:themeColor="background1"/>
                                    </w:rPr>
                                    <w:t>Prepared for:</w:t>
                                  </w:r>
                                </w:p>
                                <w:p w14:paraId="1F55557C" w14:textId="77777777" w:rsidR="0023150D" w:rsidRDefault="0023150D" w:rsidP="00CC5557">
                                  <w:pPr>
                                    <w:rPr>
                                      <w:color w:val="FFFFFF" w:themeColor="background1"/>
                                    </w:rPr>
                                  </w:pPr>
                                  <w:r w:rsidRPr="00F75021">
                                    <w:rPr>
                                      <w:color w:val="FFFFFF" w:themeColor="background1"/>
                                    </w:rPr>
                                    <w:t xml:space="preserve">Texas Water Development Board </w:t>
                                  </w:r>
                                </w:p>
                                <w:p w14:paraId="27BD336A" w14:textId="77777777" w:rsidR="0023150D" w:rsidRDefault="0023150D" w:rsidP="00CC5557">
                                  <w:pPr>
                                    <w:rPr>
                                      <w:color w:val="FFFFFF" w:themeColor="background1"/>
                                    </w:rPr>
                                  </w:pPr>
                                  <w:r>
                                    <w:rPr>
                                      <w:color w:val="FFFFFF" w:themeColor="background1"/>
                                    </w:rPr>
                                    <w:t>Attn: Manuel Razo, GISP, CFM</w:t>
                                  </w:r>
                                </w:p>
                                <w:p w14:paraId="206A3A48" w14:textId="77777777" w:rsidR="0023150D" w:rsidRDefault="0023150D" w:rsidP="00CC5557">
                                  <w:pPr>
                                    <w:rPr>
                                      <w:color w:val="FFFFFF" w:themeColor="background1"/>
                                    </w:rPr>
                                  </w:pPr>
                                  <w:r>
                                    <w:rPr>
                                      <w:color w:val="FFFFFF" w:themeColor="background1"/>
                                    </w:rPr>
                                    <w:t>1700 N. Congress Avenue</w:t>
                                  </w:r>
                                </w:p>
                                <w:p w14:paraId="264AAEA7" w14:textId="77777777" w:rsidR="0023150D" w:rsidRPr="00F75021" w:rsidRDefault="0023150D" w:rsidP="00CC5557">
                                  <w:pPr>
                                    <w:rPr>
                                      <w:color w:val="FFFFFF" w:themeColor="background1"/>
                                    </w:rPr>
                                  </w:pPr>
                                  <w:r>
                                    <w:rPr>
                                      <w:color w:val="FFFFFF" w:themeColor="background1"/>
                                    </w:rPr>
                                    <w:t>Austin, Texas 78701</w:t>
                                  </w:r>
                                </w:p>
                                <w:p w14:paraId="1A1B15FC" w14:textId="77777777" w:rsidR="0023150D" w:rsidRDefault="0023150D" w:rsidP="00CC5557">
                                  <w:pPr>
                                    <w:pStyle w:val="Subtitleheading"/>
                                    <w:rPr>
                                      <w:color w:val="FFFFFF"/>
                                    </w:rPr>
                                  </w:pPr>
                                </w:p>
                                <w:p w14:paraId="631339FA" w14:textId="77777777" w:rsidR="0023150D" w:rsidRDefault="0023150D" w:rsidP="00CC5557">
                                  <w:pPr>
                                    <w:pStyle w:val="Subtitleheading"/>
                                    <w:rPr>
                                      <w:color w:val="FFFFFF"/>
                                    </w:rPr>
                                  </w:pPr>
                                </w:p>
                                <w:p w14:paraId="42CA6D45" w14:textId="1C272BCE" w:rsidR="0023150D" w:rsidRPr="0030437A" w:rsidRDefault="0023150D" w:rsidP="00CC5557">
                                  <w:pPr>
                                    <w:pStyle w:val="Subtitleheading"/>
                                    <w:rPr>
                                      <w:color w:val="FFFFFF"/>
                                    </w:rPr>
                                  </w:pPr>
                                  <w:r>
                                    <w:rPr>
                                      <w:color w:val="FFFFFF"/>
                                    </w:rPr>
                                    <w:t xml:space="preserve">Prepared By: </w:t>
                                  </w:r>
                                </w:p>
                              </w:tc>
                            </w:tr>
                          </w:tbl>
                          <w:bookmarkEnd w:id="8"/>
                          <w:bookmarkEnd w:id="9"/>
                          <w:p w14:paraId="26BA99DD" w14:textId="77777777" w:rsidR="0023150D" w:rsidRPr="00CC5557" w:rsidRDefault="0023150D" w:rsidP="00CC5557">
                            <w:pPr>
                              <w:rPr>
                                <w:color w:val="FFFFFF" w:themeColor="background1"/>
                              </w:rPr>
                            </w:pPr>
                            <w:r w:rsidRPr="00CC5557">
                              <w:rPr>
                                <w:color w:val="FFFFFF" w:themeColor="background1"/>
                              </w:rPr>
                              <w:t xml:space="preserve">‌AECOM Technical Services </w:t>
                            </w:r>
                          </w:p>
                          <w:p w14:paraId="5FAD699B" w14:textId="77777777" w:rsidR="0023150D" w:rsidRPr="00CC5557" w:rsidRDefault="0023150D" w:rsidP="00CC5557">
                            <w:pPr>
                              <w:rPr>
                                <w:color w:val="FFFFFF" w:themeColor="background1"/>
                              </w:rPr>
                            </w:pPr>
                            <w:r w:rsidRPr="00CC5557">
                              <w:rPr>
                                <w:color w:val="FFFFFF" w:themeColor="background1"/>
                              </w:rPr>
                              <w:t>13640 Briarwick Drive, Suite 200</w:t>
                            </w:r>
                          </w:p>
                          <w:p w14:paraId="1AB9539A" w14:textId="77777777" w:rsidR="0023150D" w:rsidRPr="00CC5557" w:rsidRDefault="0023150D" w:rsidP="00CC5557">
                            <w:pPr>
                              <w:rPr>
                                <w:color w:val="FFFFFF" w:themeColor="background1"/>
                              </w:rPr>
                            </w:pPr>
                            <w:r w:rsidRPr="00CC5557">
                              <w:rPr>
                                <w:color w:val="FFFFFF" w:themeColor="background1"/>
                              </w:rPr>
                              <w:t>Austin, TX 78729</w:t>
                            </w:r>
                          </w:p>
                          <w:p w14:paraId="52C8EAD3" w14:textId="77777777" w:rsidR="0023150D" w:rsidRPr="00CC5557" w:rsidRDefault="0023150D" w:rsidP="00CC5557">
                            <w:pPr>
                              <w:rPr>
                                <w:color w:val="FFFFFF" w:themeColor="background1"/>
                              </w:rPr>
                            </w:pPr>
                            <w:r w:rsidRPr="00CC5557">
                              <w:rPr>
                                <w:color w:val="FFFFFF" w:themeColor="background1"/>
                              </w:rPr>
                              <w:t>aecom.com</w:t>
                            </w:r>
                          </w:p>
                          <w:p w14:paraId="1910A75F" w14:textId="77777777" w:rsidR="0023150D" w:rsidRDefault="0023150D" w:rsidP="00213392"/>
                        </w:txbxContent>
                      </wps:txbx>
                      <wps:bodyPr rot="0" vert="horz" wrap="square" lIns="0" tIns="0" rIns="0" bIns="36000" anchor="t" anchorCtr="0">
                        <a:noAutofit/>
                      </wps:bodyPr>
                    </wps:wsp>
                  </a:graphicData>
                </a:graphic>
                <wp14:sizeRelH relativeFrom="margin">
                  <wp14:pctWidth>0</wp14:pctWidth>
                </wp14:sizeRelH>
                <wp14:sizeRelV relativeFrom="page">
                  <wp14:pctHeight>50000</wp14:pctHeight>
                </wp14:sizeRelV>
              </wp:anchor>
            </w:drawing>
          </mc:Choice>
          <mc:Fallback>
            <w:pict>
              <v:shape id="CoverTitleBox" o:spid="_x0000_s1029" type="#_x0000_t202" style="position:absolute;margin-left:0;margin-top:297pt;width:468pt;height:242.65pt;z-index:251671552;visibility:visible;mso-wrap-style:square;mso-width-percent:0;mso-height-percent:500;mso-wrap-distance-left:9pt;mso-wrap-distance-top:0;mso-wrap-distance-right:9pt;mso-wrap-distance-bottom:0;mso-position-horizontal:absolute;mso-position-horizontal-relative:margin;mso-position-vertical:absolute;mso-position-vertical-relative:page;mso-width-percent:0;mso-height-percent:500;mso-width-relative:margin;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" o:allowincell="f" filled="f" stroked="f">
                <v:textbox inset="0,0,0,1mm">
                  <w:txbxContent>
                    <w:tbl>
                      <w:tblPr>
                        <w:tblStyle w:val="Plaingrid"/>
                        <w:tblW w:w="4800" w:type="pct"/>
                        <w:tblLook w:val="04A0" w:firstRow="1" w:lastRow="0" w:firstColumn="1" w:lastColumn="0" w:noHBand="0" w:noVBand="1"/>
                      </w:tblPr>
                      <w:tblGrid>
                        <w:gridCol w:w="9090"/>
                      </w:tblGrid>
                      <w:tr w:rsidR="0023150D" w:rsidRPr="0030437A" w14:paraId="6ACEC2B6" w14:textId="77777777" w:rsidTr="002C4272">
                        <w:trPr>
                          <w:trHeight w:val="720"/>
                        </w:trPr>
                        <w:tc>
                          <w:tcPr>
                            <w:tcW w:w="9090" w:type="dxa"/>
                          </w:tcPr>
                          <w:bookmarkStart w:id="11" w:name="Cover1" w:colFirst="0" w:colLast="1"/>
                          <w:bookmarkStart w:id="12" w:name="CoverTable1"/>
                          <w:p w14:paraId="71542A7B" w14:textId="4E1DA295" w:rsidR="0023150D" w:rsidRDefault="0023150D" w:rsidP="00E7679A">
                            <w:pPr>
                              <w:pStyle w:val="Title"/>
                              <w:rPr>
                                <w:color w:val="FFFFFF"/>
                              </w:rPr>
                            </w:pPr>
                            <w:r w:rsidRPr="0030437A">
                              <w:rPr>
                                <w:color w:val="FFFFFF"/>
                              </w:rPr>
                              <w:fldChar w:fldCharType="begin"/>
                            </w:r>
                            <w:r w:rsidRPr="0030437A">
                              <w:rPr>
                                <w:color w:val="FFFFFF"/>
                              </w:rPr>
                              <w:instrText xml:space="preserve"> DOCPROPERTY  DocumentTitle \* MERGEFORMAT </w:instrText>
                            </w:r>
                            <w:r w:rsidRPr="0030437A">
                              <w:rPr>
                                <w:color w:val="FFFFFF"/>
                              </w:rPr>
                              <w:fldChar w:fldCharType="separate"/>
                            </w:r>
                            <w:r>
                              <w:rPr>
                                <w:color w:val="FFFFFF"/>
                              </w:rPr>
                              <w:t>Yellow Hous</w:t>
                            </w:r>
                            <w:bookmarkStart w:id="13" w:name="_GoBack"/>
                            <w:bookmarkEnd w:id="13"/>
                            <w:r>
                              <w:rPr>
                                <w:color w:val="FFFFFF"/>
                              </w:rPr>
                              <w:t>e Draw Watershed</w:t>
                            </w:r>
                            <w:r w:rsidRPr="0030437A">
                              <w:rPr>
                                <w:color w:val="FFFFFF"/>
                              </w:rPr>
                              <w:fldChar w:fldCharType="end"/>
                            </w:r>
                            <w:r>
                              <w:rPr>
                                <w:color w:val="FFFFFF"/>
                              </w:rPr>
                              <w:t>, Texas</w:t>
                            </w:r>
                          </w:p>
                          <w:p w14:paraId="44EEA892" w14:textId="6B9C1CC3" w:rsidR="0023150D" w:rsidRPr="0030437A" w:rsidRDefault="0023150D" w:rsidP="00E7679A">
                            <w:pPr>
                              <w:pStyle w:val="Title"/>
                              <w:rPr>
                                <w:color w:val="FFFFFF"/>
                              </w:rPr>
                            </w:pPr>
                            <w:r>
                              <w:rPr>
                                <w:color w:val="FFFFFF"/>
                              </w:rPr>
                              <w:t>2D Base Level Engineering and Mapping Methods and Results</w:t>
                            </w:r>
                          </w:p>
                          <w:p w14:paraId="45AA1C3E" w14:textId="77777777" w:rsidR="0023150D" w:rsidRPr="0030437A" w:rsidRDefault="0023150D" w:rsidP="00E7679A">
                            <w:pPr>
                              <w:rPr>
                                <w:color w:val="FFFFFF"/>
                              </w:rPr>
                            </w:pPr>
                          </w:p>
                          <w:p w14:paraId="2A0A4187" w14:textId="436D0B17" w:rsidR="0023150D" w:rsidRDefault="0023150D" w:rsidP="00F83749">
                            <w:pPr>
                              <w:pStyle w:val="Subtitleheading"/>
                              <w:rPr>
                                <w:color w:val="FFFFFF"/>
                              </w:rPr>
                            </w:pPr>
                            <w:r w:rsidRPr="00EF4C85">
                              <w:rPr>
                                <w:color w:val="FFFFFF"/>
                              </w:rPr>
                              <w:t xml:space="preserve">Texas Water Development Board Contract No. 1800012224, Task Order </w:t>
                            </w:r>
                            <w:r>
                              <w:rPr>
                                <w:color w:val="FFFFFF"/>
                              </w:rPr>
                              <w:t>11</w:t>
                            </w:r>
                          </w:p>
                          <w:p w14:paraId="7976AD4F" w14:textId="6113D575" w:rsidR="0023150D" w:rsidRPr="00EF4C85" w:rsidRDefault="0023150D" w:rsidP="00F83749">
                            <w:pPr>
                              <w:pStyle w:val="Subtitleheading"/>
                              <w:rPr>
                                <w:color w:val="FFFFFF"/>
                              </w:rPr>
                            </w:pPr>
                            <w:r>
                              <w:rPr>
                                <w:color w:val="FFFFFF"/>
                              </w:rPr>
                              <w:t>Texas MAS (MAST) No. 4</w:t>
                            </w:r>
                          </w:p>
                          <w:p w14:paraId="6680AB10" w14:textId="77777777" w:rsidR="0023150D" w:rsidRPr="009C415B" w:rsidRDefault="0023150D" w:rsidP="00347538">
                            <w:pPr>
                              <w:pStyle w:val="Subtitle"/>
                              <w:rPr>
                                <w:rFonts w:asciiTheme="minorHAnsi" w:hAnsiTheme="minorHAnsi" w:cstheme="minorHAnsi"/>
                                <w:color w:val="FFFFFF"/>
                              </w:rPr>
                            </w:pPr>
                            <w:r w:rsidRPr="009C415B">
                              <w:rPr>
                                <w:rFonts w:asciiTheme="minorHAnsi" w:hAnsiTheme="minorHAnsi" w:cstheme="minorHAnsi"/>
                                <w:color w:val="FFFFFF"/>
                              </w:rPr>
                              <w:fldChar w:fldCharType="begin"/>
                            </w:r>
                            <w:r w:rsidRPr="009C415B">
                              <w:rPr>
                                <w:rFonts w:asciiTheme="minorHAnsi" w:hAnsiTheme="minorHAnsi" w:cstheme="minorHAnsi"/>
                                <w:color w:val="FFFFFF"/>
                              </w:rPr>
                              <w:instrText xml:space="preserve"> DOCPROPERTY  TenderStage \* MERGEFORMAT </w:instrText>
                            </w:r>
                            <w:r w:rsidRPr="009C415B">
                              <w:rPr>
                                <w:rFonts w:asciiTheme="minorHAnsi" w:hAnsiTheme="minorHAnsi" w:cstheme="minorHAnsi"/>
                                <w:color w:val="FFFFFF"/>
                              </w:rPr>
                              <w:fldChar w:fldCharType="end"/>
                            </w:r>
                          </w:p>
                          <w:p w14:paraId="712F688A" w14:textId="77777777" w:rsidR="0023150D" w:rsidRPr="009C415B" w:rsidRDefault="0023150D" w:rsidP="00BA5047">
                            <w:pPr>
                              <w:pStyle w:val="Coverfooter"/>
                              <w:rPr>
                                <w:color w:val="FFFFFF"/>
                              </w:rPr>
                            </w:pPr>
                          </w:p>
                          <w:p w14:paraId="6D4FA063" w14:textId="6048805E" w:rsidR="0023150D" w:rsidRDefault="0023150D" w:rsidP="00CC5557">
                            <w:pPr>
                              <w:pStyle w:val="Subtitleheading"/>
                              <w:rPr>
                                <w:color w:val="FFFFFF"/>
                              </w:rPr>
                            </w:pPr>
                            <w:r>
                              <w:rPr>
                                <w:color w:val="FFFFFF"/>
                              </w:rPr>
                              <w:t>August 2022</w:t>
                            </w:r>
                          </w:p>
                          <w:p w14:paraId="22C8F74B" w14:textId="77777777" w:rsidR="0023150D" w:rsidRDefault="0023150D" w:rsidP="00CC5557">
                            <w:pPr>
                              <w:pStyle w:val="Subtitleheading"/>
                              <w:rPr>
                                <w:color w:val="FFFFFF"/>
                              </w:rPr>
                            </w:pPr>
                          </w:p>
                          <w:p w14:paraId="12C3BF5B" w14:textId="77777777" w:rsidR="0023150D" w:rsidRDefault="0023150D" w:rsidP="00CC5557">
                            <w:pPr>
                              <w:pStyle w:val="Subtitleheading"/>
                              <w:rPr>
                                <w:color w:val="FFFFFF"/>
                              </w:rPr>
                            </w:pPr>
                          </w:p>
                          <w:p w14:paraId="7A90C7FE" w14:textId="77777777" w:rsidR="0023150D" w:rsidRPr="00F75021" w:rsidRDefault="0023150D" w:rsidP="00CC5557">
                            <w:pPr>
                              <w:pStyle w:val="Heading"/>
                              <w:rPr>
                                <w:color w:val="FFFFFF" w:themeColor="background1"/>
                              </w:rPr>
                            </w:pPr>
                            <w:r w:rsidRPr="00F75021">
                              <w:rPr>
                                <w:color w:val="FFFFFF" w:themeColor="background1"/>
                              </w:rPr>
                              <w:t>Prepared for:</w:t>
                            </w:r>
                          </w:p>
                          <w:p w14:paraId="1F55557C" w14:textId="77777777" w:rsidR="0023150D" w:rsidRDefault="0023150D" w:rsidP="00CC5557">
                            <w:pPr>
                              <w:rPr>
                                <w:color w:val="FFFFFF" w:themeColor="background1"/>
                              </w:rPr>
                            </w:pPr>
                            <w:r w:rsidRPr="00F75021">
                              <w:rPr>
                                <w:color w:val="FFFFFF" w:themeColor="background1"/>
                              </w:rPr>
                              <w:t xml:space="preserve">Texas Water Development Board </w:t>
                            </w:r>
                          </w:p>
                          <w:p w14:paraId="27BD336A" w14:textId="77777777" w:rsidR="0023150D" w:rsidRDefault="0023150D" w:rsidP="00CC5557">
                            <w:pPr>
                              <w:rPr>
                                <w:color w:val="FFFFFF" w:themeColor="background1"/>
                              </w:rPr>
                            </w:pPr>
                            <w:r>
                              <w:rPr>
                                <w:color w:val="FFFFFF" w:themeColor="background1"/>
                              </w:rPr>
                              <w:t>Attn: Manuel Razo, GISP, CFM</w:t>
                            </w:r>
                          </w:p>
                          <w:p w14:paraId="206A3A48" w14:textId="77777777" w:rsidR="0023150D" w:rsidRDefault="0023150D" w:rsidP="00CC5557">
                            <w:pPr>
                              <w:rPr>
                                <w:color w:val="FFFFFF" w:themeColor="background1"/>
                              </w:rPr>
                            </w:pPr>
                            <w:r>
                              <w:rPr>
                                <w:color w:val="FFFFFF" w:themeColor="background1"/>
                              </w:rPr>
                              <w:t>1700 N. Congress Avenue</w:t>
                            </w:r>
                          </w:p>
                          <w:p w14:paraId="264AAEA7" w14:textId="77777777" w:rsidR="0023150D" w:rsidRPr="00F75021" w:rsidRDefault="0023150D" w:rsidP="00CC5557">
                            <w:pPr>
                              <w:rPr>
                                <w:color w:val="FFFFFF" w:themeColor="background1"/>
                              </w:rPr>
                            </w:pPr>
                            <w:r>
                              <w:rPr>
                                <w:color w:val="FFFFFF" w:themeColor="background1"/>
                              </w:rPr>
                              <w:t>Austin, Texas 78701</w:t>
                            </w:r>
                          </w:p>
                          <w:p w14:paraId="1A1B15FC" w14:textId="77777777" w:rsidR="0023150D" w:rsidRDefault="0023150D" w:rsidP="00CC5557">
                            <w:pPr>
                              <w:pStyle w:val="Subtitleheading"/>
                              <w:rPr>
                                <w:color w:val="FFFFFF"/>
                              </w:rPr>
                            </w:pPr>
                          </w:p>
                          <w:p w14:paraId="631339FA" w14:textId="77777777" w:rsidR="0023150D" w:rsidRDefault="0023150D" w:rsidP="00CC5557">
                            <w:pPr>
                              <w:pStyle w:val="Subtitleheading"/>
                              <w:rPr>
                                <w:color w:val="FFFFFF"/>
                              </w:rPr>
                            </w:pPr>
                          </w:p>
                          <w:p w14:paraId="42CA6D45" w14:textId="1C272BCE" w:rsidR="0023150D" w:rsidRPr="0030437A" w:rsidRDefault="0023150D" w:rsidP="00CC5557">
                            <w:pPr>
                              <w:pStyle w:val="Subtitleheading"/>
                              <w:rPr>
                                <w:color w:val="FFFFFF"/>
                              </w:rPr>
                            </w:pPr>
                            <w:r>
                              <w:rPr>
                                <w:color w:val="FFFFFF"/>
                              </w:rPr>
                              <w:t xml:space="preserve">Prepared By: </w:t>
                            </w:r>
                          </w:p>
                        </w:tc>
                      </w:tr>
                    </w:tbl>
                    <w:bookmarkEnd w:id="11"/>
                    <w:bookmarkEnd w:id="12"/>
                    <w:p w14:paraId="26BA99DD" w14:textId="77777777" w:rsidR="0023150D" w:rsidRPr="00CC5557" w:rsidRDefault="0023150D" w:rsidP="00CC5557">
                      <w:pPr>
                        <w:rPr>
                          <w:color w:val="FFFFFF" w:themeColor="background1"/>
                        </w:rPr>
                      </w:pPr>
                      <w:r w:rsidRPr="00CC5557">
                        <w:rPr>
                          <w:color w:val="FFFFFF" w:themeColor="background1"/>
                        </w:rPr>
                        <w:t xml:space="preserve">‌AECOM Technical Services </w:t>
                      </w:r>
                    </w:p>
                    <w:p w14:paraId="5FAD699B" w14:textId="77777777" w:rsidR="0023150D" w:rsidRPr="00CC5557" w:rsidRDefault="0023150D" w:rsidP="00CC5557">
                      <w:pPr>
                        <w:rPr>
                          <w:color w:val="FFFFFF" w:themeColor="background1"/>
                        </w:rPr>
                      </w:pPr>
                      <w:r w:rsidRPr="00CC5557">
                        <w:rPr>
                          <w:color w:val="FFFFFF" w:themeColor="background1"/>
                        </w:rPr>
                        <w:t>13640 Briarwick Drive, Suite 200</w:t>
                      </w:r>
                    </w:p>
                    <w:p w14:paraId="1AB9539A" w14:textId="77777777" w:rsidR="0023150D" w:rsidRPr="00CC5557" w:rsidRDefault="0023150D" w:rsidP="00CC5557">
                      <w:pPr>
                        <w:rPr>
                          <w:color w:val="FFFFFF" w:themeColor="background1"/>
                        </w:rPr>
                      </w:pPr>
                      <w:r w:rsidRPr="00CC5557">
                        <w:rPr>
                          <w:color w:val="FFFFFF" w:themeColor="background1"/>
                        </w:rPr>
                        <w:t>Austin, TX 78729</w:t>
                      </w:r>
                    </w:p>
                    <w:p w14:paraId="52C8EAD3" w14:textId="77777777" w:rsidR="0023150D" w:rsidRPr="00CC5557" w:rsidRDefault="0023150D" w:rsidP="00CC5557">
                      <w:pPr>
                        <w:rPr>
                          <w:color w:val="FFFFFF" w:themeColor="background1"/>
                        </w:rPr>
                      </w:pPr>
                      <w:r w:rsidRPr="00CC5557">
                        <w:rPr>
                          <w:color w:val="FFFFFF" w:themeColor="background1"/>
                        </w:rPr>
                        <w:t>aecom.com</w:t>
                      </w:r>
                    </w:p>
                    <w:p w14:paraId="1910A75F" w14:textId="77777777" w:rsidR="0023150D" w:rsidRDefault="0023150D" w:rsidP="00213392"/>
                  </w:txbxContent>
                </v:textbox>
                <w10:wrap anchorx="margin" anchory="page"/>
              </v:shape>
            </w:pict>
          </mc:Fallback>
        </mc:AlternateContent>
      </w:r>
    </w:p>
    <w:p w14:paraId="6A9243CD" w14:textId="77777777" w:rsidR="00F12DD7" w:rsidRDefault="00F12DD7" w:rsidP="00F12DD7">
      <w:pPr>
        <w:pStyle w:val="BodyText"/>
        <w:sectPr w:rsidR="00F12DD7" w:rsidSect="0030437A">
          <w:pgSz w:w="12240" w:h="15840" w:code="9"/>
          <w:pgMar w:top="1134" w:right="1440" w:bottom="851" w:left="1440" w:header="709" w:footer="284" w:gutter="0"/>
          <w:cols w:space="708"/>
          <w:docGrid w:linePitch="360"/>
        </w:sectPr>
      </w:pPr>
    </w:p>
    <w:p w14:paraId="083FEFD6" w14:textId="77777777" w:rsidR="00067457" w:rsidRDefault="00067457" w:rsidP="00067457"/>
    <w:p w14:paraId="7C05A1F9" w14:textId="7F23D8D2" w:rsidR="00901BD9" w:rsidRDefault="00901BD9" w:rsidP="00901BD9">
      <w:pPr>
        <w:pStyle w:val="Heading"/>
      </w:pPr>
      <w:bookmarkStart w:id="14" w:name="Text_RevisionHistory"/>
      <w:r>
        <w:t>Document History</w:t>
      </w:r>
    </w:p>
    <w:p w14:paraId="43133EAD" w14:textId="77777777" w:rsidR="002C4272" w:rsidRDefault="002C4272" w:rsidP="002C4272">
      <w:pPr>
        <w:tabs>
          <w:tab w:val="clear" w:pos="284"/>
        </w:tabs>
        <w:spacing w:before="200" w:after="200" w:line="240" w:lineRule="auto"/>
        <w:rPr>
          <w:rFonts w:asciiTheme="majorHAnsi" w:eastAsia="Times New Roman" w:hAnsiTheme="majorHAnsi" w:cs="Times New Roman"/>
          <w:b/>
          <w:caps/>
          <w:color w:val="F68B1F" w:themeColor="accent3"/>
          <w:kern w:val="0"/>
          <w:sz w:val="22"/>
          <w:szCs w:val="24"/>
        </w:rPr>
      </w:pPr>
    </w:p>
    <w:p w14:paraId="4184C4E9" w14:textId="393BB81F" w:rsidR="00901BD9" w:rsidRPr="002C4272" w:rsidRDefault="00901BD9" w:rsidP="002C4272">
      <w:pPr>
        <w:tabs>
          <w:tab w:val="clear" w:pos="284"/>
        </w:tabs>
        <w:spacing w:before="200" w:after="200" w:line="240" w:lineRule="auto"/>
        <w:rPr>
          <w:rFonts w:asciiTheme="majorHAnsi" w:eastAsia="Times New Roman" w:hAnsiTheme="majorHAnsi" w:cs="Times New Roman"/>
          <w:b/>
          <w:caps/>
          <w:color w:val="F68B1F" w:themeColor="accent3"/>
          <w:kern w:val="0"/>
          <w:sz w:val="22"/>
          <w:szCs w:val="24"/>
        </w:rPr>
      </w:pPr>
      <w:r w:rsidRPr="002C4272">
        <w:rPr>
          <w:rFonts w:asciiTheme="majorHAnsi" w:eastAsia="Times New Roman" w:hAnsiTheme="majorHAnsi" w:cs="Times New Roman"/>
          <w:b/>
          <w:caps/>
          <w:color w:val="F68B1F" w:themeColor="accent3"/>
          <w:kern w:val="0"/>
          <w:sz w:val="22"/>
          <w:szCs w:val="24"/>
        </w:rPr>
        <w:t xml:space="preserve">Document Location </w:t>
      </w:r>
    </w:p>
    <w:p w14:paraId="78C8918D" w14:textId="3D98F943" w:rsidR="00901BD9" w:rsidRDefault="00901BD9" w:rsidP="00901BD9">
      <w:pPr>
        <w:pStyle w:val="BodyText"/>
      </w:pPr>
      <w:r w:rsidRPr="00075E8E">
        <w:t>K</w:t>
      </w:r>
      <w:r w:rsidR="00F64079" w:rsidRPr="00075E8E">
        <w:t>:/FY2022/22-06-004</w:t>
      </w:r>
      <w:r w:rsidR="008E34C1" w:rsidRPr="00075E8E">
        <w:t>7</w:t>
      </w:r>
      <w:r w:rsidR="00F64079" w:rsidRPr="00075E8E">
        <w:t>S/</w:t>
      </w:r>
    </w:p>
    <w:p w14:paraId="0DC78410" w14:textId="39C07153" w:rsidR="00901BD9" w:rsidRPr="00901BD9" w:rsidRDefault="00901BD9" w:rsidP="007A173C">
      <w:pPr>
        <w:tabs>
          <w:tab w:val="clear" w:pos="284"/>
          <w:tab w:val="left" w:pos="3815"/>
        </w:tabs>
        <w:spacing w:before="200" w:after="200" w:line="240" w:lineRule="auto"/>
        <w:rPr>
          <w:rFonts w:asciiTheme="majorHAnsi" w:eastAsia="Times New Roman" w:hAnsiTheme="majorHAnsi" w:cs="Times New Roman"/>
          <w:b/>
          <w:caps/>
          <w:color w:val="F68B1F" w:themeColor="accent3"/>
          <w:kern w:val="0"/>
          <w:sz w:val="22"/>
          <w:szCs w:val="24"/>
        </w:rPr>
      </w:pPr>
      <w:r w:rsidRPr="00901BD9">
        <w:rPr>
          <w:rFonts w:asciiTheme="majorHAnsi" w:eastAsia="Times New Roman" w:hAnsiTheme="majorHAnsi" w:cs="Times New Roman"/>
          <w:b/>
          <w:caps/>
          <w:color w:val="F68B1F" w:themeColor="accent3"/>
          <w:kern w:val="0"/>
          <w:sz w:val="22"/>
          <w:szCs w:val="24"/>
        </w:rPr>
        <w:t>Revision History</w:t>
      </w:r>
      <w:r w:rsidR="007A173C">
        <w:rPr>
          <w:rFonts w:asciiTheme="majorHAnsi" w:eastAsia="Times New Roman" w:hAnsiTheme="majorHAnsi" w:cs="Times New Roman"/>
          <w:b/>
          <w:caps/>
          <w:color w:val="F68B1F" w:themeColor="accent3"/>
          <w:kern w:val="0"/>
          <w:sz w:val="22"/>
          <w:szCs w:val="24"/>
        </w:rPr>
        <w:tab/>
      </w:r>
    </w:p>
    <w:tbl>
      <w:tblPr>
        <w:tblW w:w="9558" w:type="dxa"/>
        <w:tblBorders>
          <w:top w:val="single" w:sz="4" w:space="0" w:color="00B5E2" w:themeColor="accent1"/>
          <w:left w:val="single" w:sz="4" w:space="0" w:color="00B5E2" w:themeColor="accent1"/>
          <w:bottom w:val="single" w:sz="4" w:space="0" w:color="00B5E2" w:themeColor="accent1"/>
          <w:right w:val="single" w:sz="4" w:space="0" w:color="00B5E2" w:themeColor="accent1"/>
          <w:insideH w:val="single" w:sz="4" w:space="0" w:color="00B5E2" w:themeColor="accent1"/>
          <w:insideV w:val="single" w:sz="4" w:space="0" w:color="00B5E2" w:themeColor="accent1"/>
        </w:tblBorders>
        <w:tblLayout w:type="fixed"/>
        <w:tblLook w:val="04A0" w:firstRow="1" w:lastRow="0" w:firstColumn="1" w:lastColumn="0" w:noHBand="0" w:noVBand="1"/>
      </w:tblPr>
      <w:tblGrid>
        <w:gridCol w:w="1728"/>
        <w:gridCol w:w="1710"/>
        <w:gridCol w:w="3960"/>
        <w:gridCol w:w="2160"/>
      </w:tblGrid>
      <w:tr w:rsidR="00901BD9" w:rsidRPr="00901BD9" w14:paraId="09C9F21B" w14:textId="77777777" w:rsidTr="00906DB8">
        <w:trPr>
          <w:trHeight w:val="349"/>
        </w:trPr>
        <w:tc>
          <w:tcPr>
            <w:tcW w:w="1728"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shd w:val="clear" w:color="auto" w:fill="00B5E2" w:themeFill="accent1"/>
            <w:vAlign w:val="bottom"/>
          </w:tcPr>
          <w:p w14:paraId="3A220BDE" w14:textId="77777777" w:rsidR="00901BD9" w:rsidRPr="00901BD9" w:rsidRDefault="00901BD9" w:rsidP="00901BD9">
            <w:pPr>
              <w:tabs>
                <w:tab w:val="clear" w:pos="284"/>
              </w:tabs>
              <w:spacing w:before="60" w:after="60" w:line="240" w:lineRule="auto"/>
              <w:jc w:val="center"/>
              <w:rPr>
                <w:rFonts w:eastAsia="Times New Roman" w:cs="Times New Roman"/>
                <w:b/>
                <w:color w:val="FFFFFF"/>
                <w:kern w:val="0"/>
                <w:sz w:val="20"/>
                <w:szCs w:val="24"/>
              </w:rPr>
            </w:pPr>
            <w:r w:rsidRPr="00901BD9">
              <w:rPr>
                <w:rFonts w:eastAsia="Times New Roman" w:cs="Times New Roman"/>
                <w:b/>
                <w:color w:val="FFFFFF"/>
                <w:kern w:val="0"/>
                <w:sz w:val="20"/>
                <w:szCs w:val="24"/>
              </w:rPr>
              <w:t>Version Number</w:t>
            </w:r>
          </w:p>
        </w:tc>
        <w:tc>
          <w:tcPr>
            <w:tcW w:w="1710"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shd w:val="clear" w:color="auto" w:fill="00B5E2" w:themeFill="accent1"/>
            <w:vAlign w:val="bottom"/>
          </w:tcPr>
          <w:p w14:paraId="472E0403" w14:textId="77777777" w:rsidR="00901BD9" w:rsidRPr="00901BD9" w:rsidRDefault="00901BD9" w:rsidP="00901BD9">
            <w:pPr>
              <w:tabs>
                <w:tab w:val="clear" w:pos="284"/>
              </w:tabs>
              <w:spacing w:before="60" w:after="60" w:line="240" w:lineRule="auto"/>
              <w:jc w:val="center"/>
              <w:rPr>
                <w:rFonts w:eastAsia="Times New Roman" w:cs="Times New Roman"/>
                <w:b/>
                <w:color w:val="FFFFFF"/>
                <w:kern w:val="0"/>
                <w:sz w:val="20"/>
                <w:szCs w:val="24"/>
              </w:rPr>
            </w:pPr>
            <w:r w:rsidRPr="00901BD9">
              <w:rPr>
                <w:rFonts w:eastAsia="Times New Roman" w:cs="Times New Roman"/>
                <w:b/>
                <w:color w:val="FFFFFF"/>
                <w:kern w:val="0"/>
                <w:sz w:val="20"/>
                <w:szCs w:val="24"/>
              </w:rPr>
              <w:t>Version Date</w:t>
            </w:r>
          </w:p>
        </w:tc>
        <w:tc>
          <w:tcPr>
            <w:tcW w:w="3960"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shd w:val="clear" w:color="auto" w:fill="00B5E2" w:themeFill="accent1"/>
            <w:vAlign w:val="bottom"/>
          </w:tcPr>
          <w:p w14:paraId="4B5CC20D" w14:textId="77777777" w:rsidR="00901BD9" w:rsidRPr="00901BD9" w:rsidRDefault="00901BD9" w:rsidP="00901BD9">
            <w:pPr>
              <w:tabs>
                <w:tab w:val="clear" w:pos="284"/>
              </w:tabs>
              <w:spacing w:before="60" w:after="60" w:line="240" w:lineRule="auto"/>
              <w:jc w:val="center"/>
              <w:rPr>
                <w:rFonts w:eastAsia="Times New Roman" w:cs="Times New Roman"/>
                <w:b/>
                <w:color w:val="FFFFFF"/>
                <w:kern w:val="0"/>
                <w:sz w:val="20"/>
                <w:szCs w:val="24"/>
              </w:rPr>
            </w:pPr>
            <w:r w:rsidRPr="00901BD9">
              <w:rPr>
                <w:rFonts w:eastAsia="Times New Roman" w:cs="Times New Roman"/>
                <w:b/>
                <w:color w:val="FFFFFF"/>
                <w:kern w:val="0"/>
                <w:sz w:val="20"/>
                <w:szCs w:val="24"/>
              </w:rPr>
              <w:t>Summary Changes</w:t>
            </w:r>
          </w:p>
        </w:tc>
        <w:tc>
          <w:tcPr>
            <w:tcW w:w="2160"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shd w:val="clear" w:color="auto" w:fill="00B5E2" w:themeFill="accent1"/>
            <w:vAlign w:val="bottom"/>
          </w:tcPr>
          <w:p w14:paraId="408D5A31" w14:textId="77777777" w:rsidR="00901BD9" w:rsidRPr="00901BD9" w:rsidRDefault="00901BD9" w:rsidP="00901BD9">
            <w:pPr>
              <w:tabs>
                <w:tab w:val="clear" w:pos="284"/>
              </w:tabs>
              <w:spacing w:before="60" w:after="60" w:line="240" w:lineRule="auto"/>
              <w:jc w:val="center"/>
              <w:rPr>
                <w:rFonts w:eastAsia="Times New Roman" w:cs="Times New Roman"/>
                <w:b/>
                <w:color w:val="FFFFFF"/>
                <w:kern w:val="0"/>
                <w:sz w:val="20"/>
                <w:szCs w:val="24"/>
              </w:rPr>
            </w:pPr>
            <w:r w:rsidRPr="00901BD9">
              <w:rPr>
                <w:rFonts w:eastAsia="Times New Roman" w:cs="Times New Roman"/>
                <w:b/>
                <w:color w:val="FFFFFF"/>
                <w:kern w:val="0"/>
                <w:sz w:val="20"/>
                <w:szCs w:val="24"/>
              </w:rPr>
              <w:t>Team/Author</w:t>
            </w:r>
          </w:p>
        </w:tc>
      </w:tr>
      <w:tr w:rsidR="00901BD9" w:rsidRPr="00901BD9" w14:paraId="230094C7" w14:textId="77777777" w:rsidTr="002D4630">
        <w:trPr>
          <w:trHeight w:val="349"/>
        </w:trPr>
        <w:tc>
          <w:tcPr>
            <w:tcW w:w="1728"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2359A34B" w14:textId="77777777" w:rsidR="00901BD9" w:rsidRPr="008E34C1" w:rsidRDefault="00901BD9" w:rsidP="00901BD9">
            <w:pPr>
              <w:tabs>
                <w:tab w:val="clear" w:pos="284"/>
              </w:tabs>
              <w:spacing w:before="20" w:after="20" w:line="240" w:lineRule="auto"/>
              <w:jc w:val="center"/>
              <w:rPr>
                <w:rFonts w:eastAsia="Times New Roman" w:cs="Times New Roman"/>
                <w:kern w:val="0"/>
                <w:sz w:val="20"/>
                <w:szCs w:val="24"/>
              </w:rPr>
            </w:pPr>
            <w:r w:rsidRPr="008E34C1">
              <w:rPr>
                <w:rFonts w:eastAsia="Times New Roman" w:cs="Times New Roman"/>
                <w:kern w:val="0"/>
                <w:sz w:val="20"/>
                <w:szCs w:val="24"/>
              </w:rPr>
              <w:t>1.0</w:t>
            </w:r>
          </w:p>
        </w:tc>
        <w:tc>
          <w:tcPr>
            <w:tcW w:w="1710"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40DA318A" w14:textId="2663541B" w:rsidR="00901BD9" w:rsidRPr="002D4630" w:rsidRDefault="008E34C1" w:rsidP="008427C4">
            <w:pPr>
              <w:tabs>
                <w:tab w:val="clear" w:pos="284"/>
              </w:tabs>
              <w:spacing w:before="20" w:after="20" w:line="240" w:lineRule="auto"/>
              <w:jc w:val="center"/>
              <w:rPr>
                <w:rFonts w:eastAsia="Times New Roman" w:cs="Times New Roman"/>
                <w:kern w:val="0"/>
                <w:sz w:val="20"/>
                <w:szCs w:val="24"/>
              </w:rPr>
            </w:pPr>
            <w:r w:rsidRPr="002D4630">
              <w:rPr>
                <w:rFonts w:eastAsia="Times New Roman" w:cs="Times New Roman"/>
                <w:kern w:val="0"/>
                <w:sz w:val="20"/>
                <w:szCs w:val="24"/>
              </w:rPr>
              <w:t xml:space="preserve">August </w:t>
            </w:r>
            <w:r w:rsidR="004946F1" w:rsidRPr="002D4630">
              <w:rPr>
                <w:rFonts w:eastAsia="Times New Roman" w:cs="Times New Roman"/>
                <w:kern w:val="0"/>
                <w:sz w:val="20"/>
                <w:szCs w:val="24"/>
              </w:rPr>
              <w:t>2022</w:t>
            </w:r>
          </w:p>
        </w:tc>
        <w:tc>
          <w:tcPr>
            <w:tcW w:w="3960"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shd w:val="clear" w:color="auto" w:fill="FFFFFF" w:themeFill="background1"/>
            <w:vAlign w:val="center"/>
          </w:tcPr>
          <w:p w14:paraId="0DAB44F1" w14:textId="66098E01" w:rsidR="00901BD9" w:rsidRPr="002D4630" w:rsidRDefault="00774180" w:rsidP="00EF4C85">
            <w:pPr>
              <w:tabs>
                <w:tab w:val="clear" w:pos="284"/>
              </w:tabs>
              <w:spacing w:before="20" w:after="20" w:line="240" w:lineRule="auto"/>
              <w:jc w:val="center"/>
              <w:rPr>
                <w:rFonts w:eastAsia="Times New Roman" w:cs="Times New Roman"/>
                <w:kern w:val="0"/>
                <w:sz w:val="20"/>
                <w:szCs w:val="24"/>
              </w:rPr>
            </w:pPr>
            <w:r>
              <w:rPr>
                <w:rFonts w:eastAsia="Times New Roman" w:cs="Times New Roman"/>
                <w:kern w:val="0"/>
                <w:sz w:val="20"/>
                <w:szCs w:val="24"/>
              </w:rPr>
              <w:t xml:space="preserve">Draft </w:t>
            </w:r>
            <w:r w:rsidR="00901BD9" w:rsidRPr="002D4630">
              <w:rPr>
                <w:rFonts w:eastAsia="Times New Roman" w:cs="Times New Roman"/>
                <w:kern w:val="0"/>
                <w:sz w:val="20"/>
                <w:szCs w:val="24"/>
              </w:rPr>
              <w:t>Deliverable to TWDB</w:t>
            </w:r>
            <w:r w:rsidR="00EF4C85" w:rsidRPr="002D4630">
              <w:rPr>
                <w:rFonts w:eastAsia="Times New Roman" w:cs="Times New Roman"/>
                <w:kern w:val="0"/>
                <w:sz w:val="20"/>
                <w:szCs w:val="24"/>
              </w:rPr>
              <w:t xml:space="preserve"> </w:t>
            </w:r>
          </w:p>
        </w:tc>
        <w:tc>
          <w:tcPr>
            <w:tcW w:w="2160"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7E8081CD" w14:textId="2C3F78B0" w:rsidR="00901BD9" w:rsidRPr="00EF4C85" w:rsidRDefault="00901BD9" w:rsidP="00901BD9">
            <w:pPr>
              <w:tabs>
                <w:tab w:val="clear" w:pos="284"/>
              </w:tabs>
              <w:spacing w:before="20" w:after="20" w:line="240" w:lineRule="auto"/>
              <w:jc w:val="center"/>
              <w:rPr>
                <w:rFonts w:eastAsia="Times New Roman" w:cs="Times New Roman"/>
                <w:kern w:val="0"/>
                <w:sz w:val="20"/>
                <w:szCs w:val="24"/>
              </w:rPr>
            </w:pPr>
            <w:r w:rsidRPr="008E34C1">
              <w:rPr>
                <w:rFonts w:eastAsia="Times New Roman" w:cs="Times New Roman"/>
                <w:kern w:val="0"/>
                <w:sz w:val="20"/>
                <w:szCs w:val="24"/>
              </w:rPr>
              <w:t>AECOM</w:t>
            </w:r>
          </w:p>
        </w:tc>
      </w:tr>
      <w:tr w:rsidR="00784008" w:rsidRPr="00901BD9" w14:paraId="090D0C96" w14:textId="77777777" w:rsidTr="002D4630">
        <w:trPr>
          <w:trHeight w:val="349"/>
        </w:trPr>
        <w:tc>
          <w:tcPr>
            <w:tcW w:w="1728"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42977F89" w14:textId="54A88F23" w:rsidR="00784008" w:rsidRPr="008E34C1" w:rsidRDefault="00784008" w:rsidP="00901BD9">
            <w:pPr>
              <w:tabs>
                <w:tab w:val="clear" w:pos="284"/>
              </w:tabs>
              <w:spacing w:before="20" w:after="20" w:line="240" w:lineRule="auto"/>
              <w:jc w:val="center"/>
              <w:rPr>
                <w:rFonts w:eastAsia="Times New Roman" w:cs="Times New Roman"/>
                <w:kern w:val="0"/>
                <w:sz w:val="20"/>
                <w:szCs w:val="24"/>
              </w:rPr>
            </w:pPr>
            <w:r>
              <w:rPr>
                <w:rFonts w:eastAsia="Times New Roman" w:cs="Times New Roman"/>
                <w:kern w:val="0"/>
                <w:sz w:val="20"/>
                <w:szCs w:val="24"/>
              </w:rPr>
              <w:t>2.0</w:t>
            </w:r>
          </w:p>
        </w:tc>
        <w:tc>
          <w:tcPr>
            <w:tcW w:w="1710"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49048848" w14:textId="618817D7" w:rsidR="00784008" w:rsidRPr="002D4630" w:rsidRDefault="00784008" w:rsidP="008427C4">
            <w:pPr>
              <w:tabs>
                <w:tab w:val="clear" w:pos="284"/>
              </w:tabs>
              <w:spacing w:before="20" w:after="20" w:line="240" w:lineRule="auto"/>
              <w:jc w:val="center"/>
              <w:rPr>
                <w:rFonts w:eastAsia="Times New Roman" w:cs="Times New Roman"/>
                <w:kern w:val="0"/>
                <w:sz w:val="20"/>
                <w:szCs w:val="24"/>
              </w:rPr>
            </w:pPr>
            <w:r>
              <w:rPr>
                <w:rFonts w:eastAsia="Times New Roman" w:cs="Times New Roman"/>
                <w:kern w:val="0"/>
                <w:sz w:val="20"/>
                <w:szCs w:val="24"/>
              </w:rPr>
              <w:t>August 2022</w:t>
            </w:r>
          </w:p>
        </w:tc>
        <w:tc>
          <w:tcPr>
            <w:tcW w:w="3960"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shd w:val="clear" w:color="auto" w:fill="FFFFFF" w:themeFill="background1"/>
            <w:vAlign w:val="center"/>
          </w:tcPr>
          <w:p w14:paraId="4DED0002" w14:textId="06898D97" w:rsidR="00784008" w:rsidRPr="00774180" w:rsidRDefault="00774180" w:rsidP="00AC2518">
            <w:pPr>
              <w:tabs>
                <w:tab w:val="clear" w:pos="284"/>
              </w:tabs>
              <w:spacing w:before="20" w:after="20" w:line="240" w:lineRule="auto"/>
              <w:jc w:val="center"/>
              <w:rPr>
                <w:rFonts w:ascii="Calibri" w:eastAsia="Times New Roman" w:hAnsi="Calibri" w:cs="Calibri"/>
                <w:kern w:val="0"/>
                <w:sz w:val="22"/>
                <w:szCs w:val="22"/>
              </w:rPr>
            </w:pPr>
            <w:r w:rsidRPr="00AC2518">
              <w:rPr>
                <w:rFonts w:eastAsia="Times New Roman" w:cs="Times New Roman"/>
                <w:kern w:val="0"/>
                <w:sz w:val="20"/>
                <w:szCs w:val="24"/>
              </w:rPr>
              <w:t>Final Deliverable to TWDB</w:t>
            </w:r>
          </w:p>
        </w:tc>
        <w:tc>
          <w:tcPr>
            <w:tcW w:w="2160"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18261C01" w14:textId="643B4B6F" w:rsidR="00784008" w:rsidRPr="008E34C1" w:rsidRDefault="00784008" w:rsidP="00901BD9">
            <w:pPr>
              <w:tabs>
                <w:tab w:val="clear" w:pos="284"/>
              </w:tabs>
              <w:spacing w:before="20" w:after="20" w:line="240" w:lineRule="auto"/>
              <w:jc w:val="center"/>
              <w:rPr>
                <w:rFonts w:eastAsia="Times New Roman" w:cs="Times New Roman"/>
                <w:kern w:val="0"/>
                <w:sz w:val="20"/>
                <w:szCs w:val="24"/>
              </w:rPr>
            </w:pPr>
            <w:r>
              <w:rPr>
                <w:rFonts w:eastAsia="Times New Roman" w:cs="Times New Roman"/>
                <w:kern w:val="0"/>
                <w:sz w:val="20"/>
                <w:szCs w:val="24"/>
              </w:rPr>
              <w:t>AECOM</w:t>
            </w:r>
          </w:p>
        </w:tc>
      </w:tr>
    </w:tbl>
    <w:p w14:paraId="1769CE8F" w14:textId="77777777" w:rsidR="008C01E1" w:rsidRDefault="008C01E1" w:rsidP="004946F1">
      <w:pPr>
        <w:tabs>
          <w:tab w:val="clear" w:pos="284"/>
          <w:tab w:val="left" w:pos="5814"/>
        </w:tabs>
        <w:spacing w:before="200" w:after="200" w:line="240" w:lineRule="auto"/>
        <w:rPr>
          <w:rFonts w:asciiTheme="majorHAnsi" w:eastAsia="Times New Roman" w:hAnsiTheme="majorHAnsi" w:cs="Times New Roman"/>
          <w:b/>
          <w:caps/>
          <w:color w:val="F68B1F" w:themeColor="accent3"/>
          <w:kern w:val="0"/>
          <w:sz w:val="22"/>
          <w:szCs w:val="24"/>
        </w:rPr>
      </w:pPr>
    </w:p>
    <w:p w14:paraId="32CC7732" w14:textId="5BD50293" w:rsidR="00901BD9" w:rsidRPr="00901BD9" w:rsidRDefault="00901BD9" w:rsidP="004946F1">
      <w:pPr>
        <w:tabs>
          <w:tab w:val="clear" w:pos="284"/>
          <w:tab w:val="left" w:pos="5814"/>
        </w:tabs>
        <w:spacing w:before="200" w:after="200" w:line="240" w:lineRule="auto"/>
        <w:rPr>
          <w:rFonts w:asciiTheme="majorHAnsi" w:eastAsia="Times New Roman" w:hAnsiTheme="majorHAnsi" w:cs="Times New Roman"/>
          <w:b/>
          <w:caps/>
          <w:color w:val="F68B1F" w:themeColor="accent3"/>
          <w:kern w:val="0"/>
          <w:sz w:val="22"/>
          <w:szCs w:val="24"/>
        </w:rPr>
      </w:pPr>
      <w:r w:rsidRPr="00901BD9">
        <w:rPr>
          <w:rFonts w:asciiTheme="majorHAnsi" w:eastAsia="Times New Roman" w:hAnsiTheme="majorHAnsi" w:cs="Times New Roman"/>
          <w:b/>
          <w:caps/>
          <w:color w:val="F68B1F" w:themeColor="accent3"/>
          <w:kern w:val="0"/>
          <w:sz w:val="22"/>
          <w:szCs w:val="24"/>
        </w:rPr>
        <w:t>Approvals</w:t>
      </w:r>
      <w:r w:rsidR="004946F1">
        <w:rPr>
          <w:rFonts w:asciiTheme="majorHAnsi" w:eastAsia="Times New Roman" w:hAnsiTheme="majorHAnsi" w:cs="Times New Roman"/>
          <w:b/>
          <w:caps/>
          <w:color w:val="F68B1F" w:themeColor="accent3"/>
          <w:kern w:val="0"/>
          <w:sz w:val="22"/>
          <w:szCs w:val="24"/>
        </w:rPr>
        <w:tab/>
      </w:r>
    </w:p>
    <w:p w14:paraId="69057CAC" w14:textId="77777777" w:rsidR="00901BD9" w:rsidRPr="00901BD9" w:rsidRDefault="00901BD9" w:rsidP="00901BD9">
      <w:pPr>
        <w:tabs>
          <w:tab w:val="clear" w:pos="284"/>
        </w:tabs>
        <w:spacing w:before="120" w:after="120" w:line="240" w:lineRule="auto"/>
        <w:rPr>
          <w:rFonts w:eastAsia="Times New Roman" w:cs="Times New Roman"/>
          <w:kern w:val="0"/>
          <w:sz w:val="22"/>
          <w:szCs w:val="26"/>
        </w:rPr>
      </w:pPr>
      <w:r w:rsidRPr="00901BD9">
        <w:rPr>
          <w:rFonts w:eastAsia="Times New Roman" w:cs="Times New Roman"/>
          <w:kern w:val="0"/>
          <w:sz w:val="22"/>
          <w:szCs w:val="26"/>
        </w:rPr>
        <w:t>This document requires the approval of the following persons:</w:t>
      </w:r>
    </w:p>
    <w:tbl>
      <w:tblPr>
        <w:tblW w:w="9522" w:type="dxa"/>
        <w:tblBorders>
          <w:top w:val="single" w:sz="4" w:space="0" w:color="00B5E2" w:themeColor="accent1"/>
          <w:left w:val="single" w:sz="4" w:space="0" w:color="00B5E2" w:themeColor="accent1"/>
          <w:bottom w:val="single" w:sz="4" w:space="0" w:color="00B5E2" w:themeColor="accent1"/>
          <w:right w:val="single" w:sz="4" w:space="0" w:color="00B5E2" w:themeColor="accent1"/>
          <w:insideH w:val="single" w:sz="4" w:space="0" w:color="00B5E2" w:themeColor="accent1"/>
          <w:insideV w:val="single" w:sz="4" w:space="0" w:color="00B5E2" w:themeColor="accent1"/>
        </w:tblBorders>
        <w:tblLayout w:type="fixed"/>
        <w:tblCellMar>
          <w:left w:w="72" w:type="dxa"/>
          <w:right w:w="72" w:type="dxa"/>
        </w:tblCellMar>
        <w:tblLook w:val="04A0" w:firstRow="1" w:lastRow="0" w:firstColumn="1" w:lastColumn="0" w:noHBand="0" w:noVBand="1"/>
      </w:tblPr>
      <w:tblGrid>
        <w:gridCol w:w="1578"/>
        <w:gridCol w:w="1578"/>
        <w:gridCol w:w="1416"/>
        <w:gridCol w:w="1656"/>
        <w:gridCol w:w="1662"/>
        <w:gridCol w:w="1632"/>
      </w:tblGrid>
      <w:tr w:rsidR="00901BD9" w:rsidRPr="00901BD9" w14:paraId="79034066" w14:textId="77777777" w:rsidTr="00901BD9">
        <w:trPr>
          <w:trHeight w:val="431"/>
        </w:trPr>
        <w:tc>
          <w:tcPr>
            <w:tcW w:w="1578"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shd w:val="clear" w:color="auto" w:fill="00B5E2" w:themeFill="accent1"/>
            <w:vAlign w:val="bottom"/>
          </w:tcPr>
          <w:p w14:paraId="128CC594" w14:textId="77777777" w:rsidR="00901BD9" w:rsidRPr="00901BD9" w:rsidRDefault="00901BD9" w:rsidP="00901BD9">
            <w:pPr>
              <w:tabs>
                <w:tab w:val="clear" w:pos="284"/>
              </w:tabs>
              <w:spacing w:before="60" w:after="60" w:line="240" w:lineRule="auto"/>
              <w:jc w:val="center"/>
              <w:rPr>
                <w:rFonts w:eastAsia="Times New Roman" w:cs="Times New Roman"/>
                <w:b/>
                <w:color w:val="FFFFFF"/>
                <w:kern w:val="0"/>
                <w:sz w:val="20"/>
                <w:szCs w:val="24"/>
              </w:rPr>
            </w:pPr>
            <w:r w:rsidRPr="00901BD9">
              <w:rPr>
                <w:rFonts w:eastAsia="Times New Roman" w:cs="Times New Roman"/>
                <w:b/>
                <w:color w:val="FFFFFF"/>
                <w:kern w:val="0"/>
                <w:sz w:val="20"/>
                <w:szCs w:val="24"/>
              </w:rPr>
              <w:t>Role</w:t>
            </w:r>
          </w:p>
        </w:tc>
        <w:tc>
          <w:tcPr>
            <w:tcW w:w="1578"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shd w:val="clear" w:color="auto" w:fill="00B5E2" w:themeFill="accent1"/>
            <w:vAlign w:val="bottom"/>
          </w:tcPr>
          <w:p w14:paraId="3D84723E" w14:textId="77777777" w:rsidR="00901BD9" w:rsidRPr="00901BD9" w:rsidRDefault="00901BD9" w:rsidP="00901BD9">
            <w:pPr>
              <w:tabs>
                <w:tab w:val="clear" w:pos="284"/>
              </w:tabs>
              <w:spacing w:before="60" w:after="60" w:line="240" w:lineRule="auto"/>
              <w:jc w:val="center"/>
              <w:rPr>
                <w:rFonts w:eastAsia="Times New Roman" w:cs="Times New Roman"/>
                <w:b/>
                <w:color w:val="FFFFFF"/>
                <w:kern w:val="0"/>
                <w:sz w:val="20"/>
                <w:szCs w:val="24"/>
              </w:rPr>
            </w:pPr>
            <w:r w:rsidRPr="00901BD9">
              <w:rPr>
                <w:rFonts w:eastAsia="Times New Roman" w:cs="Times New Roman"/>
                <w:b/>
                <w:color w:val="FFFFFF"/>
                <w:kern w:val="0"/>
                <w:sz w:val="20"/>
                <w:szCs w:val="24"/>
              </w:rPr>
              <w:t>Name</w:t>
            </w:r>
          </w:p>
        </w:tc>
        <w:tc>
          <w:tcPr>
            <w:tcW w:w="1416"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shd w:val="clear" w:color="auto" w:fill="00B5E2" w:themeFill="accent1"/>
            <w:vAlign w:val="bottom"/>
          </w:tcPr>
          <w:p w14:paraId="1D1F8633" w14:textId="77777777" w:rsidR="00901BD9" w:rsidRPr="00901BD9" w:rsidRDefault="00901BD9" w:rsidP="00901BD9">
            <w:pPr>
              <w:tabs>
                <w:tab w:val="clear" w:pos="284"/>
              </w:tabs>
              <w:spacing w:before="60" w:after="60" w:line="240" w:lineRule="auto"/>
              <w:jc w:val="center"/>
              <w:rPr>
                <w:rFonts w:eastAsia="Times New Roman" w:cs="Times New Roman"/>
                <w:b/>
                <w:color w:val="FFFFFF"/>
                <w:kern w:val="0"/>
                <w:sz w:val="20"/>
                <w:szCs w:val="24"/>
              </w:rPr>
            </w:pPr>
            <w:r w:rsidRPr="00901BD9">
              <w:rPr>
                <w:rFonts w:eastAsia="Times New Roman" w:cs="Times New Roman"/>
                <w:b/>
                <w:color w:val="FFFFFF"/>
                <w:kern w:val="0"/>
                <w:sz w:val="20"/>
                <w:szCs w:val="24"/>
              </w:rPr>
              <w:t xml:space="preserve">Phone </w:t>
            </w:r>
          </w:p>
        </w:tc>
        <w:tc>
          <w:tcPr>
            <w:tcW w:w="1656"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shd w:val="clear" w:color="auto" w:fill="00B5E2" w:themeFill="accent1"/>
            <w:vAlign w:val="bottom"/>
          </w:tcPr>
          <w:p w14:paraId="5D6C058D" w14:textId="77777777" w:rsidR="00901BD9" w:rsidRPr="00901BD9" w:rsidRDefault="00901BD9" w:rsidP="00901BD9">
            <w:pPr>
              <w:tabs>
                <w:tab w:val="clear" w:pos="284"/>
              </w:tabs>
              <w:spacing w:before="60" w:after="60" w:line="240" w:lineRule="auto"/>
              <w:jc w:val="center"/>
              <w:rPr>
                <w:rFonts w:eastAsia="Times New Roman" w:cs="Times New Roman"/>
                <w:b/>
                <w:color w:val="FFFFFF"/>
                <w:kern w:val="0"/>
                <w:sz w:val="20"/>
                <w:szCs w:val="24"/>
              </w:rPr>
            </w:pPr>
            <w:r w:rsidRPr="00901BD9">
              <w:rPr>
                <w:rFonts w:eastAsia="Times New Roman" w:cs="Times New Roman"/>
                <w:b/>
                <w:color w:val="FFFFFF"/>
                <w:kern w:val="0"/>
                <w:sz w:val="20"/>
                <w:szCs w:val="24"/>
              </w:rPr>
              <w:t>Title (CLIN/RMC)</w:t>
            </w:r>
          </w:p>
        </w:tc>
        <w:tc>
          <w:tcPr>
            <w:tcW w:w="1662"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shd w:val="clear" w:color="auto" w:fill="00B5E2" w:themeFill="accent1"/>
            <w:vAlign w:val="bottom"/>
          </w:tcPr>
          <w:p w14:paraId="141DE6D0" w14:textId="77777777" w:rsidR="00901BD9" w:rsidRPr="00901BD9" w:rsidRDefault="00901BD9" w:rsidP="00901BD9">
            <w:pPr>
              <w:tabs>
                <w:tab w:val="clear" w:pos="284"/>
              </w:tabs>
              <w:spacing w:before="60" w:after="60" w:line="240" w:lineRule="auto"/>
              <w:jc w:val="center"/>
              <w:rPr>
                <w:rFonts w:eastAsia="Times New Roman" w:cs="Times New Roman"/>
                <w:b/>
                <w:color w:val="FFFFFF"/>
                <w:kern w:val="0"/>
                <w:sz w:val="20"/>
                <w:szCs w:val="24"/>
              </w:rPr>
            </w:pPr>
            <w:r w:rsidRPr="00901BD9">
              <w:rPr>
                <w:rFonts w:eastAsia="Times New Roman" w:cs="Times New Roman"/>
                <w:b/>
                <w:color w:val="FFFFFF"/>
                <w:kern w:val="0"/>
                <w:sz w:val="20"/>
                <w:szCs w:val="24"/>
              </w:rPr>
              <w:t>Review Date</w:t>
            </w:r>
          </w:p>
        </w:tc>
        <w:tc>
          <w:tcPr>
            <w:tcW w:w="1632"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shd w:val="clear" w:color="auto" w:fill="00B5E2" w:themeFill="accent1"/>
            <w:vAlign w:val="bottom"/>
          </w:tcPr>
          <w:p w14:paraId="5A2C8550" w14:textId="77777777" w:rsidR="00901BD9" w:rsidRPr="00901BD9" w:rsidRDefault="00901BD9" w:rsidP="00901BD9">
            <w:pPr>
              <w:tabs>
                <w:tab w:val="clear" w:pos="284"/>
              </w:tabs>
              <w:spacing w:before="60" w:after="60" w:line="240" w:lineRule="auto"/>
              <w:jc w:val="center"/>
              <w:rPr>
                <w:rFonts w:eastAsia="Times New Roman" w:cs="Times New Roman"/>
                <w:b/>
                <w:color w:val="FFFFFF"/>
                <w:kern w:val="0"/>
                <w:sz w:val="20"/>
                <w:szCs w:val="24"/>
              </w:rPr>
            </w:pPr>
            <w:r w:rsidRPr="00901BD9">
              <w:rPr>
                <w:rFonts w:eastAsia="Times New Roman" w:cs="Times New Roman"/>
                <w:b/>
                <w:color w:val="FFFFFF"/>
                <w:kern w:val="0"/>
                <w:sz w:val="20"/>
                <w:szCs w:val="24"/>
              </w:rPr>
              <w:t>Approved Date</w:t>
            </w:r>
          </w:p>
        </w:tc>
      </w:tr>
      <w:tr w:rsidR="00901BD9" w:rsidRPr="00901BD9" w14:paraId="5C6EE131" w14:textId="77777777" w:rsidTr="00901BD9">
        <w:trPr>
          <w:trHeight w:val="349"/>
        </w:trPr>
        <w:tc>
          <w:tcPr>
            <w:tcW w:w="1578"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0CCA904E" w14:textId="77777777" w:rsidR="00901BD9" w:rsidRPr="00901BD9" w:rsidRDefault="00901BD9" w:rsidP="00901BD9">
            <w:pPr>
              <w:tabs>
                <w:tab w:val="clear" w:pos="284"/>
              </w:tabs>
              <w:spacing w:before="20" w:after="20" w:line="240" w:lineRule="auto"/>
              <w:jc w:val="center"/>
              <w:rPr>
                <w:rFonts w:eastAsia="Times New Roman" w:cs="Times New Roman"/>
                <w:kern w:val="0"/>
                <w:sz w:val="20"/>
                <w:szCs w:val="24"/>
                <w:highlight w:val="yellow"/>
              </w:rPr>
            </w:pPr>
            <w:r w:rsidRPr="00901BD9">
              <w:rPr>
                <w:rFonts w:eastAsia="Times New Roman" w:cs="Times New Roman"/>
                <w:kern w:val="0"/>
                <w:sz w:val="20"/>
                <w:szCs w:val="24"/>
              </w:rPr>
              <w:t>Project Manager</w:t>
            </w:r>
          </w:p>
        </w:tc>
        <w:tc>
          <w:tcPr>
            <w:tcW w:w="1578"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520EAE91" w14:textId="33442337" w:rsidR="00901BD9" w:rsidRPr="00901BD9" w:rsidRDefault="00901BD9" w:rsidP="00901BD9">
            <w:pPr>
              <w:tabs>
                <w:tab w:val="clear" w:pos="284"/>
              </w:tabs>
              <w:spacing w:before="20" w:after="20" w:line="240" w:lineRule="auto"/>
              <w:jc w:val="center"/>
              <w:rPr>
                <w:rFonts w:eastAsia="Times New Roman" w:cs="Times New Roman"/>
                <w:kern w:val="0"/>
                <w:sz w:val="20"/>
                <w:szCs w:val="24"/>
              </w:rPr>
            </w:pPr>
            <w:r>
              <w:rPr>
                <w:rFonts w:eastAsia="Times New Roman" w:cs="Times New Roman"/>
                <w:kern w:val="0"/>
                <w:sz w:val="20"/>
                <w:szCs w:val="24"/>
              </w:rPr>
              <w:t>Sean Sutton</w:t>
            </w:r>
          </w:p>
        </w:tc>
        <w:tc>
          <w:tcPr>
            <w:tcW w:w="1416"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184BCD4A" w14:textId="57AEEB06" w:rsidR="00901BD9" w:rsidRPr="00901BD9" w:rsidRDefault="00901BD9" w:rsidP="00901BD9">
            <w:pPr>
              <w:tabs>
                <w:tab w:val="clear" w:pos="284"/>
              </w:tabs>
              <w:spacing w:before="20" w:after="20" w:line="240" w:lineRule="auto"/>
              <w:jc w:val="center"/>
              <w:rPr>
                <w:rFonts w:eastAsia="Times New Roman" w:cs="Times New Roman"/>
                <w:kern w:val="0"/>
                <w:sz w:val="20"/>
                <w:szCs w:val="24"/>
              </w:rPr>
            </w:pPr>
            <w:r>
              <w:rPr>
                <w:rFonts w:eastAsia="Times New Roman" w:cs="Times New Roman"/>
                <w:kern w:val="0"/>
                <w:sz w:val="20"/>
                <w:szCs w:val="24"/>
              </w:rPr>
              <w:t>512.457.7745</w:t>
            </w:r>
          </w:p>
        </w:tc>
        <w:tc>
          <w:tcPr>
            <w:tcW w:w="1656"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2F0F56D7" w14:textId="77777777" w:rsidR="00901BD9" w:rsidRPr="00901BD9" w:rsidRDefault="00901BD9" w:rsidP="00901BD9">
            <w:pPr>
              <w:tabs>
                <w:tab w:val="clear" w:pos="284"/>
              </w:tabs>
              <w:spacing w:before="20" w:after="20" w:line="240" w:lineRule="auto"/>
              <w:jc w:val="center"/>
              <w:rPr>
                <w:rFonts w:eastAsia="Times New Roman" w:cs="Times New Roman"/>
                <w:kern w:val="0"/>
                <w:sz w:val="20"/>
                <w:szCs w:val="24"/>
              </w:rPr>
            </w:pPr>
            <w:r w:rsidRPr="00901BD9">
              <w:rPr>
                <w:rFonts w:eastAsia="Times New Roman" w:cs="Times New Roman"/>
                <w:kern w:val="0"/>
                <w:sz w:val="20"/>
                <w:szCs w:val="24"/>
              </w:rPr>
              <w:t>Project Manager</w:t>
            </w:r>
          </w:p>
        </w:tc>
        <w:tc>
          <w:tcPr>
            <w:tcW w:w="1662"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7A835077" w14:textId="734620BF" w:rsidR="00901BD9" w:rsidRPr="002D4630" w:rsidRDefault="008E34C1" w:rsidP="00784008">
            <w:pPr>
              <w:tabs>
                <w:tab w:val="clear" w:pos="284"/>
              </w:tabs>
              <w:spacing w:before="20" w:after="20" w:line="240" w:lineRule="auto"/>
              <w:jc w:val="center"/>
              <w:rPr>
                <w:rFonts w:eastAsia="Times New Roman" w:cs="Times New Roman"/>
                <w:kern w:val="0"/>
                <w:sz w:val="20"/>
                <w:szCs w:val="24"/>
              </w:rPr>
            </w:pPr>
            <w:r w:rsidRPr="002D4630">
              <w:rPr>
                <w:rFonts w:eastAsia="Times New Roman" w:cs="Times New Roman"/>
                <w:kern w:val="0"/>
                <w:sz w:val="20"/>
                <w:szCs w:val="24"/>
              </w:rPr>
              <w:t xml:space="preserve">August </w:t>
            </w:r>
            <w:r w:rsidR="00784008">
              <w:rPr>
                <w:rFonts w:eastAsia="Times New Roman" w:cs="Times New Roman"/>
                <w:kern w:val="0"/>
                <w:sz w:val="20"/>
                <w:szCs w:val="24"/>
              </w:rPr>
              <w:t>28</w:t>
            </w:r>
            <w:r w:rsidR="00C96A91" w:rsidRPr="002D4630">
              <w:rPr>
                <w:rFonts w:eastAsia="Times New Roman" w:cs="Times New Roman"/>
                <w:kern w:val="0"/>
                <w:sz w:val="20"/>
                <w:szCs w:val="24"/>
              </w:rPr>
              <w:t>, 2022</w:t>
            </w:r>
          </w:p>
        </w:tc>
        <w:tc>
          <w:tcPr>
            <w:tcW w:w="1632"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1AB2E7AF" w14:textId="6DA53D9C" w:rsidR="00901BD9" w:rsidRPr="002D4630" w:rsidRDefault="008E34C1" w:rsidP="00784008">
            <w:pPr>
              <w:tabs>
                <w:tab w:val="clear" w:pos="284"/>
              </w:tabs>
              <w:spacing w:before="20" w:after="20" w:line="240" w:lineRule="auto"/>
              <w:jc w:val="center"/>
              <w:rPr>
                <w:rFonts w:eastAsia="Times New Roman" w:cs="Times New Roman"/>
                <w:kern w:val="0"/>
                <w:sz w:val="20"/>
                <w:szCs w:val="24"/>
              </w:rPr>
            </w:pPr>
            <w:r w:rsidRPr="002D4630">
              <w:rPr>
                <w:rFonts w:eastAsia="Times New Roman" w:cs="Times New Roman"/>
                <w:kern w:val="0"/>
                <w:sz w:val="20"/>
                <w:szCs w:val="24"/>
              </w:rPr>
              <w:t xml:space="preserve">August </w:t>
            </w:r>
            <w:r w:rsidR="00784008">
              <w:rPr>
                <w:rFonts w:eastAsia="Times New Roman" w:cs="Times New Roman"/>
                <w:kern w:val="0"/>
                <w:sz w:val="20"/>
                <w:szCs w:val="24"/>
              </w:rPr>
              <w:t>31</w:t>
            </w:r>
            <w:r w:rsidR="00EF45BA" w:rsidRPr="002D4630">
              <w:rPr>
                <w:rFonts w:eastAsia="Times New Roman" w:cs="Times New Roman"/>
                <w:kern w:val="0"/>
                <w:sz w:val="20"/>
                <w:szCs w:val="24"/>
              </w:rPr>
              <w:t>, 2022</w:t>
            </w:r>
          </w:p>
        </w:tc>
      </w:tr>
    </w:tbl>
    <w:p w14:paraId="268A67ED" w14:textId="77777777" w:rsidR="008C01E1" w:rsidRDefault="008C01E1" w:rsidP="00901BD9">
      <w:pPr>
        <w:tabs>
          <w:tab w:val="clear" w:pos="284"/>
        </w:tabs>
        <w:spacing w:before="200" w:after="200" w:line="240" w:lineRule="auto"/>
        <w:rPr>
          <w:rFonts w:asciiTheme="majorHAnsi" w:eastAsia="Times New Roman" w:hAnsiTheme="majorHAnsi" w:cs="Times New Roman"/>
          <w:b/>
          <w:caps/>
          <w:color w:val="F68B1F" w:themeColor="accent3"/>
          <w:kern w:val="0"/>
          <w:sz w:val="22"/>
          <w:szCs w:val="24"/>
        </w:rPr>
      </w:pPr>
    </w:p>
    <w:p w14:paraId="65227023" w14:textId="77777777" w:rsidR="00901BD9" w:rsidRPr="00901BD9" w:rsidRDefault="00901BD9" w:rsidP="00901BD9">
      <w:pPr>
        <w:tabs>
          <w:tab w:val="clear" w:pos="284"/>
        </w:tabs>
        <w:spacing w:before="200" w:after="200" w:line="240" w:lineRule="auto"/>
        <w:rPr>
          <w:rFonts w:asciiTheme="majorHAnsi" w:eastAsia="Times New Roman" w:hAnsiTheme="majorHAnsi" w:cs="Times New Roman"/>
          <w:b/>
          <w:caps/>
          <w:color w:val="F68B1F" w:themeColor="accent3"/>
          <w:kern w:val="0"/>
          <w:sz w:val="22"/>
          <w:szCs w:val="24"/>
        </w:rPr>
      </w:pPr>
      <w:r w:rsidRPr="00901BD9">
        <w:rPr>
          <w:rFonts w:asciiTheme="majorHAnsi" w:eastAsia="Times New Roman" w:hAnsiTheme="majorHAnsi" w:cs="Times New Roman"/>
          <w:b/>
          <w:caps/>
          <w:color w:val="F68B1F" w:themeColor="accent3"/>
          <w:kern w:val="0"/>
          <w:sz w:val="22"/>
          <w:szCs w:val="24"/>
        </w:rPr>
        <w:t>Client distribution</w:t>
      </w:r>
    </w:p>
    <w:tbl>
      <w:tblPr>
        <w:tblW w:w="9558" w:type="dxa"/>
        <w:tblBorders>
          <w:top w:val="single" w:sz="4" w:space="0" w:color="00B5E2" w:themeColor="accent1"/>
          <w:left w:val="single" w:sz="4" w:space="0" w:color="00B5E2" w:themeColor="accent1"/>
          <w:bottom w:val="single" w:sz="4" w:space="0" w:color="00B5E2" w:themeColor="accent1"/>
          <w:right w:val="single" w:sz="4" w:space="0" w:color="00B5E2" w:themeColor="accent1"/>
          <w:insideH w:val="single" w:sz="4" w:space="0" w:color="00B5E2" w:themeColor="accent1"/>
          <w:insideV w:val="single" w:sz="4" w:space="0" w:color="00B5E2" w:themeColor="accent1"/>
        </w:tblBorders>
        <w:tblLayout w:type="fixed"/>
        <w:tblLook w:val="04A0" w:firstRow="1" w:lastRow="0" w:firstColumn="1" w:lastColumn="0" w:noHBand="0" w:noVBand="1"/>
      </w:tblPr>
      <w:tblGrid>
        <w:gridCol w:w="2448"/>
        <w:gridCol w:w="4680"/>
        <w:gridCol w:w="2430"/>
      </w:tblGrid>
      <w:tr w:rsidR="00901BD9" w:rsidRPr="00901BD9" w14:paraId="5B079669" w14:textId="77777777" w:rsidTr="00906DB8">
        <w:trPr>
          <w:trHeight w:val="349"/>
        </w:trPr>
        <w:tc>
          <w:tcPr>
            <w:tcW w:w="2448"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shd w:val="clear" w:color="auto" w:fill="00B5E2" w:themeFill="accent1"/>
            <w:vAlign w:val="bottom"/>
          </w:tcPr>
          <w:p w14:paraId="7534D464" w14:textId="77777777" w:rsidR="00901BD9" w:rsidRPr="00901BD9" w:rsidRDefault="00901BD9" w:rsidP="00901BD9">
            <w:pPr>
              <w:tabs>
                <w:tab w:val="clear" w:pos="284"/>
              </w:tabs>
              <w:spacing w:before="60" w:after="60" w:line="240" w:lineRule="auto"/>
              <w:jc w:val="center"/>
              <w:rPr>
                <w:rFonts w:eastAsia="Times New Roman" w:cs="Times New Roman"/>
                <w:b/>
                <w:color w:val="FFFFFF"/>
                <w:kern w:val="0"/>
                <w:sz w:val="20"/>
                <w:szCs w:val="24"/>
              </w:rPr>
            </w:pPr>
            <w:r w:rsidRPr="00901BD9">
              <w:rPr>
                <w:rFonts w:eastAsia="Times New Roman" w:cs="Times New Roman"/>
                <w:b/>
                <w:color w:val="FFFFFF"/>
                <w:kern w:val="0"/>
                <w:sz w:val="20"/>
                <w:szCs w:val="24"/>
              </w:rPr>
              <w:t>Name</w:t>
            </w:r>
          </w:p>
        </w:tc>
        <w:tc>
          <w:tcPr>
            <w:tcW w:w="4680"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shd w:val="clear" w:color="auto" w:fill="00B5E2" w:themeFill="accent1"/>
            <w:vAlign w:val="bottom"/>
          </w:tcPr>
          <w:p w14:paraId="06C4ECD4" w14:textId="77777777" w:rsidR="00901BD9" w:rsidRPr="00901BD9" w:rsidRDefault="00901BD9" w:rsidP="00901BD9">
            <w:pPr>
              <w:tabs>
                <w:tab w:val="clear" w:pos="284"/>
              </w:tabs>
              <w:spacing w:before="60" w:after="60" w:line="240" w:lineRule="auto"/>
              <w:jc w:val="center"/>
              <w:rPr>
                <w:rFonts w:eastAsia="Times New Roman" w:cs="Times New Roman"/>
                <w:b/>
                <w:color w:val="FFFFFF"/>
                <w:kern w:val="0"/>
                <w:sz w:val="20"/>
                <w:szCs w:val="24"/>
              </w:rPr>
            </w:pPr>
            <w:r w:rsidRPr="00901BD9">
              <w:rPr>
                <w:rFonts w:eastAsia="Times New Roman" w:cs="Times New Roman"/>
                <w:b/>
                <w:color w:val="FFFFFF"/>
                <w:kern w:val="0"/>
                <w:sz w:val="20"/>
                <w:szCs w:val="24"/>
              </w:rPr>
              <w:t>Title/Organization</w:t>
            </w:r>
          </w:p>
        </w:tc>
        <w:tc>
          <w:tcPr>
            <w:tcW w:w="2430"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shd w:val="clear" w:color="auto" w:fill="00B5E2" w:themeFill="accent1"/>
            <w:vAlign w:val="bottom"/>
          </w:tcPr>
          <w:p w14:paraId="4BBE3517" w14:textId="77777777" w:rsidR="00901BD9" w:rsidRPr="00901BD9" w:rsidRDefault="00901BD9" w:rsidP="00901BD9">
            <w:pPr>
              <w:tabs>
                <w:tab w:val="clear" w:pos="284"/>
              </w:tabs>
              <w:spacing w:before="60" w:after="60" w:line="240" w:lineRule="auto"/>
              <w:jc w:val="center"/>
              <w:rPr>
                <w:rFonts w:eastAsia="Times New Roman" w:cs="Times New Roman"/>
                <w:b/>
                <w:color w:val="FFFFFF"/>
                <w:kern w:val="0"/>
                <w:sz w:val="20"/>
                <w:szCs w:val="24"/>
              </w:rPr>
            </w:pPr>
            <w:r w:rsidRPr="00901BD9">
              <w:rPr>
                <w:rFonts w:eastAsia="Times New Roman" w:cs="Times New Roman"/>
                <w:b/>
                <w:color w:val="FFFFFF"/>
                <w:kern w:val="0"/>
                <w:sz w:val="20"/>
                <w:szCs w:val="24"/>
              </w:rPr>
              <w:t>Location</w:t>
            </w:r>
          </w:p>
        </w:tc>
      </w:tr>
      <w:tr w:rsidR="00901BD9" w:rsidRPr="00901BD9" w14:paraId="19D52CE8" w14:textId="77777777" w:rsidTr="00906DB8">
        <w:trPr>
          <w:trHeight w:val="349"/>
        </w:trPr>
        <w:tc>
          <w:tcPr>
            <w:tcW w:w="2448"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4D2218EE" w14:textId="471E6E1A" w:rsidR="00901BD9" w:rsidRPr="00901BD9" w:rsidRDefault="00901BD9" w:rsidP="00901BD9">
            <w:pPr>
              <w:tabs>
                <w:tab w:val="clear" w:pos="284"/>
              </w:tabs>
              <w:spacing w:before="20" w:after="20" w:line="240" w:lineRule="auto"/>
              <w:jc w:val="center"/>
              <w:rPr>
                <w:rFonts w:eastAsia="Times New Roman" w:cs="Times New Roman"/>
                <w:kern w:val="0"/>
                <w:sz w:val="20"/>
                <w:szCs w:val="24"/>
              </w:rPr>
            </w:pPr>
            <w:r>
              <w:rPr>
                <w:rFonts w:eastAsia="Times New Roman" w:cs="Times New Roman"/>
                <w:kern w:val="0"/>
                <w:sz w:val="20"/>
                <w:szCs w:val="24"/>
              </w:rPr>
              <w:t>Manuel Razo</w:t>
            </w:r>
          </w:p>
        </w:tc>
        <w:tc>
          <w:tcPr>
            <w:tcW w:w="4680"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302333AF" w14:textId="424929FE" w:rsidR="00901BD9" w:rsidRPr="00901BD9" w:rsidRDefault="00901BD9" w:rsidP="00901BD9">
            <w:pPr>
              <w:tabs>
                <w:tab w:val="clear" w:pos="284"/>
              </w:tabs>
              <w:spacing w:before="20" w:after="20" w:line="240" w:lineRule="auto"/>
              <w:jc w:val="center"/>
              <w:rPr>
                <w:rFonts w:eastAsia="Times New Roman" w:cs="Times New Roman"/>
                <w:kern w:val="0"/>
                <w:sz w:val="20"/>
                <w:szCs w:val="24"/>
              </w:rPr>
            </w:pPr>
            <w:r>
              <w:rPr>
                <w:rFonts w:eastAsia="Times New Roman" w:cs="Times New Roman"/>
                <w:kern w:val="0"/>
                <w:sz w:val="20"/>
                <w:szCs w:val="24"/>
              </w:rPr>
              <w:t>Contract Manager, TWDB</w:t>
            </w:r>
          </w:p>
        </w:tc>
        <w:tc>
          <w:tcPr>
            <w:tcW w:w="2430"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51829684" w14:textId="14F6CF26" w:rsidR="00901BD9" w:rsidRPr="00901BD9" w:rsidRDefault="002A75EF" w:rsidP="00901BD9">
            <w:pPr>
              <w:tabs>
                <w:tab w:val="clear" w:pos="284"/>
              </w:tabs>
              <w:spacing w:before="20" w:after="20" w:line="240" w:lineRule="auto"/>
              <w:jc w:val="center"/>
              <w:rPr>
                <w:rFonts w:eastAsia="Times New Roman" w:cs="Times New Roman"/>
                <w:kern w:val="0"/>
                <w:sz w:val="20"/>
                <w:szCs w:val="24"/>
              </w:rPr>
            </w:pPr>
            <w:r>
              <w:rPr>
                <w:rFonts w:eastAsia="Times New Roman" w:cs="Times New Roman"/>
                <w:kern w:val="0"/>
                <w:sz w:val="20"/>
                <w:szCs w:val="24"/>
              </w:rPr>
              <w:t>Austin, Texas</w:t>
            </w:r>
          </w:p>
        </w:tc>
      </w:tr>
      <w:bookmarkEnd w:id="14"/>
    </w:tbl>
    <w:p w14:paraId="523F098B" w14:textId="24FA0E46" w:rsidR="00067457" w:rsidRDefault="00067457">
      <w:pPr>
        <w:tabs>
          <w:tab w:val="clear" w:pos="284"/>
        </w:tabs>
        <w:spacing w:line="240" w:lineRule="auto"/>
      </w:pPr>
      <w:r>
        <w:br w:type="page"/>
      </w:r>
    </w:p>
    <w:p w14:paraId="04058CB9" w14:textId="77777777" w:rsidR="003964F2" w:rsidRDefault="003964F2" w:rsidP="00CA2219">
      <w:pPr>
        <w:pStyle w:val="TOCHeading"/>
        <w:rPr>
          <w:noProof/>
        </w:rPr>
      </w:pPr>
      <w:r>
        <w:rPr>
          <w:noProof/>
        </w:rPr>
        <w:lastRenderedPageBreak/>
        <w:t>Table of Contents</w:t>
      </w:r>
    </w:p>
    <w:p w14:paraId="7902C398" w14:textId="77777777" w:rsidR="008C26FB" w:rsidRDefault="00265A9E">
      <w:pPr>
        <w:pStyle w:val="TOC1"/>
        <w:tabs>
          <w:tab w:val="left" w:pos="540"/>
          <w:tab w:val="right" w:leader="dot" w:pos="9350"/>
        </w:tabs>
        <w:rPr>
          <w:rFonts w:eastAsiaTheme="minorEastAsia" w:cstheme="minorBidi"/>
          <w:b w:val="0"/>
          <w:bCs w:val="0"/>
          <w:noProof/>
          <w:kern w:val="0"/>
          <w:sz w:val="22"/>
          <w:szCs w:val="22"/>
        </w:rPr>
      </w:pPr>
      <w:r>
        <w:rPr>
          <w:noProof/>
        </w:rPr>
        <w:fldChar w:fldCharType="begin"/>
      </w:r>
      <w:r>
        <w:rPr>
          <w:noProof/>
        </w:rPr>
        <w:instrText xml:space="preserve"> TOC \o "1-4" \u </w:instrText>
      </w:r>
      <w:r>
        <w:rPr>
          <w:noProof/>
        </w:rPr>
        <w:fldChar w:fldCharType="separate"/>
      </w:r>
      <w:r w:rsidR="008C26FB">
        <w:rPr>
          <w:noProof/>
        </w:rPr>
        <w:t>1.</w:t>
      </w:r>
      <w:r w:rsidR="008C26FB">
        <w:rPr>
          <w:rFonts w:eastAsiaTheme="minorEastAsia" w:cstheme="minorBidi"/>
          <w:b w:val="0"/>
          <w:bCs w:val="0"/>
          <w:noProof/>
          <w:kern w:val="0"/>
          <w:sz w:val="22"/>
          <w:szCs w:val="22"/>
        </w:rPr>
        <w:tab/>
      </w:r>
      <w:r w:rsidR="008C26FB">
        <w:rPr>
          <w:noProof/>
        </w:rPr>
        <w:t>Introduction</w:t>
      </w:r>
      <w:r w:rsidR="008C26FB">
        <w:rPr>
          <w:noProof/>
        </w:rPr>
        <w:tab/>
      </w:r>
      <w:r w:rsidR="008C26FB">
        <w:rPr>
          <w:noProof/>
        </w:rPr>
        <w:fldChar w:fldCharType="begin"/>
      </w:r>
      <w:r w:rsidR="008C26FB">
        <w:rPr>
          <w:noProof/>
        </w:rPr>
        <w:instrText xml:space="preserve"> PAGEREF _Toc112877060 \h </w:instrText>
      </w:r>
      <w:r w:rsidR="008C26FB">
        <w:rPr>
          <w:noProof/>
        </w:rPr>
      </w:r>
      <w:r w:rsidR="008C26FB">
        <w:rPr>
          <w:noProof/>
        </w:rPr>
        <w:fldChar w:fldCharType="separate"/>
      </w:r>
      <w:r w:rsidR="00C9792F">
        <w:rPr>
          <w:noProof/>
        </w:rPr>
        <w:t>1</w:t>
      </w:r>
      <w:r w:rsidR="008C26FB">
        <w:rPr>
          <w:noProof/>
        </w:rPr>
        <w:fldChar w:fldCharType="end"/>
      </w:r>
    </w:p>
    <w:p w14:paraId="7A1690EE" w14:textId="77777777" w:rsidR="008C26FB" w:rsidRDefault="008C26FB">
      <w:pPr>
        <w:pStyle w:val="TOC1"/>
        <w:tabs>
          <w:tab w:val="left" w:pos="540"/>
          <w:tab w:val="right" w:leader="dot" w:pos="9350"/>
        </w:tabs>
        <w:rPr>
          <w:rFonts w:eastAsiaTheme="minorEastAsia" w:cstheme="minorBidi"/>
          <w:b w:val="0"/>
          <w:bCs w:val="0"/>
          <w:noProof/>
          <w:kern w:val="0"/>
          <w:sz w:val="22"/>
          <w:szCs w:val="22"/>
        </w:rPr>
      </w:pPr>
      <w:r>
        <w:rPr>
          <w:noProof/>
        </w:rPr>
        <w:t>2.</w:t>
      </w:r>
      <w:r>
        <w:rPr>
          <w:rFonts w:eastAsiaTheme="minorEastAsia" w:cstheme="minorBidi"/>
          <w:b w:val="0"/>
          <w:bCs w:val="0"/>
          <w:noProof/>
          <w:kern w:val="0"/>
          <w:sz w:val="22"/>
          <w:szCs w:val="22"/>
        </w:rPr>
        <w:tab/>
      </w:r>
      <w:r>
        <w:rPr>
          <w:noProof/>
        </w:rPr>
        <w:t>2D BLE Modeling Inputs and Controls</w:t>
      </w:r>
      <w:r>
        <w:rPr>
          <w:noProof/>
        </w:rPr>
        <w:tab/>
      </w:r>
      <w:r>
        <w:rPr>
          <w:noProof/>
        </w:rPr>
        <w:fldChar w:fldCharType="begin"/>
      </w:r>
      <w:r>
        <w:rPr>
          <w:noProof/>
        </w:rPr>
        <w:instrText xml:space="preserve"> PAGEREF _Toc112877061 \h </w:instrText>
      </w:r>
      <w:r>
        <w:rPr>
          <w:noProof/>
        </w:rPr>
      </w:r>
      <w:r>
        <w:rPr>
          <w:noProof/>
        </w:rPr>
        <w:fldChar w:fldCharType="separate"/>
      </w:r>
      <w:r w:rsidR="00C9792F">
        <w:rPr>
          <w:noProof/>
        </w:rPr>
        <w:t>3</w:t>
      </w:r>
      <w:r>
        <w:rPr>
          <w:noProof/>
        </w:rPr>
        <w:fldChar w:fldCharType="end"/>
      </w:r>
    </w:p>
    <w:p w14:paraId="4EC2FE42" w14:textId="77777777" w:rsidR="008C26FB" w:rsidRDefault="008C26FB">
      <w:pPr>
        <w:pStyle w:val="TOC2"/>
        <w:tabs>
          <w:tab w:val="left" w:pos="720"/>
          <w:tab w:val="right" w:leader="dot" w:pos="9350"/>
        </w:tabs>
        <w:rPr>
          <w:rFonts w:eastAsiaTheme="minorEastAsia" w:cstheme="minorBidi"/>
          <w:i w:val="0"/>
          <w:iCs w:val="0"/>
          <w:noProof/>
          <w:kern w:val="0"/>
          <w:sz w:val="22"/>
          <w:szCs w:val="22"/>
        </w:rPr>
      </w:pPr>
      <w:r>
        <w:rPr>
          <w:noProof/>
        </w:rPr>
        <w:t>2.1</w:t>
      </w:r>
      <w:r>
        <w:rPr>
          <w:rFonts w:eastAsiaTheme="minorEastAsia" w:cstheme="minorBidi"/>
          <w:i w:val="0"/>
          <w:iCs w:val="0"/>
          <w:noProof/>
          <w:kern w:val="0"/>
          <w:sz w:val="22"/>
          <w:szCs w:val="22"/>
        </w:rPr>
        <w:tab/>
      </w:r>
      <w:r>
        <w:rPr>
          <w:noProof/>
        </w:rPr>
        <w:t>Topographic Data</w:t>
      </w:r>
      <w:r>
        <w:rPr>
          <w:noProof/>
        </w:rPr>
        <w:tab/>
      </w:r>
      <w:r>
        <w:rPr>
          <w:noProof/>
        </w:rPr>
        <w:fldChar w:fldCharType="begin"/>
      </w:r>
      <w:r>
        <w:rPr>
          <w:noProof/>
        </w:rPr>
        <w:instrText xml:space="preserve"> PAGEREF _Toc112877062 \h </w:instrText>
      </w:r>
      <w:r>
        <w:rPr>
          <w:noProof/>
        </w:rPr>
      </w:r>
      <w:r>
        <w:rPr>
          <w:noProof/>
        </w:rPr>
        <w:fldChar w:fldCharType="separate"/>
      </w:r>
      <w:r w:rsidR="00C9792F">
        <w:rPr>
          <w:noProof/>
        </w:rPr>
        <w:t>3</w:t>
      </w:r>
      <w:r>
        <w:rPr>
          <w:noProof/>
        </w:rPr>
        <w:fldChar w:fldCharType="end"/>
      </w:r>
    </w:p>
    <w:p w14:paraId="29A1174C" w14:textId="77777777" w:rsidR="008C26FB" w:rsidRDefault="008C26FB">
      <w:pPr>
        <w:pStyle w:val="TOC3"/>
        <w:tabs>
          <w:tab w:val="left" w:pos="1080"/>
          <w:tab w:val="right" w:leader="dot" w:pos="9350"/>
        </w:tabs>
        <w:rPr>
          <w:rFonts w:eastAsiaTheme="minorEastAsia" w:cstheme="minorBidi"/>
          <w:noProof/>
          <w:kern w:val="0"/>
          <w:sz w:val="22"/>
          <w:szCs w:val="22"/>
        </w:rPr>
      </w:pPr>
      <w:r>
        <w:rPr>
          <w:noProof/>
        </w:rPr>
        <w:t>2.1.1</w:t>
      </w:r>
      <w:r>
        <w:rPr>
          <w:rFonts w:eastAsiaTheme="minorEastAsia" w:cstheme="minorBidi"/>
          <w:noProof/>
          <w:kern w:val="0"/>
          <w:sz w:val="22"/>
          <w:szCs w:val="22"/>
        </w:rPr>
        <w:tab/>
      </w:r>
      <w:r>
        <w:rPr>
          <w:noProof/>
        </w:rPr>
        <w:t>Inventory</w:t>
      </w:r>
      <w:r>
        <w:rPr>
          <w:noProof/>
        </w:rPr>
        <w:tab/>
      </w:r>
      <w:r>
        <w:rPr>
          <w:noProof/>
        </w:rPr>
        <w:fldChar w:fldCharType="begin"/>
      </w:r>
      <w:r>
        <w:rPr>
          <w:noProof/>
        </w:rPr>
        <w:instrText xml:space="preserve"> PAGEREF _Toc112877063 \h </w:instrText>
      </w:r>
      <w:r>
        <w:rPr>
          <w:noProof/>
        </w:rPr>
      </w:r>
      <w:r>
        <w:rPr>
          <w:noProof/>
        </w:rPr>
        <w:fldChar w:fldCharType="separate"/>
      </w:r>
      <w:r w:rsidR="00C9792F">
        <w:rPr>
          <w:noProof/>
        </w:rPr>
        <w:t>3</w:t>
      </w:r>
      <w:r>
        <w:rPr>
          <w:noProof/>
        </w:rPr>
        <w:fldChar w:fldCharType="end"/>
      </w:r>
    </w:p>
    <w:p w14:paraId="240798FA" w14:textId="77777777" w:rsidR="008C26FB" w:rsidRDefault="008C26FB">
      <w:pPr>
        <w:pStyle w:val="TOC3"/>
        <w:tabs>
          <w:tab w:val="left" w:pos="1080"/>
          <w:tab w:val="right" w:leader="dot" w:pos="9350"/>
        </w:tabs>
        <w:rPr>
          <w:rFonts w:eastAsiaTheme="minorEastAsia" w:cstheme="minorBidi"/>
          <w:noProof/>
          <w:kern w:val="0"/>
          <w:sz w:val="22"/>
          <w:szCs w:val="22"/>
        </w:rPr>
      </w:pPr>
      <w:r>
        <w:rPr>
          <w:noProof/>
        </w:rPr>
        <w:t>2.1.2</w:t>
      </w:r>
      <w:r>
        <w:rPr>
          <w:rFonts w:eastAsiaTheme="minorEastAsia" w:cstheme="minorBidi"/>
          <w:noProof/>
          <w:kern w:val="0"/>
          <w:sz w:val="22"/>
          <w:szCs w:val="22"/>
        </w:rPr>
        <w:tab/>
      </w:r>
      <w:r>
        <w:rPr>
          <w:noProof/>
        </w:rPr>
        <w:t>Evaluation</w:t>
      </w:r>
      <w:r>
        <w:rPr>
          <w:noProof/>
        </w:rPr>
        <w:tab/>
      </w:r>
      <w:r>
        <w:rPr>
          <w:noProof/>
        </w:rPr>
        <w:fldChar w:fldCharType="begin"/>
      </w:r>
      <w:r>
        <w:rPr>
          <w:noProof/>
        </w:rPr>
        <w:instrText xml:space="preserve"> PAGEREF _Toc112877064 \h </w:instrText>
      </w:r>
      <w:r>
        <w:rPr>
          <w:noProof/>
        </w:rPr>
      </w:r>
      <w:r>
        <w:rPr>
          <w:noProof/>
        </w:rPr>
        <w:fldChar w:fldCharType="separate"/>
      </w:r>
      <w:r w:rsidR="00C9792F">
        <w:rPr>
          <w:noProof/>
        </w:rPr>
        <w:t>4</w:t>
      </w:r>
      <w:r>
        <w:rPr>
          <w:noProof/>
        </w:rPr>
        <w:fldChar w:fldCharType="end"/>
      </w:r>
    </w:p>
    <w:p w14:paraId="5284648B" w14:textId="77777777" w:rsidR="008C26FB" w:rsidRDefault="008C26FB">
      <w:pPr>
        <w:pStyle w:val="TOC4"/>
        <w:tabs>
          <w:tab w:val="left" w:pos="1440"/>
          <w:tab w:val="right" w:leader="dot" w:pos="9350"/>
        </w:tabs>
        <w:rPr>
          <w:rFonts w:eastAsiaTheme="minorEastAsia" w:cstheme="minorBidi"/>
          <w:noProof/>
          <w:kern w:val="0"/>
          <w:sz w:val="22"/>
          <w:szCs w:val="22"/>
        </w:rPr>
      </w:pPr>
      <w:r>
        <w:rPr>
          <w:noProof/>
        </w:rPr>
        <w:t>2.1.2.1</w:t>
      </w:r>
      <w:r>
        <w:rPr>
          <w:rFonts w:eastAsiaTheme="minorEastAsia" w:cstheme="minorBidi"/>
          <w:noProof/>
          <w:kern w:val="0"/>
          <w:sz w:val="22"/>
          <w:szCs w:val="22"/>
        </w:rPr>
        <w:tab/>
      </w:r>
      <w:r>
        <w:rPr>
          <w:noProof/>
        </w:rPr>
        <w:t>Yellow House Draw Watershed Source Terrain Data</w:t>
      </w:r>
      <w:r>
        <w:rPr>
          <w:noProof/>
        </w:rPr>
        <w:tab/>
      </w:r>
      <w:r>
        <w:rPr>
          <w:noProof/>
        </w:rPr>
        <w:fldChar w:fldCharType="begin"/>
      </w:r>
      <w:r>
        <w:rPr>
          <w:noProof/>
        </w:rPr>
        <w:instrText xml:space="preserve"> PAGEREF _Toc112877065 \h </w:instrText>
      </w:r>
      <w:r>
        <w:rPr>
          <w:noProof/>
        </w:rPr>
      </w:r>
      <w:r>
        <w:rPr>
          <w:noProof/>
        </w:rPr>
        <w:fldChar w:fldCharType="separate"/>
      </w:r>
      <w:r w:rsidR="00C9792F">
        <w:rPr>
          <w:noProof/>
        </w:rPr>
        <w:t>5</w:t>
      </w:r>
      <w:r>
        <w:rPr>
          <w:noProof/>
        </w:rPr>
        <w:fldChar w:fldCharType="end"/>
      </w:r>
    </w:p>
    <w:p w14:paraId="3C120B67" w14:textId="77777777" w:rsidR="008C26FB" w:rsidRDefault="008C26FB">
      <w:pPr>
        <w:pStyle w:val="TOC3"/>
        <w:tabs>
          <w:tab w:val="left" w:pos="1080"/>
          <w:tab w:val="right" w:leader="dot" w:pos="9350"/>
        </w:tabs>
        <w:rPr>
          <w:rFonts w:eastAsiaTheme="minorEastAsia" w:cstheme="minorBidi"/>
          <w:noProof/>
          <w:kern w:val="0"/>
          <w:sz w:val="22"/>
          <w:szCs w:val="22"/>
        </w:rPr>
      </w:pPr>
      <w:r>
        <w:rPr>
          <w:noProof/>
        </w:rPr>
        <w:t>2.1.3</w:t>
      </w:r>
      <w:r>
        <w:rPr>
          <w:rFonts w:eastAsiaTheme="minorEastAsia" w:cstheme="minorBidi"/>
          <w:noProof/>
          <w:kern w:val="0"/>
          <w:sz w:val="22"/>
          <w:szCs w:val="22"/>
        </w:rPr>
        <w:tab/>
      </w:r>
      <w:r>
        <w:rPr>
          <w:noProof/>
        </w:rPr>
        <w:t>Data Processing</w:t>
      </w:r>
      <w:r>
        <w:rPr>
          <w:noProof/>
        </w:rPr>
        <w:tab/>
      </w:r>
      <w:r>
        <w:rPr>
          <w:noProof/>
        </w:rPr>
        <w:fldChar w:fldCharType="begin"/>
      </w:r>
      <w:r>
        <w:rPr>
          <w:noProof/>
        </w:rPr>
        <w:instrText xml:space="preserve"> PAGEREF _Toc112877066 \h </w:instrText>
      </w:r>
      <w:r>
        <w:rPr>
          <w:noProof/>
        </w:rPr>
      </w:r>
      <w:r>
        <w:rPr>
          <w:noProof/>
        </w:rPr>
        <w:fldChar w:fldCharType="separate"/>
      </w:r>
      <w:r w:rsidR="00C9792F">
        <w:rPr>
          <w:noProof/>
        </w:rPr>
        <w:t>5</w:t>
      </w:r>
      <w:r>
        <w:rPr>
          <w:noProof/>
        </w:rPr>
        <w:fldChar w:fldCharType="end"/>
      </w:r>
    </w:p>
    <w:p w14:paraId="1B4C3F45" w14:textId="77777777" w:rsidR="008C26FB" w:rsidRDefault="008C26FB">
      <w:pPr>
        <w:pStyle w:val="TOC3"/>
        <w:tabs>
          <w:tab w:val="left" w:pos="1080"/>
          <w:tab w:val="right" w:leader="dot" w:pos="9350"/>
        </w:tabs>
        <w:rPr>
          <w:rFonts w:eastAsiaTheme="minorEastAsia" w:cstheme="minorBidi"/>
          <w:noProof/>
          <w:kern w:val="0"/>
          <w:sz w:val="22"/>
          <w:szCs w:val="22"/>
        </w:rPr>
      </w:pPr>
      <w:r>
        <w:rPr>
          <w:noProof/>
        </w:rPr>
        <w:t>2.1.4</w:t>
      </w:r>
      <w:r>
        <w:rPr>
          <w:rFonts w:eastAsiaTheme="minorEastAsia" w:cstheme="minorBidi"/>
          <w:noProof/>
          <w:kern w:val="0"/>
          <w:sz w:val="22"/>
          <w:szCs w:val="22"/>
        </w:rPr>
        <w:tab/>
      </w:r>
      <w:r>
        <w:rPr>
          <w:noProof/>
        </w:rPr>
        <w:t>DEM QA/QC</w:t>
      </w:r>
      <w:r>
        <w:rPr>
          <w:noProof/>
        </w:rPr>
        <w:tab/>
      </w:r>
      <w:r>
        <w:rPr>
          <w:noProof/>
        </w:rPr>
        <w:fldChar w:fldCharType="begin"/>
      </w:r>
      <w:r>
        <w:rPr>
          <w:noProof/>
        </w:rPr>
        <w:instrText xml:space="preserve"> PAGEREF _Toc112877067 \h </w:instrText>
      </w:r>
      <w:r>
        <w:rPr>
          <w:noProof/>
        </w:rPr>
      </w:r>
      <w:r>
        <w:rPr>
          <w:noProof/>
        </w:rPr>
        <w:fldChar w:fldCharType="separate"/>
      </w:r>
      <w:r w:rsidR="00C9792F">
        <w:rPr>
          <w:noProof/>
        </w:rPr>
        <w:t>6</w:t>
      </w:r>
      <w:r>
        <w:rPr>
          <w:noProof/>
        </w:rPr>
        <w:fldChar w:fldCharType="end"/>
      </w:r>
    </w:p>
    <w:p w14:paraId="5723ED2B" w14:textId="77777777" w:rsidR="008C26FB" w:rsidRDefault="008C26FB">
      <w:pPr>
        <w:pStyle w:val="TOC2"/>
        <w:tabs>
          <w:tab w:val="left" w:pos="720"/>
          <w:tab w:val="right" w:leader="dot" w:pos="9350"/>
        </w:tabs>
        <w:rPr>
          <w:rFonts w:eastAsiaTheme="minorEastAsia" w:cstheme="minorBidi"/>
          <w:i w:val="0"/>
          <w:iCs w:val="0"/>
          <w:noProof/>
          <w:kern w:val="0"/>
          <w:sz w:val="22"/>
          <w:szCs w:val="22"/>
        </w:rPr>
      </w:pPr>
      <w:r>
        <w:rPr>
          <w:noProof/>
        </w:rPr>
        <w:t>2.2</w:t>
      </w:r>
      <w:r>
        <w:rPr>
          <w:rFonts w:eastAsiaTheme="minorEastAsia" w:cstheme="minorBidi"/>
          <w:i w:val="0"/>
          <w:iCs w:val="0"/>
          <w:noProof/>
          <w:kern w:val="0"/>
          <w:sz w:val="22"/>
          <w:szCs w:val="22"/>
        </w:rPr>
        <w:tab/>
      </w:r>
      <w:r>
        <w:rPr>
          <w:noProof/>
        </w:rPr>
        <w:t>2D BLE Methods</w:t>
      </w:r>
      <w:r>
        <w:rPr>
          <w:noProof/>
        </w:rPr>
        <w:tab/>
      </w:r>
      <w:r>
        <w:rPr>
          <w:noProof/>
        </w:rPr>
        <w:fldChar w:fldCharType="begin"/>
      </w:r>
      <w:r>
        <w:rPr>
          <w:noProof/>
        </w:rPr>
        <w:instrText xml:space="preserve"> PAGEREF _Toc112877068 \h </w:instrText>
      </w:r>
      <w:r>
        <w:rPr>
          <w:noProof/>
        </w:rPr>
      </w:r>
      <w:r>
        <w:rPr>
          <w:noProof/>
        </w:rPr>
        <w:fldChar w:fldCharType="separate"/>
      </w:r>
      <w:r w:rsidR="00C9792F">
        <w:rPr>
          <w:noProof/>
        </w:rPr>
        <w:t>6</w:t>
      </w:r>
      <w:r>
        <w:rPr>
          <w:noProof/>
        </w:rPr>
        <w:fldChar w:fldCharType="end"/>
      </w:r>
    </w:p>
    <w:p w14:paraId="184E5FD1" w14:textId="77777777" w:rsidR="008C26FB" w:rsidRDefault="008C26FB">
      <w:pPr>
        <w:pStyle w:val="TOC3"/>
        <w:tabs>
          <w:tab w:val="left" w:pos="1080"/>
          <w:tab w:val="right" w:leader="dot" w:pos="9350"/>
        </w:tabs>
        <w:rPr>
          <w:rFonts w:eastAsiaTheme="minorEastAsia" w:cstheme="minorBidi"/>
          <w:noProof/>
          <w:kern w:val="0"/>
          <w:sz w:val="22"/>
          <w:szCs w:val="22"/>
        </w:rPr>
      </w:pPr>
      <w:r>
        <w:rPr>
          <w:noProof/>
        </w:rPr>
        <w:t>2.2.1</w:t>
      </w:r>
      <w:r>
        <w:rPr>
          <w:rFonts w:eastAsiaTheme="minorEastAsia" w:cstheme="minorBidi"/>
          <w:noProof/>
          <w:kern w:val="0"/>
          <w:sz w:val="22"/>
          <w:szCs w:val="22"/>
        </w:rPr>
        <w:tab/>
      </w:r>
      <w:r>
        <w:rPr>
          <w:noProof/>
        </w:rPr>
        <w:t>2D Computational Mesh and Settings</w:t>
      </w:r>
      <w:r>
        <w:rPr>
          <w:noProof/>
        </w:rPr>
        <w:tab/>
      </w:r>
      <w:r>
        <w:rPr>
          <w:noProof/>
        </w:rPr>
        <w:fldChar w:fldCharType="begin"/>
      </w:r>
      <w:r>
        <w:rPr>
          <w:noProof/>
        </w:rPr>
        <w:instrText xml:space="preserve"> PAGEREF _Toc112877069 \h </w:instrText>
      </w:r>
      <w:r>
        <w:rPr>
          <w:noProof/>
        </w:rPr>
      </w:r>
      <w:r>
        <w:rPr>
          <w:noProof/>
        </w:rPr>
        <w:fldChar w:fldCharType="separate"/>
      </w:r>
      <w:r w:rsidR="00C9792F">
        <w:rPr>
          <w:noProof/>
        </w:rPr>
        <w:t>6</w:t>
      </w:r>
      <w:r>
        <w:rPr>
          <w:noProof/>
        </w:rPr>
        <w:fldChar w:fldCharType="end"/>
      </w:r>
    </w:p>
    <w:p w14:paraId="11BE9C8F" w14:textId="77777777" w:rsidR="008C26FB" w:rsidRDefault="008C26FB">
      <w:pPr>
        <w:pStyle w:val="TOC3"/>
        <w:tabs>
          <w:tab w:val="left" w:pos="1080"/>
          <w:tab w:val="right" w:leader="dot" w:pos="9350"/>
        </w:tabs>
        <w:rPr>
          <w:rFonts w:eastAsiaTheme="minorEastAsia" w:cstheme="minorBidi"/>
          <w:noProof/>
          <w:kern w:val="0"/>
          <w:sz w:val="22"/>
          <w:szCs w:val="22"/>
        </w:rPr>
      </w:pPr>
      <w:r>
        <w:rPr>
          <w:noProof/>
        </w:rPr>
        <w:t>2.2.2</w:t>
      </w:r>
      <w:r>
        <w:rPr>
          <w:rFonts w:eastAsiaTheme="minorEastAsia" w:cstheme="minorBidi"/>
          <w:noProof/>
          <w:kern w:val="0"/>
          <w:sz w:val="22"/>
          <w:szCs w:val="22"/>
        </w:rPr>
        <w:tab/>
      </w:r>
      <w:r>
        <w:rPr>
          <w:noProof/>
        </w:rPr>
        <w:t>Model and Boundary Condition Setup</w:t>
      </w:r>
      <w:r>
        <w:rPr>
          <w:noProof/>
        </w:rPr>
        <w:tab/>
      </w:r>
      <w:r>
        <w:rPr>
          <w:noProof/>
        </w:rPr>
        <w:fldChar w:fldCharType="begin"/>
      </w:r>
      <w:r>
        <w:rPr>
          <w:noProof/>
        </w:rPr>
        <w:instrText xml:space="preserve"> PAGEREF _Toc112877070 \h </w:instrText>
      </w:r>
      <w:r>
        <w:rPr>
          <w:noProof/>
        </w:rPr>
      </w:r>
      <w:r>
        <w:rPr>
          <w:noProof/>
        </w:rPr>
        <w:fldChar w:fldCharType="separate"/>
      </w:r>
      <w:r w:rsidR="00C9792F">
        <w:rPr>
          <w:noProof/>
        </w:rPr>
        <w:t>7</w:t>
      </w:r>
      <w:r>
        <w:rPr>
          <w:noProof/>
        </w:rPr>
        <w:fldChar w:fldCharType="end"/>
      </w:r>
    </w:p>
    <w:p w14:paraId="5888E64D" w14:textId="77777777" w:rsidR="008C26FB" w:rsidRDefault="008C26FB">
      <w:pPr>
        <w:pStyle w:val="TOC3"/>
        <w:tabs>
          <w:tab w:val="left" w:pos="1080"/>
          <w:tab w:val="right" w:leader="dot" w:pos="9350"/>
        </w:tabs>
        <w:rPr>
          <w:rFonts w:eastAsiaTheme="minorEastAsia" w:cstheme="minorBidi"/>
          <w:noProof/>
          <w:kern w:val="0"/>
          <w:sz w:val="22"/>
          <w:szCs w:val="22"/>
        </w:rPr>
      </w:pPr>
      <w:r>
        <w:rPr>
          <w:noProof/>
        </w:rPr>
        <w:t>2.2.3</w:t>
      </w:r>
      <w:r>
        <w:rPr>
          <w:rFonts w:eastAsiaTheme="minorEastAsia" w:cstheme="minorBidi"/>
          <w:noProof/>
          <w:kern w:val="0"/>
          <w:sz w:val="22"/>
          <w:szCs w:val="22"/>
        </w:rPr>
        <w:tab/>
      </w:r>
      <w:r>
        <w:rPr>
          <w:noProof/>
        </w:rPr>
        <w:t>Hydrology</w:t>
      </w:r>
      <w:r>
        <w:rPr>
          <w:noProof/>
        </w:rPr>
        <w:tab/>
      </w:r>
      <w:r>
        <w:rPr>
          <w:noProof/>
        </w:rPr>
        <w:fldChar w:fldCharType="begin"/>
      </w:r>
      <w:r>
        <w:rPr>
          <w:noProof/>
        </w:rPr>
        <w:instrText xml:space="preserve"> PAGEREF _Toc112877071 \h </w:instrText>
      </w:r>
      <w:r>
        <w:rPr>
          <w:noProof/>
        </w:rPr>
      </w:r>
      <w:r>
        <w:rPr>
          <w:noProof/>
        </w:rPr>
        <w:fldChar w:fldCharType="separate"/>
      </w:r>
      <w:r w:rsidR="00C9792F">
        <w:rPr>
          <w:noProof/>
        </w:rPr>
        <w:t>8</w:t>
      </w:r>
      <w:r>
        <w:rPr>
          <w:noProof/>
        </w:rPr>
        <w:fldChar w:fldCharType="end"/>
      </w:r>
    </w:p>
    <w:p w14:paraId="16F7F556" w14:textId="77777777" w:rsidR="008C26FB" w:rsidRDefault="008C26FB">
      <w:pPr>
        <w:pStyle w:val="TOC4"/>
        <w:tabs>
          <w:tab w:val="left" w:pos="1440"/>
          <w:tab w:val="right" w:leader="dot" w:pos="9350"/>
        </w:tabs>
        <w:rPr>
          <w:rFonts w:eastAsiaTheme="minorEastAsia" w:cstheme="minorBidi"/>
          <w:noProof/>
          <w:kern w:val="0"/>
          <w:sz w:val="22"/>
          <w:szCs w:val="22"/>
        </w:rPr>
      </w:pPr>
      <w:r>
        <w:rPr>
          <w:noProof/>
        </w:rPr>
        <w:t>2.2.3.1</w:t>
      </w:r>
      <w:r>
        <w:rPr>
          <w:rFonts w:eastAsiaTheme="minorEastAsia" w:cstheme="minorBidi"/>
          <w:noProof/>
          <w:kern w:val="0"/>
          <w:sz w:val="22"/>
          <w:szCs w:val="22"/>
        </w:rPr>
        <w:tab/>
      </w:r>
      <w:r>
        <w:rPr>
          <w:noProof/>
        </w:rPr>
        <w:t>Excess Precipitation for 2D Computational Mesh</w:t>
      </w:r>
      <w:r>
        <w:rPr>
          <w:noProof/>
        </w:rPr>
        <w:tab/>
      </w:r>
      <w:r>
        <w:rPr>
          <w:noProof/>
        </w:rPr>
        <w:fldChar w:fldCharType="begin"/>
      </w:r>
      <w:r>
        <w:rPr>
          <w:noProof/>
        </w:rPr>
        <w:instrText xml:space="preserve"> PAGEREF _Toc112877072 \h </w:instrText>
      </w:r>
      <w:r>
        <w:rPr>
          <w:noProof/>
        </w:rPr>
      </w:r>
      <w:r>
        <w:rPr>
          <w:noProof/>
        </w:rPr>
        <w:fldChar w:fldCharType="separate"/>
      </w:r>
      <w:r w:rsidR="00C9792F">
        <w:rPr>
          <w:noProof/>
        </w:rPr>
        <w:t>8</w:t>
      </w:r>
      <w:r>
        <w:rPr>
          <w:noProof/>
        </w:rPr>
        <w:fldChar w:fldCharType="end"/>
      </w:r>
    </w:p>
    <w:p w14:paraId="418BA428" w14:textId="77777777" w:rsidR="008C26FB" w:rsidRDefault="008C26FB">
      <w:pPr>
        <w:pStyle w:val="TOC4"/>
        <w:tabs>
          <w:tab w:val="left" w:pos="1440"/>
          <w:tab w:val="right" w:leader="dot" w:pos="9350"/>
        </w:tabs>
        <w:rPr>
          <w:rFonts w:eastAsiaTheme="minorEastAsia" w:cstheme="minorBidi"/>
          <w:noProof/>
          <w:kern w:val="0"/>
          <w:sz w:val="22"/>
          <w:szCs w:val="22"/>
        </w:rPr>
      </w:pPr>
      <w:r>
        <w:rPr>
          <w:noProof/>
        </w:rPr>
        <w:t>2.2.3.2</w:t>
      </w:r>
      <w:r>
        <w:rPr>
          <w:rFonts w:eastAsiaTheme="minorEastAsia" w:cstheme="minorBidi"/>
          <w:noProof/>
          <w:kern w:val="0"/>
          <w:sz w:val="22"/>
          <w:szCs w:val="22"/>
        </w:rPr>
        <w:tab/>
      </w:r>
      <w:r>
        <w:rPr>
          <w:noProof/>
        </w:rPr>
        <w:t>Inflow Hydrograph Boundary Conditions</w:t>
      </w:r>
      <w:r>
        <w:rPr>
          <w:noProof/>
        </w:rPr>
        <w:tab/>
      </w:r>
      <w:r>
        <w:rPr>
          <w:noProof/>
        </w:rPr>
        <w:fldChar w:fldCharType="begin"/>
      </w:r>
      <w:r>
        <w:rPr>
          <w:noProof/>
        </w:rPr>
        <w:instrText xml:space="preserve"> PAGEREF _Toc112877073 \h </w:instrText>
      </w:r>
      <w:r>
        <w:rPr>
          <w:noProof/>
        </w:rPr>
      </w:r>
      <w:r>
        <w:rPr>
          <w:noProof/>
        </w:rPr>
        <w:fldChar w:fldCharType="separate"/>
      </w:r>
      <w:r w:rsidR="00C9792F">
        <w:rPr>
          <w:noProof/>
        </w:rPr>
        <w:t>14</w:t>
      </w:r>
      <w:r>
        <w:rPr>
          <w:noProof/>
        </w:rPr>
        <w:fldChar w:fldCharType="end"/>
      </w:r>
    </w:p>
    <w:p w14:paraId="25256A0D" w14:textId="77777777" w:rsidR="008C26FB" w:rsidRDefault="008C26FB">
      <w:pPr>
        <w:pStyle w:val="TOC3"/>
        <w:tabs>
          <w:tab w:val="left" w:pos="1080"/>
          <w:tab w:val="right" w:leader="dot" w:pos="9350"/>
        </w:tabs>
        <w:rPr>
          <w:rFonts w:eastAsiaTheme="minorEastAsia" w:cstheme="minorBidi"/>
          <w:noProof/>
          <w:kern w:val="0"/>
          <w:sz w:val="22"/>
          <w:szCs w:val="22"/>
        </w:rPr>
      </w:pPr>
      <w:r>
        <w:rPr>
          <w:noProof/>
        </w:rPr>
        <w:t>2.2.4</w:t>
      </w:r>
      <w:r>
        <w:rPr>
          <w:rFonts w:eastAsiaTheme="minorEastAsia" w:cstheme="minorBidi"/>
          <w:noProof/>
          <w:kern w:val="0"/>
          <w:sz w:val="22"/>
          <w:szCs w:val="22"/>
        </w:rPr>
        <w:tab/>
      </w:r>
      <w:r>
        <w:rPr>
          <w:noProof/>
        </w:rPr>
        <w:t>Hydraulics</w:t>
      </w:r>
      <w:r>
        <w:rPr>
          <w:noProof/>
        </w:rPr>
        <w:tab/>
      </w:r>
      <w:r>
        <w:rPr>
          <w:noProof/>
        </w:rPr>
        <w:fldChar w:fldCharType="begin"/>
      </w:r>
      <w:r>
        <w:rPr>
          <w:noProof/>
        </w:rPr>
        <w:instrText xml:space="preserve"> PAGEREF _Toc112877074 \h </w:instrText>
      </w:r>
      <w:r>
        <w:rPr>
          <w:noProof/>
        </w:rPr>
      </w:r>
      <w:r>
        <w:rPr>
          <w:noProof/>
        </w:rPr>
        <w:fldChar w:fldCharType="separate"/>
      </w:r>
      <w:r w:rsidR="00C9792F">
        <w:rPr>
          <w:noProof/>
        </w:rPr>
        <w:t>17</w:t>
      </w:r>
      <w:r>
        <w:rPr>
          <w:noProof/>
        </w:rPr>
        <w:fldChar w:fldCharType="end"/>
      </w:r>
    </w:p>
    <w:p w14:paraId="27622E32" w14:textId="77777777" w:rsidR="008C26FB" w:rsidRDefault="008C26FB">
      <w:pPr>
        <w:pStyle w:val="TOC4"/>
        <w:tabs>
          <w:tab w:val="left" w:pos="1440"/>
          <w:tab w:val="right" w:leader="dot" w:pos="9350"/>
        </w:tabs>
        <w:rPr>
          <w:rFonts w:eastAsiaTheme="minorEastAsia" w:cstheme="minorBidi"/>
          <w:noProof/>
          <w:kern w:val="0"/>
          <w:sz w:val="22"/>
          <w:szCs w:val="22"/>
        </w:rPr>
      </w:pPr>
      <w:r>
        <w:rPr>
          <w:noProof/>
        </w:rPr>
        <w:t>2.2.4.1</w:t>
      </w:r>
      <w:r>
        <w:rPr>
          <w:rFonts w:eastAsiaTheme="minorEastAsia" w:cstheme="minorBidi"/>
          <w:noProof/>
          <w:kern w:val="0"/>
          <w:sz w:val="22"/>
          <w:szCs w:val="22"/>
        </w:rPr>
        <w:tab/>
      </w:r>
      <w:r>
        <w:rPr>
          <w:noProof/>
        </w:rPr>
        <w:t>Roughness Coefficients</w:t>
      </w:r>
      <w:r>
        <w:rPr>
          <w:noProof/>
        </w:rPr>
        <w:tab/>
      </w:r>
      <w:r>
        <w:rPr>
          <w:noProof/>
        </w:rPr>
        <w:fldChar w:fldCharType="begin"/>
      </w:r>
      <w:r>
        <w:rPr>
          <w:noProof/>
        </w:rPr>
        <w:instrText xml:space="preserve"> PAGEREF _Toc112877075 \h </w:instrText>
      </w:r>
      <w:r>
        <w:rPr>
          <w:noProof/>
        </w:rPr>
      </w:r>
      <w:r>
        <w:rPr>
          <w:noProof/>
        </w:rPr>
        <w:fldChar w:fldCharType="separate"/>
      </w:r>
      <w:r w:rsidR="00C9792F">
        <w:rPr>
          <w:noProof/>
        </w:rPr>
        <w:t>17</w:t>
      </w:r>
      <w:r>
        <w:rPr>
          <w:noProof/>
        </w:rPr>
        <w:fldChar w:fldCharType="end"/>
      </w:r>
    </w:p>
    <w:p w14:paraId="7C92F3DA" w14:textId="77777777" w:rsidR="008C26FB" w:rsidRDefault="008C26FB">
      <w:pPr>
        <w:pStyle w:val="TOC4"/>
        <w:tabs>
          <w:tab w:val="left" w:pos="1440"/>
          <w:tab w:val="right" w:leader="dot" w:pos="9350"/>
        </w:tabs>
        <w:rPr>
          <w:rFonts w:eastAsiaTheme="minorEastAsia" w:cstheme="minorBidi"/>
          <w:noProof/>
          <w:kern w:val="0"/>
          <w:sz w:val="22"/>
          <w:szCs w:val="22"/>
        </w:rPr>
      </w:pPr>
      <w:r>
        <w:rPr>
          <w:noProof/>
        </w:rPr>
        <w:t>2.2.4.2</w:t>
      </w:r>
      <w:r>
        <w:rPr>
          <w:rFonts w:eastAsiaTheme="minorEastAsia" w:cstheme="minorBidi"/>
          <w:noProof/>
          <w:kern w:val="0"/>
          <w:sz w:val="22"/>
          <w:szCs w:val="22"/>
        </w:rPr>
        <w:tab/>
      </w:r>
      <w:r>
        <w:rPr>
          <w:noProof/>
        </w:rPr>
        <w:t>Breaklines</w:t>
      </w:r>
      <w:r>
        <w:rPr>
          <w:noProof/>
        </w:rPr>
        <w:tab/>
      </w:r>
      <w:r>
        <w:rPr>
          <w:noProof/>
        </w:rPr>
        <w:fldChar w:fldCharType="begin"/>
      </w:r>
      <w:r>
        <w:rPr>
          <w:noProof/>
        </w:rPr>
        <w:instrText xml:space="preserve"> PAGEREF _Toc112877076 \h </w:instrText>
      </w:r>
      <w:r>
        <w:rPr>
          <w:noProof/>
        </w:rPr>
      </w:r>
      <w:r>
        <w:rPr>
          <w:noProof/>
        </w:rPr>
        <w:fldChar w:fldCharType="separate"/>
      </w:r>
      <w:r w:rsidR="00C9792F">
        <w:rPr>
          <w:noProof/>
        </w:rPr>
        <w:t>18</w:t>
      </w:r>
      <w:r>
        <w:rPr>
          <w:noProof/>
        </w:rPr>
        <w:fldChar w:fldCharType="end"/>
      </w:r>
    </w:p>
    <w:p w14:paraId="2CA1DB2C" w14:textId="77777777" w:rsidR="008C26FB" w:rsidRDefault="008C26FB">
      <w:pPr>
        <w:pStyle w:val="TOC4"/>
        <w:tabs>
          <w:tab w:val="left" w:pos="1440"/>
          <w:tab w:val="right" w:leader="dot" w:pos="9350"/>
        </w:tabs>
        <w:rPr>
          <w:rFonts w:eastAsiaTheme="minorEastAsia" w:cstheme="minorBidi"/>
          <w:noProof/>
          <w:kern w:val="0"/>
          <w:sz w:val="22"/>
          <w:szCs w:val="22"/>
        </w:rPr>
      </w:pPr>
      <w:r>
        <w:rPr>
          <w:noProof/>
        </w:rPr>
        <w:t>2.2.4.3</w:t>
      </w:r>
      <w:r>
        <w:rPr>
          <w:rFonts w:eastAsiaTheme="minorEastAsia" w:cstheme="minorBidi"/>
          <w:noProof/>
          <w:kern w:val="0"/>
          <w:sz w:val="22"/>
          <w:szCs w:val="22"/>
        </w:rPr>
        <w:tab/>
      </w:r>
      <w:r>
        <w:rPr>
          <w:noProof/>
        </w:rPr>
        <w:t>Refinement Regions</w:t>
      </w:r>
      <w:r>
        <w:rPr>
          <w:noProof/>
        </w:rPr>
        <w:tab/>
      </w:r>
      <w:r>
        <w:rPr>
          <w:noProof/>
        </w:rPr>
        <w:fldChar w:fldCharType="begin"/>
      </w:r>
      <w:r>
        <w:rPr>
          <w:noProof/>
        </w:rPr>
        <w:instrText xml:space="preserve"> PAGEREF _Toc112877077 \h </w:instrText>
      </w:r>
      <w:r>
        <w:rPr>
          <w:noProof/>
        </w:rPr>
      </w:r>
      <w:r>
        <w:rPr>
          <w:noProof/>
        </w:rPr>
        <w:fldChar w:fldCharType="separate"/>
      </w:r>
      <w:r w:rsidR="00C9792F">
        <w:rPr>
          <w:noProof/>
        </w:rPr>
        <w:t>19</w:t>
      </w:r>
      <w:r>
        <w:rPr>
          <w:noProof/>
        </w:rPr>
        <w:fldChar w:fldCharType="end"/>
      </w:r>
    </w:p>
    <w:p w14:paraId="5861ECE4" w14:textId="77777777" w:rsidR="008C26FB" w:rsidRDefault="008C26FB">
      <w:pPr>
        <w:pStyle w:val="TOC3"/>
        <w:tabs>
          <w:tab w:val="left" w:pos="1080"/>
          <w:tab w:val="right" w:leader="dot" w:pos="9350"/>
        </w:tabs>
        <w:rPr>
          <w:rFonts w:eastAsiaTheme="minorEastAsia" w:cstheme="minorBidi"/>
          <w:noProof/>
          <w:kern w:val="0"/>
          <w:sz w:val="22"/>
          <w:szCs w:val="22"/>
        </w:rPr>
      </w:pPr>
      <w:r>
        <w:rPr>
          <w:noProof/>
        </w:rPr>
        <w:t>2.2.5</w:t>
      </w:r>
      <w:r>
        <w:rPr>
          <w:rFonts w:eastAsiaTheme="minorEastAsia" w:cstheme="minorBidi"/>
          <w:noProof/>
          <w:kern w:val="0"/>
          <w:sz w:val="22"/>
          <w:szCs w:val="22"/>
        </w:rPr>
        <w:tab/>
      </w:r>
      <w:r>
        <w:rPr>
          <w:noProof/>
        </w:rPr>
        <w:t>Quality Control</w:t>
      </w:r>
      <w:r>
        <w:rPr>
          <w:noProof/>
        </w:rPr>
        <w:tab/>
      </w:r>
      <w:r>
        <w:rPr>
          <w:noProof/>
        </w:rPr>
        <w:fldChar w:fldCharType="begin"/>
      </w:r>
      <w:r>
        <w:rPr>
          <w:noProof/>
        </w:rPr>
        <w:instrText xml:space="preserve"> PAGEREF _Toc112877078 \h </w:instrText>
      </w:r>
      <w:r>
        <w:rPr>
          <w:noProof/>
        </w:rPr>
      </w:r>
      <w:r>
        <w:rPr>
          <w:noProof/>
        </w:rPr>
        <w:fldChar w:fldCharType="separate"/>
      </w:r>
      <w:r w:rsidR="00C9792F">
        <w:rPr>
          <w:noProof/>
        </w:rPr>
        <w:t>20</w:t>
      </w:r>
      <w:r>
        <w:rPr>
          <w:noProof/>
        </w:rPr>
        <w:fldChar w:fldCharType="end"/>
      </w:r>
    </w:p>
    <w:p w14:paraId="3FC9D2BA" w14:textId="77777777" w:rsidR="008C26FB" w:rsidRDefault="008C26FB">
      <w:pPr>
        <w:pStyle w:val="TOC1"/>
        <w:tabs>
          <w:tab w:val="left" w:pos="540"/>
          <w:tab w:val="right" w:leader="dot" w:pos="9350"/>
        </w:tabs>
        <w:rPr>
          <w:rFonts w:eastAsiaTheme="minorEastAsia" w:cstheme="minorBidi"/>
          <w:b w:val="0"/>
          <w:bCs w:val="0"/>
          <w:noProof/>
          <w:kern w:val="0"/>
          <w:sz w:val="22"/>
          <w:szCs w:val="22"/>
        </w:rPr>
      </w:pPr>
      <w:r>
        <w:rPr>
          <w:noProof/>
        </w:rPr>
        <w:t>3.</w:t>
      </w:r>
      <w:r>
        <w:rPr>
          <w:rFonts w:eastAsiaTheme="minorEastAsia" w:cstheme="minorBidi"/>
          <w:b w:val="0"/>
          <w:bCs w:val="0"/>
          <w:noProof/>
          <w:kern w:val="0"/>
          <w:sz w:val="22"/>
          <w:szCs w:val="22"/>
        </w:rPr>
        <w:tab/>
      </w:r>
      <w:r>
        <w:rPr>
          <w:noProof/>
        </w:rPr>
        <w:t>Results</w:t>
      </w:r>
      <w:r>
        <w:rPr>
          <w:noProof/>
        </w:rPr>
        <w:tab/>
      </w:r>
      <w:r>
        <w:rPr>
          <w:noProof/>
        </w:rPr>
        <w:fldChar w:fldCharType="begin"/>
      </w:r>
      <w:r>
        <w:rPr>
          <w:noProof/>
        </w:rPr>
        <w:instrText xml:space="preserve"> PAGEREF _Toc112877079 \h </w:instrText>
      </w:r>
      <w:r>
        <w:rPr>
          <w:noProof/>
        </w:rPr>
      </w:r>
      <w:r>
        <w:rPr>
          <w:noProof/>
        </w:rPr>
        <w:fldChar w:fldCharType="separate"/>
      </w:r>
      <w:r w:rsidR="00C9792F">
        <w:rPr>
          <w:noProof/>
        </w:rPr>
        <w:t>20</w:t>
      </w:r>
      <w:r>
        <w:rPr>
          <w:noProof/>
        </w:rPr>
        <w:fldChar w:fldCharType="end"/>
      </w:r>
    </w:p>
    <w:p w14:paraId="3CA5F2A0" w14:textId="77777777" w:rsidR="008C26FB" w:rsidRDefault="008C26FB">
      <w:pPr>
        <w:pStyle w:val="TOC2"/>
        <w:tabs>
          <w:tab w:val="left" w:pos="720"/>
          <w:tab w:val="right" w:leader="dot" w:pos="9350"/>
        </w:tabs>
        <w:rPr>
          <w:rFonts w:eastAsiaTheme="minorEastAsia" w:cstheme="minorBidi"/>
          <w:i w:val="0"/>
          <w:iCs w:val="0"/>
          <w:noProof/>
          <w:kern w:val="0"/>
          <w:sz w:val="22"/>
          <w:szCs w:val="22"/>
        </w:rPr>
      </w:pPr>
      <w:r>
        <w:rPr>
          <w:noProof/>
        </w:rPr>
        <w:t>3.1</w:t>
      </w:r>
      <w:r>
        <w:rPr>
          <w:rFonts w:eastAsiaTheme="minorEastAsia" w:cstheme="minorBidi"/>
          <w:i w:val="0"/>
          <w:iCs w:val="0"/>
          <w:noProof/>
          <w:kern w:val="0"/>
          <w:sz w:val="22"/>
          <w:szCs w:val="22"/>
        </w:rPr>
        <w:tab/>
      </w:r>
      <w:r>
        <w:rPr>
          <w:noProof/>
        </w:rPr>
        <w:t>Calibration</w:t>
      </w:r>
      <w:r>
        <w:rPr>
          <w:noProof/>
        </w:rPr>
        <w:tab/>
      </w:r>
      <w:r>
        <w:rPr>
          <w:noProof/>
        </w:rPr>
        <w:fldChar w:fldCharType="begin"/>
      </w:r>
      <w:r>
        <w:rPr>
          <w:noProof/>
        </w:rPr>
        <w:instrText xml:space="preserve"> PAGEREF _Toc112877080 \h </w:instrText>
      </w:r>
      <w:r>
        <w:rPr>
          <w:noProof/>
        </w:rPr>
      </w:r>
      <w:r>
        <w:rPr>
          <w:noProof/>
        </w:rPr>
        <w:fldChar w:fldCharType="separate"/>
      </w:r>
      <w:r w:rsidR="00C9792F">
        <w:rPr>
          <w:noProof/>
        </w:rPr>
        <w:t>20</w:t>
      </w:r>
      <w:r>
        <w:rPr>
          <w:noProof/>
        </w:rPr>
        <w:fldChar w:fldCharType="end"/>
      </w:r>
    </w:p>
    <w:p w14:paraId="4559C1C9" w14:textId="77777777" w:rsidR="008C26FB" w:rsidRDefault="008C26FB">
      <w:pPr>
        <w:pStyle w:val="TOC2"/>
        <w:tabs>
          <w:tab w:val="left" w:pos="720"/>
          <w:tab w:val="right" w:leader="dot" w:pos="9350"/>
        </w:tabs>
        <w:rPr>
          <w:rFonts w:eastAsiaTheme="minorEastAsia" w:cstheme="minorBidi"/>
          <w:i w:val="0"/>
          <w:iCs w:val="0"/>
          <w:noProof/>
          <w:kern w:val="0"/>
          <w:sz w:val="22"/>
          <w:szCs w:val="22"/>
        </w:rPr>
      </w:pPr>
      <w:r>
        <w:rPr>
          <w:noProof/>
        </w:rPr>
        <w:t>3.2</w:t>
      </w:r>
      <w:r>
        <w:rPr>
          <w:rFonts w:eastAsiaTheme="minorEastAsia" w:cstheme="minorBidi"/>
          <w:i w:val="0"/>
          <w:iCs w:val="0"/>
          <w:noProof/>
          <w:kern w:val="0"/>
          <w:sz w:val="22"/>
          <w:szCs w:val="22"/>
        </w:rPr>
        <w:tab/>
      </w:r>
      <w:r>
        <w:rPr>
          <w:noProof/>
        </w:rPr>
        <w:t>Challenges</w:t>
      </w:r>
      <w:r>
        <w:rPr>
          <w:noProof/>
        </w:rPr>
        <w:tab/>
      </w:r>
      <w:r>
        <w:rPr>
          <w:noProof/>
        </w:rPr>
        <w:fldChar w:fldCharType="begin"/>
      </w:r>
      <w:r>
        <w:rPr>
          <w:noProof/>
        </w:rPr>
        <w:instrText xml:space="preserve"> PAGEREF _Toc112877081 \h </w:instrText>
      </w:r>
      <w:r>
        <w:rPr>
          <w:noProof/>
        </w:rPr>
      </w:r>
      <w:r>
        <w:rPr>
          <w:noProof/>
        </w:rPr>
        <w:fldChar w:fldCharType="separate"/>
      </w:r>
      <w:r w:rsidR="00C9792F">
        <w:rPr>
          <w:noProof/>
        </w:rPr>
        <w:t>23</w:t>
      </w:r>
      <w:r>
        <w:rPr>
          <w:noProof/>
        </w:rPr>
        <w:fldChar w:fldCharType="end"/>
      </w:r>
    </w:p>
    <w:p w14:paraId="1F6C17CF" w14:textId="77777777" w:rsidR="008C26FB" w:rsidRDefault="008C26FB">
      <w:pPr>
        <w:pStyle w:val="TOC2"/>
        <w:tabs>
          <w:tab w:val="left" w:pos="720"/>
          <w:tab w:val="right" w:leader="dot" w:pos="9350"/>
        </w:tabs>
        <w:rPr>
          <w:rFonts w:eastAsiaTheme="minorEastAsia" w:cstheme="minorBidi"/>
          <w:i w:val="0"/>
          <w:iCs w:val="0"/>
          <w:noProof/>
          <w:kern w:val="0"/>
          <w:sz w:val="22"/>
          <w:szCs w:val="22"/>
        </w:rPr>
      </w:pPr>
      <w:r>
        <w:rPr>
          <w:noProof/>
        </w:rPr>
        <w:t>3.3</w:t>
      </w:r>
      <w:r>
        <w:rPr>
          <w:rFonts w:eastAsiaTheme="minorEastAsia" w:cstheme="minorBidi"/>
          <w:i w:val="0"/>
          <w:iCs w:val="0"/>
          <w:noProof/>
          <w:kern w:val="0"/>
          <w:sz w:val="22"/>
          <w:szCs w:val="22"/>
        </w:rPr>
        <w:tab/>
      </w:r>
      <w:r>
        <w:rPr>
          <w:noProof/>
        </w:rPr>
        <w:t>Recommendations</w:t>
      </w:r>
      <w:r>
        <w:rPr>
          <w:noProof/>
        </w:rPr>
        <w:tab/>
      </w:r>
      <w:r>
        <w:rPr>
          <w:noProof/>
        </w:rPr>
        <w:fldChar w:fldCharType="begin"/>
      </w:r>
      <w:r>
        <w:rPr>
          <w:noProof/>
        </w:rPr>
        <w:instrText xml:space="preserve"> PAGEREF _Toc112877082 \h </w:instrText>
      </w:r>
      <w:r>
        <w:rPr>
          <w:noProof/>
        </w:rPr>
      </w:r>
      <w:r>
        <w:rPr>
          <w:noProof/>
        </w:rPr>
        <w:fldChar w:fldCharType="separate"/>
      </w:r>
      <w:r w:rsidR="00C9792F">
        <w:rPr>
          <w:noProof/>
        </w:rPr>
        <w:t>24</w:t>
      </w:r>
      <w:r>
        <w:rPr>
          <w:noProof/>
        </w:rPr>
        <w:fldChar w:fldCharType="end"/>
      </w:r>
    </w:p>
    <w:p w14:paraId="10DA273C" w14:textId="77777777" w:rsidR="008C26FB" w:rsidRDefault="008C26FB">
      <w:pPr>
        <w:pStyle w:val="TOC1"/>
        <w:tabs>
          <w:tab w:val="left" w:pos="540"/>
          <w:tab w:val="right" w:leader="dot" w:pos="9350"/>
        </w:tabs>
        <w:rPr>
          <w:rFonts w:eastAsiaTheme="minorEastAsia" w:cstheme="minorBidi"/>
          <w:b w:val="0"/>
          <w:bCs w:val="0"/>
          <w:noProof/>
          <w:kern w:val="0"/>
          <w:sz w:val="22"/>
          <w:szCs w:val="22"/>
        </w:rPr>
      </w:pPr>
      <w:r>
        <w:rPr>
          <w:noProof/>
        </w:rPr>
        <w:t>4.</w:t>
      </w:r>
      <w:r>
        <w:rPr>
          <w:rFonts w:eastAsiaTheme="minorEastAsia" w:cstheme="minorBidi"/>
          <w:b w:val="0"/>
          <w:bCs w:val="0"/>
          <w:noProof/>
          <w:kern w:val="0"/>
          <w:sz w:val="22"/>
          <w:szCs w:val="22"/>
        </w:rPr>
        <w:tab/>
      </w:r>
      <w:r>
        <w:rPr>
          <w:noProof/>
        </w:rPr>
        <w:t>Floodplain Mapping and Effective Zone A Validation</w:t>
      </w:r>
      <w:r>
        <w:rPr>
          <w:noProof/>
        </w:rPr>
        <w:tab/>
      </w:r>
      <w:r>
        <w:rPr>
          <w:noProof/>
        </w:rPr>
        <w:fldChar w:fldCharType="begin"/>
      </w:r>
      <w:r>
        <w:rPr>
          <w:noProof/>
        </w:rPr>
        <w:instrText xml:space="preserve"> PAGEREF _Toc112877083 \h </w:instrText>
      </w:r>
      <w:r>
        <w:rPr>
          <w:noProof/>
        </w:rPr>
      </w:r>
      <w:r>
        <w:rPr>
          <w:noProof/>
        </w:rPr>
        <w:fldChar w:fldCharType="separate"/>
      </w:r>
      <w:r w:rsidR="00C9792F">
        <w:rPr>
          <w:noProof/>
        </w:rPr>
        <w:t>24</w:t>
      </w:r>
      <w:r>
        <w:rPr>
          <w:noProof/>
        </w:rPr>
        <w:fldChar w:fldCharType="end"/>
      </w:r>
    </w:p>
    <w:p w14:paraId="1C1FE3C5" w14:textId="77777777" w:rsidR="008C26FB" w:rsidRDefault="008C26FB">
      <w:pPr>
        <w:pStyle w:val="TOC2"/>
        <w:tabs>
          <w:tab w:val="left" w:pos="720"/>
          <w:tab w:val="right" w:leader="dot" w:pos="9350"/>
        </w:tabs>
        <w:rPr>
          <w:rFonts w:eastAsiaTheme="minorEastAsia" w:cstheme="minorBidi"/>
          <w:i w:val="0"/>
          <w:iCs w:val="0"/>
          <w:noProof/>
          <w:kern w:val="0"/>
          <w:sz w:val="22"/>
          <w:szCs w:val="22"/>
        </w:rPr>
      </w:pPr>
      <w:r>
        <w:rPr>
          <w:noProof/>
        </w:rPr>
        <w:t>4.1</w:t>
      </w:r>
      <w:r>
        <w:rPr>
          <w:rFonts w:eastAsiaTheme="minorEastAsia" w:cstheme="minorBidi"/>
          <w:i w:val="0"/>
          <w:iCs w:val="0"/>
          <w:noProof/>
          <w:kern w:val="0"/>
          <w:sz w:val="22"/>
          <w:szCs w:val="22"/>
        </w:rPr>
        <w:tab/>
      </w:r>
      <w:r>
        <w:rPr>
          <w:noProof/>
        </w:rPr>
        <w:t>Special Flood Hazard Area</w:t>
      </w:r>
      <w:r>
        <w:rPr>
          <w:noProof/>
        </w:rPr>
        <w:tab/>
      </w:r>
      <w:r>
        <w:rPr>
          <w:noProof/>
        </w:rPr>
        <w:fldChar w:fldCharType="begin"/>
      </w:r>
      <w:r>
        <w:rPr>
          <w:noProof/>
        </w:rPr>
        <w:instrText xml:space="preserve"> PAGEREF _Toc112877084 \h </w:instrText>
      </w:r>
      <w:r>
        <w:rPr>
          <w:noProof/>
        </w:rPr>
      </w:r>
      <w:r>
        <w:rPr>
          <w:noProof/>
        </w:rPr>
        <w:fldChar w:fldCharType="separate"/>
      </w:r>
      <w:r w:rsidR="00C9792F">
        <w:rPr>
          <w:noProof/>
        </w:rPr>
        <w:t>24</w:t>
      </w:r>
      <w:r>
        <w:rPr>
          <w:noProof/>
        </w:rPr>
        <w:fldChar w:fldCharType="end"/>
      </w:r>
    </w:p>
    <w:p w14:paraId="0E71AE2C" w14:textId="77777777" w:rsidR="008C26FB" w:rsidRDefault="008C26FB">
      <w:pPr>
        <w:pStyle w:val="TOC3"/>
        <w:tabs>
          <w:tab w:val="left" w:pos="1080"/>
          <w:tab w:val="right" w:leader="dot" w:pos="9350"/>
        </w:tabs>
        <w:rPr>
          <w:rFonts w:eastAsiaTheme="minorEastAsia" w:cstheme="minorBidi"/>
          <w:noProof/>
          <w:kern w:val="0"/>
          <w:sz w:val="22"/>
          <w:szCs w:val="22"/>
        </w:rPr>
      </w:pPr>
      <w:r>
        <w:rPr>
          <w:noProof/>
        </w:rPr>
        <w:t>4.1.1</w:t>
      </w:r>
      <w:r>
        <w:rPr>
          <w:rFonts w:eastAsiaTheme="minorEastAsia" w:cstheme="minorBidi"/>
          <w:noProof/>
          <w:kern w:val="0"/>
          <w:sz w:val="22"/>
          <w:szCs w:val="22"/>
        </w:rPr>
        <w:tab/>
      </w:r>
      <w:r>
        <w:rPr>
          <w:noProof/>
        </w:rPr>
        <w:t>Model Outputs</w:t>
      </w:r>
      <w:r>
        <w:rPr>
          <w:noProof/>
        </w:rPr>
        <w:tab/>
      </w:r>
      <w:r>
        <w:rPr>
          <w:noProof/>
        </w:rPr>
        <w:fldChar w:fldCharType="begin"/>
      </w:r>
      <w:r>
        <w:rPr>
          <w:noProof/>
        </w:rPr>
        <w:instrText xml:space="preserve"> PAGEREF _Toc112877085 \h </w:instrText>
      </w:r>
      <w:r>
        <w:rPr>
          <w:noProof/>
        </w:rPr>
      </w:r>
      <w:r>
        <w:rPr>
          <w:noProof/>
        </w:rPr>
        <w:fldChar w:fldCharType="separate"/>
      </w:r>
      <w:r w:rsidR="00C9792F">
        <w:rPr>
          <w:noProof/>
        </w:rPr>
        <w:t>24</w:t>
      </w:r>
      <w:r>
        <w:rPr>
          <w:noProof/>
        </w:rPr>
        <w:fldChar w:fldCharType="end"/>
      </w:r>
    </w:p>
    <w:p w14:paraId="3A338AE7" w14:textId="77777777" w:rsidR="008C26FB" w:rsidRDefault="008C26FB">
      <w:pPr>
        <w:pStyle w:val="TOC3"/>
        <w:tabs>
          <w:tab w:val="left" w:pos="1080"/>
          <w:tab w:val="right" w:leader="dot" w:pos="9350"/>
        </w:tabs>
        <w:rPr>
          <w:rFonts w:eastAsiaTheme="minorEastAsia" w:cstheme="minorBidi"/>
          <w:noProof/>
          <w:kern w:val="0"/>
          <w:sz w:val="22"/>
          <w:szCs w:val="22"/>
        </w:rPr>
      </w:pPr>
      <w:r>
        <w:rPr>
          <w:noProof/>
        </w:rPr>
        <w:t>4.1.2</w:t>
      </w:r>
      <w:r>
        <w:rPr>
          <w:rFonts w:eastAsiaTheme="minorEastAsia" w:cstheme="minorBidi"/>
          <w:noProof/>
          <w:kern w:val="0"/>
          <w:sz w:val="22"/>
          <w:szCs w:val="22"/>
        </w:rPr>
        <w:tab/>
      </w:r>
      <w:r>
        <w:rPr>
          <w:noProof/>
        </w:rPr>
        <w:t>Methodology</w:t>
      </w:r>
      <w:r>
        <w:rPr>
          <w:noProof/>
        </w:rPr>
        <w:tab/>
      </w:r>
      <w:r>
        <w:rPr>
          <w:noProof/>
        </w:rPr>
        <w:fldChar w:fldCharType="begin"/>
      </w:r>
      <w:r>
        <w:rPr>
          <w:noProof/>
        </w:rPr>
        <w:instrText xml:space="preserve"> PAGEREF _Toc112877086 \h </w:instrText>
      </w:r>
      <w:r>
        <w:rPr>
          <w:noProof/>
        </w:rPr>
      </w:r>
      <w:r>
        <w:rPr>
          <w:noProof/>
        </w:rPr>
        <w:fldChar w:fldCharType="separate"/>
      </w:r>
      <w:r w:rsidR="00C9792F">
        <w:rPr>
          <w:noProof/>
        </w:rPr>
        <w:t>24</w:t>
      </w:r>
      <w:r>
        <w:rPr>
          <w:noProof/>
        </w:rPr>
        <w:fldChar w:fldCharType="end"/>
      </w:r>
    </w:p>
    <w:p w14:paraId="66648D3E" w14:textId="77777777" w:rsidR="008C26FB" w:rsidRDefault="008C26FB">
      <w:pPr>
        <w:pStyle w:val="TOC3"/>
        <w:tabs>
          <w:tab w:val="left" w:pos="1080"/>
          <w:tab w:val="right" w:leader="dot" w:pos="9350"/>
        </w:tabs>
        <w:rPr>
          <w:rFonts w:eastAsiaTheme="minorEastAsia" w:cstheme="minorBidi"/>
          <w:noProof/>
          <w:kern w:val="0"/>
          <w:sz w:val="22"/>
          <w:szCs w:val="22"/>
        </w:rPr>
      </w:pPr>
      <w:r>
        <w:rPr>
          <w:noProof/>
        </w:rPr>
        <w:t>4.1.3</w:t>
      </w:r>
      <w:r>
        <w:rPr>
          <w:rFonts w:eastAsiaTheme="minorEastAsia" w:cstheme="minorBidi"/>
          <w:noProof/>
          <w:kern w:val="0"/>
          <w:sz w:val="22"/>
          <w:szCs w:val="22"/>
        </w:rPr>
        <w:tab/>
      </w:r>
      <w:r>
        <w:rPr>
          <w:noProof/>
        </w:rPr>
        <w:t>BLE Flood Hazard Layer</w:t>
      </w:r>
      <w:r>
        <w:rPr>
          <w:noProof/>
        </w:rPr>
        <w:tab/>
      </w:r>
      <w:r>
        <w:rPr>
          <w:noProof/>
        </w:rPr>
        <w:fldChar w:fldCharType="begin"/>
      </w:r>
      <w:r>
        <w:rPr>
          <w:noProof/>
        </w:rPr>
        <w:instrText xml:space="preserve"> PAGEREF _Toc112877087 \h </w:instrText>
      </w:r>
      <w:r>
        <w:rPr>
          <w:noProof/>
        </w:rPr>
      </w:r>
      <w:r>
        <w:rPr>
          <w:noProof/>
        </w:rPr>
        <w:fldChar w:fldCharType="separate"/>
      </w:r>
      <w:r w:rsidR="00C9792F">
        <w:rPr>
          <w:noProof/>
        </w:rPr>
        <w:t>25</w:t>
      </w:r>
      <w:r>
        <w:rPr>
          <w:noProof/>
        </w:rPr>
        <w:fldChar w:fldCharType="end"/>
      </w:r>
    </w:p>
    <w:p w14:paraId="3A8B6EBF" w14:textId="77777777" w:rsidR="008C26FB" w:rsidRDefault="008C26FB">
      <w:pPr>
        <w:pStyle w:val="TOC3"/>
        <w:tabs>
          <w:tab w:val="left" w:pos="1080"/>
          <w:tab w:val="right" w:leader="dot" w:pos="9350"/>
        </w:tabs>
        <w:rPr>
          <w:rFonts w:eastAsiaTheme="minorEastAsia" w:cstheme="minorBidi"/>
          <w:noProof/>
          <w:kern w:val="0"/>
          <w:sz w:val="22"/>
          <w:szCs w:val="22"/>
        </w:rPr>
      </w:pPr>
      <w:r>
        <w:rPr>
          <w:noProof/>
        </w:rPr>
        <w:t>4.1.4</w:t>
      </w:r>
      <w:r>
        <w:rPr>
          <w:rFonts w:eastAsiaTheme="minorEastAsia" w:cstheme="minorBidi"/>
          <w:noProof/>
          <w:kern w:val="0"/>
          <w:sz w:val="22"/>
          <w:szCs w:val="22"/>
        </w:rPr>
        <w:tab/>
      </w:r>
      <w:r>
        <w:rPr>
          <w:noProof/>
        </w:rPr>
        <w:t>Additional 1-Percent Features</w:t>
      </w:r>
      <w:r>
        <w:rPr>
          <w:noProof/>
        </w:rPr>
        <w:tab/>
      </w:r>
      <w:r>
        <w:rPr>
          <w:noProof/>
        </w:rPr>
        <w:fldChar w:fldCharType="begin"/>
      </w:r>
      <w:r>
        <w:rPr>
          <w:noProof/>
        </w:rPr>
        <w:instrText xml:space="preserve"> PAGEREF _Toc112877088 \h </w:instrText>
      </w:r>
      <w:r>
        <w:rPr>
          <w:noProof/>
        </w:rPr>
      </w:r>
      <w:r>
        <w:rPr>
          <w:noProof/>
        </w:rPr>
        <w:fldChar w:fldCharType="separate"/>
      </w:r>
      <w:r w:rsidR="00C9792F">
        <w:rPr>
          <w:noProof/>
        </w:rPr>
        <w:t>25</w:t>
      </w:r>
      <w:r>
        <w:rPr>
          <w:noProof/>
        </w:rPr>
        <w:fldChar w:fldCharType="end"/>
      </w:r>
    </w:p>
    <w:p w14:paraId="12246C75" w14:textId="77777777" w:rsidR="008C26FB" w:rsidRDefault="008C26FB">
      <w:pPr>
        <w:pStyle w:val="TOC2"/>
        <w:tabs>
          <w:tab w:val="left" w:pos="720"/>
          <w:tab w:val="right" w:leader="dot" w:pos="9350"/>
        </w:tabs>
        <w:rPr>
          <w:rFonts w:eastAsiaTheme="minorEastAsia" w:cstheme="minorBidi"/>
          <w:i w:val="0"/>
          <w:iCs w:val="0"/>
          <w:noProof/>
          <w:kern w:val="0"/>
          <w:sz w:val="22"/>
          <w:szCs w:val="22"/>
        </w:rPr>
      </w:pPr>
      <w:r>
        <w:rPr>
          <w:noProof/>
        </w:rPr>
        <w:t>4.2</w:t>
      </w:r>
      <w:r>
        <w:rPr>
          <w:rFonts w:eastAsiaTheme="minorEastAsia" w:cstheme="minorBidi"/>
          <w:i w:val="0"/>
          <w:iCs w:val="0"/>
          <w:noProof/>
          <w:kern w:val="0"/>
          <w:sz w:val="22"/>
          <w:szCs w:val="22"/>
        </w:rPr>
        <w:tab/>
      </w:r>
      <w:r>
        <w:rPr>
          <w:noProof/>
        </w:rPr>
        <w:t>Validation of Effective Zone A SFHA</w:t>
      </w:r>
      <w:r>
        <w:rPr>
          <w:noProof/>
        </w:rPr>
        <w:tab/>
      </w:r>
      <w:r>
        <w:rPr>
          <w:noProof/>
        </w:rPr>
        <w:fldChar w:fldCharType="begin"/>
      </w:r>
      <w:r>
        <w:rPr>
          <w:noProof/>
        </w:rPr>
        <w:instrText xml:space="preserve"> PAGEREF _Toc112877089 \h </w:instrText>
      </w:r>
      <w:r>
        <w:rPr>
          <w:noProof/>
        </w:rPr>
      </w:r>
      <w:r>
        <w:rPr>
          <w:noProof/>
        </w:rPr>
        <w:fldChar w:fldCharType="separate"/>
      </w:r>
      <w:r w:rsidR="00C9792F">
        <w:rPr>
          <w:noProof/>
        </w:rPr>
        <w:t>25</w:t>
      </w:r>
      <w:r>
        <w:rPr>
          <w:noProof/>
        </w:rPr>
        <w:fldChar w:fldCharType="end"/>
      </w:r>
    </w:p>
    <w:p w14:paraId="1A617A88" w14:textId="77777777" w:rsidR="008C26FB" w:rsidRDefault="008C26FB">
      <w:pPr>
        <w:pStyle w:val="TOC3"/>
        <w:tabs>
          <w:tab w:val="left" w:pos="1080"/>
          <w:tab w:val="right" w:leader="dot" w:pos="9350"/>
        </w:tabs>
        <w:rPr>
          <w:rFonts w:eastAsiaTheme="minorEastAsia" w:cstheme="minorBidi"/>
          <w:noProof/>
          <w:kern w:val="0"/>
          <w:sz w:val="22"/>
          <w:szCs w:val="22"/>
        </w:rPr>
      </w:pPr>
      <w:r>
        <w:rPr>
          <w:noProof/>
        </w:rPr>
        <w:t>4.2.1</w:t>
      </w:r>
      <w:r>
        <w:rPr>
          <w:rFonts w:eastAsiaTheme="minorEastAsia" w:cstheme="minorBidi"/>
          <w:noProof/>
          <w:kern w:val="0"/>
          <w:sz w:val="22"/>
          <w:szCs w:val="22"/>
        </w:rPr>
        <w:tab/>
      </w:r>
      <w:r>
        <w:rPr>
          <w:noProof/>
        </w:rPr>
        <w:t>Intial Assessment A1 – Significant Topography Update Check</w:t>
      </w:r>
      <w:r>
        <w:rPr>
          <w:noProof/>
        </w:rPr>
        <w:tab/>
      </w:r>
      <w:r>
        <w:rPr>
          <w:noProof/>
        </w:rPr>
        <w:fldChar w:fldCharType="begin"/>
      </w:r>
      <w:r>
        <w:rPr>
          <w:noProof/>
        </w:rPr>
        <w:instrText xml:space="preserve"> PAGEREF _Toc112877090 \h </w:instrText>
      </w:r>
      <w:r>
        <w:rPr>
          <w:noProof/>
        </w:rPr>
      </w:r>
      <w:r>
        <w:rPr>
          <w:noProof/>
        </w:rPr>
        <w:fldChar w:fldCharType="separate"/>
      </w:r>
      <w:r w:rsidR="00C9792F">
        <w:rPr>
          <w:noProof/>
        </w:rPr>
        <w:t>25</w:t>
      </w:r>
      <w:r>
        <w:rPr>
          <w:noProof/>
        </w:rPr>
        <w:fldChar w:fldCharType="end"/>
      </w:r>
    </w:p>
    <w:p w14:paraId="28A66576" w14:textId="77777777" w:rsidR="008C26FB" w:rsidRDefault="008C26FB">
      <w:pPr>
        <w:pStyle w:val="TOC3"/>
        <w:tabs>
          <w:tab w:val="left" w:pos="1080"/>
          <w:tab w:val="right" w:leader="dot" w:pos="9350"/>
        </w:tabs>
        <w:rPr>
          <w:rFonts w:eastAsiaTheme="minorEastAsia" w:cstheme="minorBidi"/>
          <w:noProof/>
          <w:kern w:val="0"/>
          <w:sz w:val="22"/>
          <w:szCs w:val="22"/>
        </w:rPr>
      </w:pPr>
      <w:r>
        <w:rPr>
          <w:noProof/>
        </w:rPr>
        <w:t>4.2.2</w:t>
      </w:r>
      <w:r>
        <w:rPr>
          <w:rFonts w:eastAsiaTheme="minorEastAsia" w:cstheme="minorBidi"/>
          <w:noProof/>
          <w:kern w:val="0"/>
          <w:sz w:val="22"/>
          <w:szCs w:val="22"/>
        </w:rPr>
        <w:tab/>
      </w:r>
      <w:r>
        <w:rPr>
          <w:noProof/>
        </w:rPr>
        <w:t>Initial Assessment A2 – Check for Significant Hydrology Changes</w:t>
      </w:r>
      <w:r>
        <w:rPr>
          <w:noProof/>
        </w:rPr>
        <w:tab/>
      </w:r>
      <w:r>
        <w:rPr>
          <w:noProof/>
        </w:rPr>
        <w:fldChar w:fldCharType="begin"/>
      </w:r>
      <w:r>
        <w:rPr>
          <w:noProof/>
        </w:rPr>
        <w:instrText xml:space="preserve"> PAGEREF _Toc112877091 \h </w:instrText>
      </w:r>
      <w:r>
        <w:rPr>
          <w:noProof/>
        </w:rPr>
      </w:r>
      <w:r>
        <w:rPr>
          <w:noProof/>
        </w:rPr>
        <w:fldChar w:fldCharType="separate"/>
      </w:r>
      <w:r w:rsidR="00C9792F">
        <w:rPr>
          <w:noProof/>
        </w:rPr>
        <w:t>25</w:t>
      </w:r>
      <w:r>
        <w:rPr>
          <w:noProof/>
        </w:rPr>
        <w:fldChar w:fldCharType="end"/>
      </w:r>
    </w:p>
    <w:p w14:paraId="128F203C" w14:textId="77777777" w:rsidR="008C26FB" w:rsidRDefault="008C26FB">
      <w:pPr>
        <w:pStyle w:val="TOC3"/>
        <w:tabs>
          <w:tab w:val="left" w:pos="1080"/>
          <w:tab w:val="right" w:leader="dot" w:pos="9350"/>
        </w:tabs>
        <w:rPr>
          <w:rFonts w:eastAsiaTheme="minorEastAsia" w:cstheme="minorBidi"/>
          <w:noProof/>
          <w:kern w:val="0"/>
          <w:sz w:val="22"/>
          <w:szCs w:val="22"/>
        </w:rPr>
      </w:pPr>
      <w:r>
        <w:rPr>
          <w:noProof/>
        </w:rPr>
        <w:t>4.2.3</w:t>
      </w:r>
      <w:r>
        <w:rPr>
          <w:rFonts w:eastAsiaTheme="minorEastAsia" w:cstheme="minorBidi"/>
          <w:noProof/>
          <w:kern w:val="0"/>
          <w:sz w:val="22"/>
          <w:szCs w:val="22"/>
        </w:rPr>
        <w:tab/>
      </w:r>
      <w:r>
        <w:rPr>
          <w:noProof/>
        </w:rPr>
        <w:t>Initial Assessment A3 – Check for Significant Development</w:t>
      </w:r>
      <w:r>
        <w:rPr>
          <w:noProof/>
        </w:rPr>
        <w:tab/>
      </w:r>
      <w:r>
        <w:rPr>
          <w:noProof/>
        </w:rPr>
        <w:fldChar w:fldCharType="begin"/>
      </w:r>
      <w:r>
        <w:rPr>
          <w:noProof/>
        </w:rPr>
        <w:instrText xml:space="preserve"> PAGEREF _Toc112877092 \h </w:instrText>
      </w:r>
      <w:r>
        <w:rPr>
          <w:noProof/>
        </w:rPr>
      </w:r>
      <w:r>
        <w:rPr>
          <w:noProof/>
        </w:rPr>
        <w:fldChar w:fldCharType="separate"/>
      </w:r>
      <w:r w:rsidR="00C9792F">
        <w:rPr>
          <w:noProof/>
        </w:rPr>
        <w:t>25</w:t>
      </w:r>
      <w:r>
        <w:rPr>
          <w:noProof/>
        </w:rPr>
        <w:fldChar w:fldCharType="end"/>
      </w:r>
    </w:p>
    <w:p w14:paraId="17D45266" w14:textId="77777777" w:rsidR="008C26FB" w:rsidRDefault="008C26FB">
      <w:pPr>
        <w:pStyle w:val="TOC3"/>
        <w:tabs>
          <w:tab w:val="left" w:pos="1080"/>
          <w:tab w:val="right" w:leader="dot" w:pos="9350"/>
        </w:tabs>
        <w:rPr>
          <w:rFonts w:eastAsiaTheme="minorEastAsia" w:cstheme="minorBidi"/>
          <w:noProof/>
          <w:kern w:val="0"/>
          <w:sz w:val="22"/>
          <w:szCs w:val="22"/>
        </w:rPr>
      </w:pPr>
      <w:r>
        <w:rPr>
          <w:noProof/>
        </w:rPr>
        <w:t>4.2.4</w:t>
      </w:r>
      <w:r>
        <w:rPr>
          <w:rFonts w:eastAsiaTheme="minorEastAsia" w:cstheme="minorBidi"/>
          <w:noProof/>
          <w:kern w:val="0"/>
          <w:sz w:val="22"/>
          <w:szCs w:val="22"/>
        </w:rPr>
        <w:tab/>
      </w:r>
      <w:r>
        <w:rPr>
          <w:noProof/>
        </w:rPr>
        <w:t>Validation Check A4 – Check of Studies Backed by Technical Data</w:t>
      </w:r>
      <w:r>
        <w:rPr>
          <w:noProof/>
        </w:rPr>
        <w:tab/>
      </w:r>
      <w:r>
        <w:rPr>
          <w:noProof/>
        </w:rPr>
        <w:fldChar w:fldCharType="begin"/>
      </w:r>
      <w:r>
        <w:rPr>
          <w:noProof/>
        </w:rPr>
        <w:instrText xml:space="preserve"> PAGEREF _Toc112877093 \h </w:instrText>
      </w:r>
      <w:r>
        <w:rPr>
          <w:noProof/>
        </w:rPr>
      </w:r>
      <w:r>
        <w:rPr>
          <w:noProof/>
        </w:rPr>
        <w:fldChar w:fldCharType="separate"/>
      </w:r>
      <w:r w:rsidR="00C9792F">
        <w:rPr>
          <w:noProof/>
        </w:rPr>
        <w:t>26</w:t>
      </w:r>
      <w:r>
        <w:rPr>
          <w:noProof/>
        </w:rPr>
        <w:fldChar w:fldCharType="end"/>
      </w:r>
    </w:p>
    <w:p w14:paraId="4769DA29" w14:textId="77777777" w:rsidR="008C26FB" w:rsidRDefault="008C26FB">
      <w:pPr>
        <w:pStyle w:val="TOC3"/>
        <w:tabs>
          <w:tab w:val="left" w:pos="1080"/>
          <w:tab w:val="right" w:leader="dot" w:pos="9350"/>
        </w:tabs>
        <w:rPr>
          <w:rFonts w:eastAsiaTheme="minorEastAsia" w:cstheme="minorBidi"/>
          <w:noProof/>
          <w:kern w:val="0"/>
          <w:sz w:val="22"/>
          <w:szCs w:val="22"/>
        </w:rPr>
      </w:pPr>
      <w:r>
        <w:rPr>
          <w:noProof/>
        </w:rPr>
        <w:t>4.2.5</w:t>
      </w:r>
      <w:r>
        <w:rPr>
          <w:rFonts w:eastAsiaTheme="minorEastAsia" w:cstheme="minorBidi"/>
          <w:noProof/>
          <w:kern w:val="0"/>
          <w:sz w:val="22"/>
          <w:szCs w:val="22"/>
        </w:rPr>
        <w:tab/>
      </w:r>
      <w:r>
        <w:rPr>
          <w:noProof/>
        </w:rPr>
        <w:t>Validation Check A5 – Comparison of BLE and Effective Zone A</w:t>
      </w:r>
      <w:r>
        <w:rPr>
          <w:noProof/>
        </w:rPr>
        <w:tab/>
      </w:r>
      <w:r>
        <w:rPr>
          <w:noProof/>
        </w:rPr>
        <w:fldChar w:fldCharType="begin"/>
      </w:r>
      <w:r>
        <w:rPr>
          <w:noProof/>
        </w:rPr>
        <w:instrText xml:space="preserve"> PAGEREF _Toc112877094 \h </w:instrText>
      </w:r>
      <w:r>
        <w:rPr>
          <w:noProof/>
        </w:rPr>
      </w:r>
      <w:r>
        <w:rPr>
          <w:noProof/>
        </w:rPr>
        <w:fldChar w:fldCharType="separate"/>
      </w:r>
      <w:r w:rsidR="00C9792F">
        <w:rPr>
          <w:noProof/>
        </w:rPr>
        <w:t>26</w:t>
      </w:r>
      <w:r>
        <w:rPr>
          <w:noProof/>
        </w:rPr>
        <w:fldChar w:fldCharType="end"/>
      </w:r>
    </w:p>
    <w:p w14:paraId="42E33F32" w14:textId="77777777" w:rsidR="008C26FB" w:rsidRDefault="008C26FB">
      <w:pPr>
        <w:pStyle w:val="TOC3"/>
        <w:tabs>
          <w:tab w:val="left" w:pos="1080"/>
          <w:tab w:val="right" w:leader="dot" w:pos="9350"/>
        </w:tabs>
        <w:rPr>
          <w:rFonts w:eastAsiaTheme="minorEastAsia" w:cstheme="minorBidi"/>
          <w:noProof/>
          <w:kern w:val="0"/>
          <w:sz w:val="22"/>
          <w:szCs w:val="22"/>
        </w:rPr>
      </w:pPr>
      <w:r>
        <w:rPr>
          <w:noProof/>
        </w:rPr>
        <w:t>4.2.6</w:t>
      </w:r>
      <w:r>
        <w:rPr>
          <w:rFonts w:eastAsiaTheme="minorEastAsia" w:cstheme="minorBidi"/>
          <w:noProof/>
          <w:kern w:val="0"/>
          <w:sz w:val="22"/>
          <w:szCs w:val="22"/>
        </w:rPr>
        <w:tab/>
      </w:r>
      <w:r>
        <w:rPr>
          <w:noProof/>
        </w:rPr>
        <w:t>Validation Results</w:t>
      </w:r>
      <w:r>
        <w:rPr>
          <w:noProof/>
        </w:rPr>
        <w:tab/>
      </w:r>
      <w:r>
        <w:rPr>
          <w:noProof/>
        </w:rPr>
        <w:fldChar w:fldCharType="begin"/>
      </w:r>
      <w:r>
        <w:rPr>
          <w:noProof/>
        </w:rPr>
        <w:instrText xml:space="preserve"> PAGEREF _Toc112877095 \h </w:instrText>
      </w:r>
      <w:r>
        <w:rPr>
          <w:noProof/>
        </w:rPr>
      </w:r>
      <w:r>
        <w:rPr>
          <w:noProof/>
        </w:rPr>
        <w:fldChar w:fldCharType="separate"/>
      </w:r>
      <w:r w:rsidR="00C9792F">
        <w:rPr>
          <w:noProof/>
        </w:rPr>
        <w:t>27</w:t>
      </w:r>
      <w:r>
        <w:rPr>
          <w:noProof/>
        </w:rPr>
        <w:fldChar w:fldCharType="end"/>
      </w:r>
    </w:p>
    <w:p w14:paraId="22FC3503" w14:textId="77777777" w:rsidR="008C26FB" w:rsidRDefault="008C26FB">
      <w:pPr>
        <w:pStyle w:val="TOC2"/>
        <w:tabs>
          <w:tab w:val="left" w:pos="720"/>
          <w:tab w:val="right" w:leader="dot" w:pos="9350"/>
        </w:tabs>
        <w:rPr>
          <w:rFonts w:eastAsiaTheme="minorEastAsia" w:cstheme="minorBidi"/>
          <w:i w:val="0"/>
          <w:iCs w:val="0"/>
          <w:noProof/>
          <w:kern w:val="0"/>
          <w:sz w:val="22"/>
          <w:szCs w:val="22"/>
        </w:rPr>
      </w:pPr>
      <w:r>
        <w:rPr>
          <w:noProof/>
        </w:rPr>
        <w:t>4.3</w:t>
      </w:r>
      <w:r>
        <w:rPr>
          <w:rFonts w:eastAsiaTheme="minorEastAsia" w:cstheme="minorBidi"/>
          <w:i w:val="0"/>
          <w:iCs w:val="0"/>
          <w:noProof/>
          <w:kern w:val="0"/>
          <w:sz w:val="22"/>
          <w:szCs w:val="22"/>
        </w:rPr>
        <w:tab/>
      </w:r>
      <w:r>
        <w:rPr>
          <w:noProof/>
        </w:rPr>
        <w:t>Flood Risk Analysis</w:t>
      </w:r>
      <w:r>
        <w:rPr>
          <w:noProof/>
        </w:rPr>
        <w:tab/>
      </w:r>
      <w:r>
        <w:rPr>
          <w:noProof/>
        </w:rPr>
        <w:fldChar w:fldCharType="begin"/>
      </w:r>
      <w:r>
        <w:rPr>
          <w:noProof/>
        </w:rPr>
        <w:instrText xml:space="preserve"> PAGEREF _Toc112877096 \h </w:instrText>
      </w:r>
      <w:r>
        <w:rPr>
          <w:noProof/>
        </w:rPr>
      </w:r>
      <w:r>
        <w:rPr>
          <w:noProof/>
        </w:rPr>
        <w:fldChar w:fldCharType="separate"/>
      </w:r>
      <w:r w:rsidR="00C9792F">
        <w:rPr>
          <w:noProof/>
        </w:rPr>
        <w:t>29</w:t>
      </w:r>
      <w:r>
        <w:rPr>
          <w:noProof/>
        </w:rPr>
        <w:fldChar w:fldCharType="end"/>
      </w:r>
    </w:p>
    <w:p w14:paraId="408A7162" w14:textId="77777777" w:rsidR="008C26FB" w:rsidRDefault="008C26FB">
      <w:pPr>
        <w:pStyle w:val="TOC1"/>
        <w:tabs>
          <w:tab w:val="left" w:pos="540"/>
          <w:tab w:val="right" w:leader="dot" w:pos="9350"/>
        </w:tabs>
        <w:rPr>
          <w:rFonts w:eastAsiaTheme="minorEastAsia" w:cstheme="minorBidi"/>
          <w:b w:val="0"/>
          <w:bCs w:val="0"/>
          <w:noProof/>
          <w:kern w:val="0"/>
          <w:sz w:val="22"/>
          <w:szCs w:val="22"/>
        </w:rPr>
      </w:pPr>
      <w:r>
        <w:rPr>
          <w:noProof/>
        </w:rPr>
        <w:t>5.</w:t>
      </w:r>
      <w:r>
        <w:rPr>
          <w:rFonts w:eastAsiaTheme="minorEastAsia" w:cstheme="minorBidi"/>
          <w:b w:val="0"/>
          <w:bCs w:val="0"/>
          <w:noProof/>
          <w:kern w:val="0"/>
          <w:sz w:val="22"/>
          <w:szCs w:val="22"/>
        </w:rPr>
        <w:tab/>
      </w:r>
      <w:r>
        <w:rPr>
          <w:noProof/>
        </w:rPr>
        <w:t>References</w:t>
      </w:r>
      <w:r>
        <w:rPr>
          <w:noProof/>
        </w:rPr>
        <w:tab/>
      </w:r>
      <w:r>
        <w:rPr>
          <w:noProof/>
        </w:rPr>
        <w:fldChar w:fldCharType="begin"/>
      </w:r>
      <w:r>
        <w:rPr>
          <w:noProof/>
        </w:rPr>
        <w:instrText xml:space="preserve"> PAGEREF _Toc112877097 \h </w:instrText>
      </w:r>
      <w:r>
        <w:rPr>
          <w:noProof/>
        </w:rPr>
      </w:r>
      <w:r>
        <w:rPr>
          <w:noProof/>
        </w:rPr>
        <w:fldChar w:fldCharType="separate"/>
      </w:r>
      <w:r w:rsidR="00C9792F">
        <w:rPr>
          <w:noProof/>
        </w:rPr>
        <w:t>31</w:t>
      </w:r>
      <w:r>
        <w:rPr>
          <w:noProof/>
        </w:rPr>
        <w:fldChar w:fldCharType="end"/>
      </w:r>
    </w:p>
    <w:p w14:paraId="1A2C8669" w14:textId="77777777" w:rsidR="008C26FB" w:rsidRDefault="008C26FB">
      <w:pPr>
        <w:pStyle w:val="TOC1"/>
        <w:tabs>
          <w:tab w:val="right" w:leader="dot" w:pos="9350"/>
        </w:tabs>
        <w:rPr>
          <w:rFonts w:eastAsiaTheme="minorEastAsia" w:cstheme="minorBidi"/>
          <w:b w:val="0"/>
          <w:bCs w:val="0"/>
          <w:noProof/>
          <w:kern w:val="0"/>
          <w:sz w:val="22"/>
          <w:szCs w:val="22"/>
        </w:rPr>
      </w:pPr>
      <w:r>
        <w:rPr>
          <w:noProof/>
        </w:rPr>
        <w:t>Appendix A BLE Map</w:t>
      </w:r>
      <w:r>
        <w:rPr>
          <w:noProof/>
        </w:rPr>
        <w:tab/>
      </w:r>
      <w:r>
        <w:rPr>
          <w:noProof/>
        </w:rPr>
        <w:fldChar w:fldCharType="begin"/>
      </w:r>
      <w:r>
        <w:rPr>
          <w:noProof/>
        </w:rPr>
        <w:instrText xml:space="preserve"> PAGEREF _Toc112877098 \h </w:instrText>
      </w:r>
      <w:r>
        <w:rPr>
          <w:noProof/>
        </w:rPr>
      </w:r>
      <w:r>
        <w:rPr>
          <w:noProof/>
        </w:rPr>
        <w:fldChar w:fldCharType="separate"/>
      </w:r>
      <w:r w:rsidR="00C9792F">
        <w:rPr>
          <w:noProof/>
        </w:rPr>
        <w:t>32</w:t>
      </w:r>
      <w:r>
        <w:rPr>
          <w:noProof/>
        </w:rPr>
        <w:fldChar w:fldCharType="end"/>
      </w:r>
    </w:p>
    <w:p w14:paraId="082E9B22" w14:textId="508926AE" w:rsidR="003964F2" w:rsidRDefault="00265A9E" w:rsidP="003964F2">
      <w:pPr>
        <w:pStyle w:val="BodyText"/>
        <w:rPr>
          <w:noProof/>
        </w:rPr>
      </w:pPr>
      <w:r>
        <w:rPr>
          <w:rFonts w:cstheme="minorHAnsi"/>
          <w:noProof/>
          <w:sz w:val="20"/>
          <w:szCs w:val="20"/>
        </w:rPr>
        <w:fldChar w:fldCharType="end"/>
      </w:r>
    </w:p>
    <w:p w14:paraId="602E29CC" w14:textId="77777777" w:rsidR="002A75EF" w:rsidRDefault="002A75EF">
      <w:pPr>
        <w:tabs>
          <w:tab w:val="clear" w:pos="284"/>
        </w:tabs>
        <w:spacing w:line="240" w:lineRule="auto"/>
        <w:rPr>
          <w:rFonts w:asciiTheme="majorHAnsi" w:eastAsiaTheme="majorEastAsia" w:hAnsiTheme="majorHAnsi" w:cstheme="majorBidi"/>
          <w:b/>
          <w:bCs/>
          <w:noProof/>
          <w:color w:val="00B5E2" w:themeColor="accent1"/>
          <w:sz w:val="28"/>
          <w:szCs w:val="28"/>
        </w:rPr>
      </w:pPr>
      <w:bookmarkStart w:id="15" w:name="Text_Figures"/>
      <w:r>
        <w:rPr>
          <w:noProof/>
        </w:rPr>
        <w:br w:type="page"/>
      </w:r>
    </w:p>
    <w:p w14:paraId="7F0211D5" w14:textId="134F3197" w:rsidR="003964F2" w:rsidRDefault="00BF3F75" w:rsidP="00CA2219">
      <w:pPr>
        <w:pStyle w:val="TOCHeading"/>
        <w:rPr>
          <w:noProof/>
        </w:rPr>
      </w:pPr>
      <w:r>
        <w:rPr>
          <w:noProof/>
        </w:rPr>
        <w:lastRenderedPageBreak/>
        <w:t xml:space="preserve">List of </w:t>
      </w:r>
      <w:r w:rsidR="003964F2">
        <w:rPr>
          <w:noProof/>
        </w:rPr>
        <w:t>Figures</w:t>
      </w:r>
      <w:bookmarkEnd w:id="15"/>
    </w:p>
    <w:p w14:paraId="5329B573" w14:textId="77777777" w:rsidR="008C26FB" w:rsidRDefault="0063518A">
      <w:pPr>
        <w:pStyle w:val="TableofFigures"/>
        <w:rPr>
          <w:rFonts w:eastAsiaTheme="minorEastAsia"/>
          <w:noProof/>
          <w:kern w:val="0"/>
          <w:sz w:val="22"/>
          <w:szCs w:val="22"/>
        </w:rPr>
      </w:pPr>
      <w:r>
        <w:rPr>
          <w:noProof/>
        </w:rPr>
        <w:fldChar w:fldCharType="begin"/>
      </w:r>
      <w:r>
        <w:rPr>
          <w:noProof/>
        </w:rPr>
        <w:instrText xml:space="preserve"> TOC \c "Figure" </w:instrText>
      </w:r>
      <w:r>
        <w:rPr>
          <w:noProof/>
        </w:rPr>
        <w:fldChar w:fldCharType="separate"/>
      </w:r>
      <w:r w:rsidR="008C26FB">
        <w:rPr>
          <w:noProof/>
        </w:rPr>
        <w:t>Figure 1: Yellow House Draw Watershed</w:t>
      </w:r>
      <w:r w:rsidR="008C26FB">
        <w:rPr>
          <w:noProof/>
        </w:rPr>
        <w:tab/>
      </w:r>
      <w:r w:rsidR="008C26FB">
        <w:rPr>
          <w:noProof/>
        </w:rPr>
        <w:fldChar w:fldCharType="begin"/>
      </w:r>
      <w:r w:rsidR="008C26FB">
        <w:rPr>
          <w:noProof/>
        </w:rPr>
        <w:instrText xml:space="preserve"> PAGEREF _Toc112877029 \h </w:instrText>
      </w:r>
      <w:r w:rsidR="008C26FB">
        <w:rPr>
          <w:noProof/>
        </w:rPr>
      </w:r>
      <w:r w:rsidR="008C26FB">
        <w:rPr>
          <w:noProof/>
        </w:rPr>
        <w:fldChar w:fldCharType="separate"/>
      </w:r>
      <w:r w:rsidR="00C9792F">
        <w:rPr>
          <w:noProof/>
        </w:rPr>
        <w:t>2</w:t>
      </w:r>
      <w:r w:rsidR="008C26FB">
        <w:rPr>
          <w:noProof/>
        </w:rPr>
        <w:fldChar w:fldCharType="end"/>
      </w:r>
    </w:p>
    <w:p w14:paraId="0222CFA7" w14:textId="77777777" w:rsidR="008C26FB" w:rsidRDefault="008C26FB">
      <w:pPr>
        <w:pStyle w:val="TableofFigures"/>
        <w:rPr>
          <w:rFonts w:eastAsiaTheme="minorEastAsia"/>
          <w:noProof/>
          <w:kern w:val="0"/>
          <w:sz w:val="22"/>
          <w:szCs w:val="22"/>
        </w:rPr>
      </w:pPr>
      <w:r>
        <w:rPr>
          <w:noProof/>
        </w:rPr>
        <w:t>Figure 2: Yellow House Draw</w:t>
      </w:r>
      <w:r w:rsidRPr="00AF21FB">
        <w:rPr>
          <w:noProof/>
          <w:color w:val="FF0000"/>
        </w:rPr>
        <w:t xml:space="preserve"> </w:t>
      </w:r>
      <w:r>
        <w:rPr>
          <w:noProof/>
        </w:rPr>
        <w:t>Watershed BLE Source Terrain Data</w:t>
      </w:r>
      <w:r>
        <w:rPr>
          <w:noProof/>
        </w:rPr>
        <w:tab/>
      </w:r>
      <w:r>
        <w:rPr>
          <w:noProof/>
        </w:rPr>
        <w:fldChar w:fldCharType="begin"/>
      </w:r>
      <w:r>
        <w:rPr>
          <w:noProof/>
        </w:rPr>
        <w:instrText xml:space="preserve"> PAGEREF _Toc112877030 \h </w:instrText>
      </w:r>
      <w:r>
        <w:rPr>
          <w:noProof/>
        </w:rPr>
      </w:r>
      <w:r>
        <w:rPr>
          <w:noProof/>
        </w:rPr>
        <w:fldChar w:fldCharType="separate"/>
      </w:r>
      <w:r w:rsidR="00C9792F">
        <w:rPr>
          <w:noProof/>
        </w:rPr>
        <w:t>4</w:t>
      </w:r>
      <w:r>
        <w:rPr>
          <w:noProof/>
        </w:rPr>
        <w:fldChar w:fldCharType="end"/>
      </w:r>
    </w:p>
    <w:p w14:paraId="0C84E91A" w14:textId="77777777" w:rsidR="008C26FB" w:rsidRDefault="008C26FB">
      <w:pPr>
        <w:pStyle w:val="TableofFigures"/>
        <w:rPr>
          <w:rFonts w:eastAsiaTheme="minorEastAsia"/>
          <w:noProof/>
          <w:kern w:val="0"/>
          <w:sz w:val="22"/>
          <w:szCs w:val="22"/>
        </w:rPr>
      </w:pPr>
      <w:r>
        <w:rPr>
          <w:noProof/>
        </w:rPr>
        <w:t>Figure 3: RAS6 2D Computational Mesh and Boundary Conditions</w:t>
      </w:r>
      <w:r>
        <w:rPr>
          <w:noProof/>
        </w:rPr>
        <w:tab/>
      </w:r>
      <w:r>
        <w:rPr>
          <w:noProof/>
        </w:rPr>
        <w:fldChar w:fldCharType="begin"/>
      </w:r>
      <w:r>
        <w:rPr>
          <w:noProof/>
        </w:rPr>
        <w:instrText xml:space="preserve"> PAGEREF _Toc112877031 \h </w:instrText>
      </w:r>
      <w:r>
        <w:rPr>
          <w:noProof/>
        </w:rPr>
      </w:r>
      <w:r>
        <w:rPr>
          <w:noProof/>
        </w:rPr>
        <w:fldChar w:fldCharType="separate"/>
      </w:r>
      <w:r w:rsidR="00C9792F">
        <w:rPr>
          <w:noProof/>
        </w:rPr>
        <w:t>8</w:t>
      </w:r>
      <w:r>
        <w:rPr>
          <w:noProof/>
        </w:rPr>
        <w:fldChar w:fldCharType="end"/>
      </w:r>
    </w:p>
    <w:p w14:paraId="61EF3D19" w14:textId="77777777" w:rsidR="008C26FB" w:rsidRDefault="008C26FB">
      <w:pPr>
        <w:pStyle w:val="TableofFigures"/>
        <w:rPr>
          <w:rFonts w:eastAsiaTheme="minorEastAsia"/>
          <w:noProof/>
          <w:kern w:val="0"/>
          <w:sz w:val="22"/>
          <w:szCs w:val="22"/>
        </w:rPr>
      </w:pPr>
      <w:r>
        <w:rPr>
          <w:noProof/>
        </w:rPr>
        <w:t>Figure 4: YHD1 Excess Precipitation Hyetograph Applied to 2D Mesh</w:t>
      </w:r>
      <w:r>
        <w:rPr>
          <w:noProof/>
        </w:rPr>
        <w:tab/>
      </w:r>
      <w:r>
        <w:rPr>
          <w:noProof/>
        </w:rPr>
        <w:fldChar w:fldCharType="begin"/>
      </w:r>
      <w:r>
        <w:rPr>
          <w:noProof/>
        </w:rPr>
        <w:instrText xml:space="preserve"> PAGEREF _Toc112877032 \h </w:instrText>
      </w:r>
      <w:r>
        <w:rPr>
          <w:noProof/>
        </w:rPr>
      </w:r>
      <w:r>
        <w:rPr>
          <w:noProof/>
        </w:rPr>
        <w:fldChar w:fldCharType="separate"/>
      </w:r>
      <w:r w:rsidR="00C9792F">
        <w:rPr>
          <w:noProof/>
        </w:rPr>
        <w:t>12</w:t>
      </w:r>
      <w:r>
        <w:rPr>
          <w:noProof/>
        </w:rPr>
        <w:fldChar w:fldCharType="end"/>
      </w:r>
    </w:p>
    <w:p w14:paraId="3207D0D3" w14:textId="77777777" w:rsidR="008C26FB" w:rsidRDefault="008C26FB">
      <w:pPr>
        <w:pStyle w:val="TableofFigures"/>
        <w:rPr>
          <w:rFonts w:eastAsiaTheme="minorEastAsia"/>
          <w:noProof/>
          <w:kern w:val="0"/>
          <w:sz w:val="22"/>
          <w:szCs w:val="22"/>
        </w:rPr>
      </w:pPr>
      <w:r>
        <w:rPr>
          <w:noProof/>
        </w:rPr>
        <w:t>Figure 5: YHD2 Excess Precipitation Hyetograph Applied to 2D Mesh</w:t>
      </w:r>
      <w:r>
        <w:rPr>
          <w:noProof/>
        </w:rPr>
        <w:tab/>
      </w:r>
      <w:r>
        <w:rPr>
          <w:noProof/>
        </w:rPr>
        <w:fldChar w:fldCharType="begin"/>
      </w:r>
      <w:r>
        <w:rPr>
          <w:noProof/>
        </w:rPr>
        <w:instrText xml:space="preserve"> PAGEREF _Toc112877033 \h </w:instrText>
      </w:r>
      <w:r>
        <w:rPr>
          <w:noProof/>
        </w:rPr>
      </w:r>
      <w:r>
        <w:rPr>
          <w:noProof/>
        </w:rPr>
        <w:fldChar w:fldCharType="separate"/>
      </w:r>
      <w:r w:rsidR="00C9792F">
        <w:rPr>
          <w:noProof/>
        </w:rPr>
        <w:t>12</w:t>
      </w:r>
      <w:r>
        <w:rPr>
          <w:noProof/>
        </w:rPr>
        <w:fldChar w:fldCharType="end"/>
      </w:r>
    </w:p>
    <w:p w14:paraId="70E2F6A8" w14:textId="77777777" w:rsidR="008C26FB" w:rsidRDefault="008C26FB">
      <w:pPr>
        <w:pStyle w:val="TableofFigures"/>
        <w:rPr>
          <w:rFonts w:eastAsiaTheme="minorEastAsia"/>
          <w:noProof/>
          <w:kern w:val="0"/>
          <w:sz w:val="22"/>
          <w:szCs w:val="22"/>
        </w:rPr>
      </w:pPr>
      <w:r>
        <w:rPr>
          <w:noProof/>
        </w:rPr>
        <w:t>Figure 6: YHD3 Excess Precipitation Hyetograph Applied to 2D Mesh</w:t>
      </w:r>
      <w:r>
        <w:rPr>
          <w:noProof/>
        </w:rPr>
        <w:tab/>
      </w:r>
      <w:r>
        <w:rPr>
          <w:noProof/>
        </w:rPr>
        <w:fldChar w:fldCharType="begin"/>
      </w:r>
      <w:r>
        <w:rPr>
          <w:noProof/>
        </w:rPr>
        <w:instrText xml:space="preserve"> PAGEREF _Toc112877034 \h </w:instrText>
      </w:r>
      <w:r>
        <w:rPr>
          <w:noProof/>
        </w:rPr>
      </w:r>
      <w:r>
        <w:rPr>
          <w:noProof/>
        </w:rPr>
        <w:fldChar w:fldCharType="separate"/>
      </w:r>
      <w:r w:rsidR="00C9792F">
        <w:rPr>
          <w:noProof/>
        </w:rPr>
        <w:t>13</w:t>
      </w:r>
      <w:r>
        <w:rPr>
          <w:noProof/>
        </w:rPr>
        <w:fldChar w:fldCharType="end"/>
      </w:r>
    </w:p>
    <w:p w14:paraId="4E1D7A39" w14:textId="77777777" w:rsidR="008C26FB" w:rsidRDefault="008C26FB">
      <w:pPr>
        <w:pStyle w:val="TableofFigures"/>
        <w:rPr>
          <w:rFonts w:eastAsiaTheme="minorEastAsia"/>
          <w:noProof/>
          <w:kern w:val="0"/>
          <w:sz w:val="22"/>
          <w:szCs w:val="22"/>
        </w:rPr>
      </w:pPr>
      <w:r>
        <w:rPr>
          <w:noProof/>
        </w:rPr>
        <w:t>Figure 7: YHD4 Excess Precipitation Hyetograph Applied to 2D Mesh</w:t>
      </w:r>
      <w:r>
        <w:rPr>
          <w:noProof/>
        </w:rPr>
        <w:tab/>
      </w:r>
      <w:r>
        <w:rPr>
          <w:noProof/>
        </w:rPr>
        <w:fldChar w:fldCharType="begin"/>
      </w:r>
      <w:r>
        <w:rPr>
          <w:noProof/>
        </w:rPr>
        <w:instrText xml:space="preserve"> PAGEREF _Toc112877035 \h </w:instrText>
      </w:r>
      <w:r>
        <w:rPr>
          <w:noProof/>
        </w:rPr>
      </w:r>
      <w:r>
        <w:rPr>
          <w:noProof/>
        </w:rPr>
        <w:fldChar w:fldCharType="separate"/>
      </w:r>
      <w:r w:rsidR="00C9792F">
        <w:rPr>
          <w:noProof/>
        </w:rPr>
        <w:t>13</w:t>
      </w:r>
      <w:r>
        <w:rPr>
          <w:noProof/>
        </w:rPr>
        <w:fldChar w:fldCharType="end"/>
      </w:r>
    </w:p>
    <w:p w14:paraId="5BE6CBD3" w14:textId="77777777" w:rsidR="008C26FB" w:rsidRDefault="008C26FB">
      <w:pPr>
        <w:pStyle w:val="TableofFigures"/>
        <w:rPr>
          <w:rFonts w:eastAsiaTheme="minorEastAsia"/>
          <w:noProof/>
          <w:kern w:val="0"/>
          <w:sz w:val="22"/>
          <w:szCs w:val="22"/>
        </w:rPr>
      </w:pPr>
      <w:r>
        <w:rPr>
          <w:noProof/>
        </w:rPr>
        <w:t>Figure 8: YHD5 Excess Precipitation Hyetograph Applied to 2D Mesh</w:t>
      </w:r>
      <w:r>
        <w:rPr>
          <w:noProof/>
        </w:rPr>
        <w:tab/>
      </w:r>
      <w:r>
        <w:rPr>
          <w:noProof/>
        </w:rPr>
        <w:fldChar w:fldCharType="begin"/>
      </w:r>
      <w:r>
        <w:rPr>
          <w:noProof/>
        </w:rPr>
        <w:instrText xml:space="preserve"> PAGEREF _Toc112877036 \h </w:instrText>
      </w:r>
      <w:r>
        <w:rPr>
          <w:noProof/>
        </w:rPr>
      </w:r>
      <w:r>
        <w:rPr>
          <w:noProof/>
        </w:rPr>
        <w:fldChar w:fldCharType="separate"/>
      </w:r>
      <w:r w:rsidR="00C9792F">
        <w:rPr>
          <w:noProof/>
        </w:rPr>
        <w:t>14</w:t>
      </w:r>
      <w:r>
        <w:rPr>
          <w:noProof/>
        </w:rPr>
        <w:fldChar w:fldCharType="end"/>
      </w:r>
    </w:p>
    <w:p w14:paraId="402645CE" w14:textId="77777777" w:rsidR="008C26FB" w:rsidRDefault="008C26FB">
      <w:pPr>
        <w:pStyle w:val="TableofFigures"/>
        <w:rPr>
          <w:rFonts w:eastAsiaTheme="minorEastAsia"/>
          <w:noProof/>
          <w:kern w:val="0"/>
          <w:sz w:val="22"/>
          <w:szCs w:val="22"/>
        </w:rPr>
      </w:pPr>
      <w:r>
        <w:rPr>
          <w:noProof/>
        </w:rPr>
        <w:t>Figure 9: YHD3 Inflow Hydrograph from YHD2</w:t>
      </w:r>
      <w:r>
        <w:rPr>
          <w:noProof/>
        </w:rPr>
        <w:tab/>
      </w:r>
      <w:r>
        <w:rPr>
          <w:noProof/>
        </w:rPr>
        <w:fldChar w:fldCharType="begin"/>
      </w:r>
      <w:r>
        <w:rPr>
          <w:noProof/>
        </w:rPr>
        <w:instrText xml:space="preserve"> PAGEREF _Toc112877037 \h </w:instrText>
      </w:r>
      <w:r>
        <w:rPr>
          <w:noProof/>
        </w:rPr>
      </w:r>
      <w:r>
        <w:rPr>
          <w:noProof/>
        </w:rPr>
        <w:fldChar w:fldCharType="separate"/>
      </w:r>
      <w:r w:rsidR="00C9792F">
        <w:rPr>
          <w:noProof/>
        </w:rPr>
        <w:t>15</w:t>
      </w:r>
      <w:r>
        <w:rPr>
          <w:noProof/>
        </w:rPr>
        <w:fldChar w:fldCharType="end"/>
      </w:r>
    </w:p>
    <w:p w14:paraId="1750B5BF" w14:textId="77777777" w:rsidR="008C26FB" w:rsidRDefault="008C26FB">
      <w:pPr>
        <w:pStyle w:val="TableofFigures"/>
        <w:rPr>
          <w:rFonts w:eastAsiaTheme="minorEastAsia"/>
          <w:noProof/>
          <w:kern w:val="0"/>
          <w:sz w:val="22"/>
          <w:szCs w:val="22"/>
        </w:rPr>
      </w:pPr>
      <w:r>
        <w:rPr>
          <w:noProof/>
        </w:rPr>
        <w:t>Figure 10: YHD1 Inflow Hydrograph from YHD3</w:t>
      </w:r>
      <w:r>
        <w:rPr>
          <w:noProof/>
        </w:rPr>
        <w:tab/>
      </w:r>
      <w:r>
        <w:rPr>
          <w:noProof/>
        </w:rPr>
        <w:fldChar w:fldCharType="begin"/>
      </w:r>
      <w:r>
        <w:rPr>
          <w:noProof/>
        </w:rPr>
        <w:instrText xml:space="preserve"> PAGEREF _Toc112877038 \h </w:instrText>
      </w:r>
      <w:r>
        <w:rPr>
          <w:noProof/>
        </w:rPr>
      </w:r>
      <w:r>
        <w:rPr>
          <w:noProof/>
        </w:rPr>
        <w:fldChar w:fldCharType="separate"/>
      </w:r>
      <w:r w:rsidR="00C9792F">
        <w:rPr>
          <w:noProof/>
        </w:rPr>
        <w:t>15</w:t>
      </w:r>
      <w:r>
        <w:rPr>
          <w:noProof/>
        </w:rPr>
        <w:fldChar w:fldCharType="end"/>
      </w:r>
    </w:p>
    <w:p w14:paraId="0E5925EC" w14:textId="77777777" w:rsidR="008C26FB" w:rsidRDefault="008C26FB">
      <w:pPr>
        <w:pStyle w:val="TableofFigures"/>
        <w:rPr>
          <w:rFonts w:eastAsiaTheme="minorEastAsia"/>
          <w:noProof/>
          <w:kern w:val="0"/>
          <w:sz w:val="22"/>
          <w:szCs w:val="22"/>
        </w:rPr>
      </w:pPr>
      <w:r>
        <w:rPr>
          <w:noProof/>
        </w:rPr>
        <w:t>Figure 11: YHD4 Inflow Hydrograph from YHD3</w:t>
      </w:r>
      <w:r>
        <w:rPr>
          <w:noProof/>
        </w:rPr>
        <w:tab/>
      </w:r>
      <w:r>
        <w:rPr>
          <w:noProof/>
        </w:rPr>
        <w:fldChar w:fldCharType="begin"/>
      </w:r>
      <w:r>
        <w:rPr>
          <w:noProof/>
        </w:rPr>
        <w:instrText xml:space="preserve"> PAGEREF _Toc112877039 \h </w:instrText>
      </w:r>
      <w:r>
        <w:rPr>
          <w:noProof/>
        </w:rPr>
      </w:r>
      <w:r>
        <w:rPr>
          <w:noProof/>
        </w:rPr>
        <w:fldChar w:fldCharType="separate"/>
      </w:r>
      <w:r w:rsidR="00C9792F">
        <w:rPr>
          <w:noProof/>
        </w:rPr>
        <w:t>16</w:t>
      </w:r>
      <w:r>
        <w:rPr>
          <w:noProof/>
        </w:rPr>
        <w:fldChar w:fldCharType="end"/>
      </w:r>
    </w:p>
    <w:p w14:paraId="0D1097CB" w14:textId="77777777" w:rsidR="008C26FB" w:rsidRDefault="008C26FB">
      <w:pPr>
        <w:pStyle w:val="TableofFigures"/>
        <w:rPr>
          <w:rFonts w:eastAsiaTheme="minorEastAsia"/>
          <w:noProof/>
          <w:kern w:val="0"/>
          <w:sz w:val="22"/>
          <w:szCs w:val="22"/>
        </w:rPr>
      </w:pPr>
      <w:r>
        <w:rPr>
          <w:noProof/>
        </w:rPr>
        <w:t>Figure 12: YHD5 Inflow Hydrograph from YHD4</w:t>
      </w:r>
      <w:r>
        <w:rPr>
          <w:noProof/>
        </w:rPr>
        <w:tab/>
      </w:r>
      <w:r>
        <w:rPr>
          <w:noProof/>
        </w:rPr>
        <w:fldChar w:fldCharType="begin"/>
      </w:r>
      <w:r>
        <w:rPr>
          <w:noProof/>
        </w:rPr>
        <w:instrText xml:space="preserve"> PAGEREF _Toc112877040 \h </w:instrText>
      </w:r>
      <w:r>
        <w:rPr>
          <w:noProof/>
        </w:rPr>
      </w:r>
      <w:r>
        <w:rPr>
          <w:noProof/>
        </w:rPr>
        <w:fldChar w:fldCharType="separate"/>
      </w:r>
      <w:r w:rsidR="00C9792F">
        <w:rPr>
          <w:noProof/>
        </w:rPr>
        <w:t>16</w:t>
      </w:r>
      <w:r>
        <w:rPr>
          <w:noProof/>
        </w:rPr>
        <w:fldChar w:fldCharType="end"/>
      </w:r>
    </w:p>
    <w:p w14:paraId="509BFE0B" w14:textId="77777777" w:rsidR="008C26FB" w:rsidRDefault="008C26FB">
      <w:pPr>
        <w:pStyle w:val="TableofFigures"/>
        <w:rPr>
          <w:rFonts w:eastAsiaTheme="minorEastAsia"/>
          <w:noProof/>
          <w:kern w:val="0"/>
          <w:sz w:val="22"/>
          <w:szCs w:val="22"/>
        </w:rPr>
      </w:pPr>
      <w:r>
        <w:rPr>
          <w:noProof/>
        </w:rPr>
        <w:t>Figure 13: V-notch Breakline Approach at Bridge Crossing</w:t>
      </w:r>
      <w:r>
        <w:rPr>
          <w:noProof/>
        </w:rPr>
        <w:tab/>
      </w:r>
      <w:r>
        <w:rPr>
          <w:noProof/>
        </w:rPr>
        <w:fldChar w:fldCharType="begin"/>
      </w:r>
      <w:r>
        <w:rPr>
          <w:noProof/>
        </w:rPr>
        <w:instrText xml:space="preserve"> PAGEREF _Toc112877041 \h </w:instrText>
      </w:r>
      <w:r>
        <w:rPr>
          <w:noProof/>
        </w:rPr>
      </w:r>
      <w:r>
        <w:rPr>
          <w:noProof/>
        </w:rPr>
        <w:fldChar w:fldCharType="separate"/>
      </w:r>
      <w:r w:rsidR="00C9792F">
        <w:rPr>
          <w:noProof/>
        </w:rPr>
        <w:t>19</w:t>
      </w:r>
      <w:r>
        <w:rPr>
          <w:noProof/>
        </w:rPr>
        <w:fldChar w:fldCharType="end"/>
      </w:r>
    </w:p>
    <w:p w14:paraId="0B6DC7C9" w14:textId="77777777" w:rsidR="008C26FB" w:rsidRDefault="008C26FB">
      <w:pPr>
        <w:pStyle w:val="TableofFigures"/>
        <w:rPr>
          <w:rFonts w:eastAsiaTheme="minorEastAsia"/>
          <w:noProof/>
          <w:kern w:val="0"/>
          <w:sz w:val="22"/>
          <w:szCs w:val="22"/>
        </w:rPr>
      </w:pPr>
      <w:r>
        <w:rPr>
          <w:noProof/>
        </w:rPr>
        <w:t>Figure 14: Water Retained in Playas After a Storm Event</w:t>
      </w:r>
      <w:r>
        <w:rPr>
          <w:noProof/>
        </w:rPr>
        <w:tab/>
      </w:r>
      <w:r>
        <w:rPr>
          <w:noProof/>
        </w:rPr>
        <w:fldChar w:fldCharType="begin"/>
      </w:r>
      <w:r>
        <w:rPr>
          <w:noProof/>
        </w:rPr>
        <w:instrText xml:space="preserve"> PAGEREF _Toc112877042 \h </w:instrText>
      </w:r>
      <w:r>
        <w:rPr>
          <w:noProof/>
        </w:rPr>
      </w:r>
      <w:r>
        <w:rPr>
          <w:noProof/>
        </w:rPr>
        <w:fldChar w:fldCharType="separate"/>
      </w:r>
      <w:r w:rsidR="00C9792F">
        <w:rPr>
          <w:noProof/>
        </w:rPr>
        <w:t>21</w:t>
      </w:r>
      <w:r>
        <w:rPr>
          <w:noProof/>
        </w:rPr>
        <w:fldChar w:fldCharType="end"/>
      </w:r>
    </w:p>
    <w:p w14:paraId="0D96310E" w14:textId="77777777" w:rsidR="008C26FB" w:rsidRDefault="008C26FB">
      <w:pPr>
        <w:pStyle w:val="TableofFigures"/>
        <w:rPr>
          <w:rFonts w:eastAsiaTheme="minorEastAsia"/>
          <w:noProof/>
          <w:kern w:val="0"/>
          <w:sz w:val="22"/>
          <w:szCs w:val="22"/>
        </w:rPr>
      </w:pPr>
      <w:r>
        <w:rPr>
          <w:noProof/>
        </w:rPr>
        <w:t>Figure 15: Calibration Comparison</w:t>
      </w:r>
      <w:r>
        <w:rPr>
          <w:noProof/>
        </w:rPr>
        <w:tab/>
      </w:r>
      <w:r>
        <w:rPr>
          <w:noProof/>
        </w:rPr>
        <w:fldChar w:fldCharType="begin"/>
      </w:r>
      <w:r>
        <w:rPr>
          <w:noProof/>
        </w:rPr>
        <w:instrText xml:space="preserve"> PAGEREF _Toc112877043 \h </w:instrText>
      </w:r>
      <w:r>
        <w:rPr>
          <w:noProof/>
        </w:rPr>
      </w:r>
      <w:r>
        <w:rPr>
          <w:noProof/>
        </w:rPr>
        <w:fldChar w:fldCharType="separate"/>
      </w:r>
      <w:r w:rsidR="00C9792F">
        <w:rPr>
          <w:noProof/>
        </w:rPr>
        <w:t>23</w:t>
      </w:r>
      <w:r>
        <w:rPr>
          <w:noProof/>
        </w:rPr>
        <w:fldChar w:fldCharType="end"/>
      </w:r>
    </w:p>
    <w:p w14:paraId="55E4A10E" w14:textId="77777777" w:rsidR="008C26FB" w:rsidRDefault="008C26FB">
      <w:pPr>
        <w:pStyle w:val="TableofFigures"/>
        <w:rPr>
          <w:rFonts w:eastAsiaTheme="minorEastAsia"/>
          <w:noProof/>
          <w:kern w:val="0"/>
          <w:sz w:val="22"/>
          <w:szCs w:val="22"/>
        </w:rPr>
      </w:pPr>
      <w:r>
        <w:rPr>
          <w:noProof/>
        </w:rPr>
        <w:t>Figure 16: Yellow House Draw Watershed CNMS Validation Results</w:t>
      </w:r>
      <w:r>
        <w:rPr>
          <w:noProof/>
        </w:rPr>
        <w:tab/>
      </w:r>
      <w:r>
        <w:rPr>
          <w:noProof/>
        </w:rPr>
        <w:fldChar w:fldCharType="begin"/>
      </w:r>
      <w:r>
        <w:rPr>
          <w:noProof/>
        </w:rPr>
        <w:instrText xml:space="preserve"> PAGEREF _Toc112877044 \h </w:instrText>
      </w:r>
      <w:r>
        <w:rPr>
          <w:noProof/>
        </w:rPr>
      </w:r>
      <w:r>
        <w:rPr>
          <w:noProof/>
        </w:rPr>
        <w:fldChar w:fldCharType="separate"/>
      </w:r>
      <w:r w:rsidR="00C9792F">
        <w:rPr>
          <w:noProof/>
        </w:rPr>
        <w:t>28</w:t>
      </w:r>
      <w:r>
        <w:rPr>
          <w:noProof/>
        </w:rPr>
        <w:fldChar w:fldCharType="end"/>
      </w:r>
    </w:p>
    <w:p w14:paraId="3F036E0D" w14:textId="77777777" w:rsidR="008C26FB" w:rsidRDefault="008C26FB">
      <w:pPr>
        <w:pStyle w:val="TableofFigures"/>
        <w:rPr>
          <w:rFonts w:eastAsiaTheme="minorEastAsia"/>
          <w:noProof/>
          <w:kern w:val="0"/>
          <w:sz w:val="22"/>
          <w:szCs w:val="22"/>
        </w:rPr>
      </w:pPr>
      <w:r>
        <w:rPr>
          <w:noProof/>
        </w:rPr>
        <w:t>Figure 17: Ranking of Navidad Watershed HUC-12s</w:t>
      </w:r>
      <w:r>
        <w:rPr>
          <w:noProof/>
        </w:rPr>
        <w:tab/>
      </w:r>
      <w:r>
        <w:rPr>
          <w:noProof/>
        </w:rPr>
        <w:fldChar w:fldCharType="begin"/>
      </w:r>
      <w:r>
        <w:rPr>
          <w:noProof/>
        </w:rPr>
        <w:instrText xml:space="preserve"> PAGEREF _Toc112877045 \h </w:instrText>
      </w:r>
      <w:r>
        <w:rPr>
          <w:noProof/>
        </w:rPr>
      </w:r>
      <w:r>
        <w:rPr>
          <w:noProof/>
        </w:rPr>
        <w:fldChar w:fldCharType="separate"/>
      </w:r>
      <w:r w:rsidR="00C9792F">
        <w:rPr>
          <w:noProof/>
        </w:rPr>
        <w:t>29</w:t>
      </w:r>
      <w:r>
        <w:rPr>
          <w:noProof/>
        </w:rPr>
        <w:fldChar w:fldCharType="end"/>
      </w:r>
    </w:p>
    <w:p w14:paraId="37F9E495" w14:textId="2998B765" w:rsidR="003964F2" w:rsidRDefault="0063518A" w:rsidP="003964F2">
      <w:pPr>
        <w:pStyle w:val="BodyText"/>
        <w:rPr>
          <w:noProof/>
        </w:rPr>
      </w:pPr>
      <w:r>
        <w:rPr>
          <w:noProof/>
        </w:rPr>
        <w:fldChar w:fldCharType="end"/>
      </w:r>
    </w:p>
    <w:p w14:paraId="08C2F95B" w14:textId="29229EB3" w:rsidR="003964F2" w:rsidRDefault="00BF3F75" w:rsidP="00CA2219">
      <w:pPr>
        <w:pStyle w:val="TOCHeading"/>
        <w:rPr>
          <w:noProof/>
        </w:rPr>
      </w:pPr>
      <w:bookmarkStart w:id="16" w:name="Text_Tables"/>
      <w:r>
        <w:rPr>
          <w:noProof/>
        </w:rPr>
        <w:t xml:space="preserve">List of </w:t>
      </w:r>
      <w:r w:rsidR="003964F2">
        <w:rPr>
          <w:noProof/>
        </w:rPr>
        <w:t>Tables</w:t>
      </w:r>
      <w:bookmarkEnd w:id="16"/>
    </w:p>
    <w:p w14:paraId="3E482F4A" w14:textId="77777777" w:rsidR="008C26FB" w:rsidRDefault="003964F2">
      <w:pPr>
        <w:pStyle w:val="TableofFigures"/>
        <w:rPr>
          <w:rFonts w:eastAsiaTheme="minorEastAsia"/>
          <w:noProof/>
          <w:kern w:val="0"/>
          <w:sz w:val="22"/>
          <w:szCs w:val="22"/>
        </w:rPr>
      </w:pPr>
      <w:r>
        <w:rPr>
          <w:noProof/>
        </w:rPr>
        <w:fldChar w:fldCharType="begin"/>
      </w:r>
      <w:r>
        <w:rPr>
          <w:noProof/>
        </w:rPr>
        <w:instrText xml:space="preserve"> TOC \z \c "Table" </w:instrText>
      </w:r>
      <w:r>
        <w:rPr>
          <w:noProof/>
        </w:rPr>
        <w:fldChar w:fldCharType="separate"/>
      </w:r>
      <w:r w:rsidR="008C26FB">
        <w:rPr>
          <w:noProof/>
        </w:rPr>
        <w:t>Table 1: FEMA Vertical Accuracy Requirements for Leveraged Data</w:t>
      </w:r>
      <w:r w:rsidR="008C26FB">
        <w:rPr>
          <w:noProof/>
          <w:webHidden/>
        </w:rPr>
        <w:tab/>
      </w:r>
      <w:r w:rsidR="008C26FB">
        <w:rPr>
          <w:noProof/>
          <w:webHidden/>
        </w:rPr>
        <w:fldChar w:fldCharType="begin"/>
      </w:r>
      <w:r w:rsidR="008C26FB">
        <w:rPr>
          <w:noProof/>
          <w:webHidden/>
        </w:rPr>
        <w:instrText xml:space="preserve"> PAGEREF _Toc112877046 \h </w:instrText>
      </w:r>
      <w:r w:rsidR="008C26FB">
        <w:rPr>
          <w:noProof/>
          <w:webHidden/>
        </w:rPr>
      </w:r>
      <w:r w:rsidR="008C26FB">
        <w:rPr>
          <w:noProof/>
          <w:webHidden/>
        </w:rPr>
        <w:fldChar w:fldCharType="separate"/>
      </w:r>
      <w:r w:rsidR="00C9792F">
        <w:rPr>
          <w:noProof/>
          <w:webHidden/>
        </w:rPr>
        <w:t>4</w:t>
      </w:r>
      <w:r w:rsidR="008C26FB">
        <w:rPr>
          <w:noProof/>
          <w:webHidden/>
        </w:rPr>
        <w:fldChar w:fldCharType="end"/>
      </w:r>
    </w:p>
    <w:p w14:paraId="724B10AF" w14:textId="77777777" w:rsidR="008C26FB" w:rsidRDefault="008C26FB">
      <w:pPr>
        <w:pStyle w:val="TableofFigures"/>
        <w:rPr>
          <w:rFonts w:eastAsiaTheme="minorEastAsia"/>
          <w:noProof/>
          <w:kern w:val="0"/>
          <w:sz w:val="22"/>
          <w:szCs w:val="22"/>
        </w:rPr>
      </w:pPr>
      <w:r>
        <w:rPr>
          <w:noProof/>
        </w:rPr>
        <w:t>Table 2: LiDAR Topographic Data Available for the Yellow House Draw Watershed</w:t>
      </w:r>
      <w:r>
        <w:rPr>
          <w:noProof/>
          <w:webHidden/>
        </w:rPr>
        <w:tab/>
      </w:r>
      <w:r>
        <w:rPr>
          <w:noProof/>
          <w:webHidden/>
        </w:rPr>
        <w:fldChar w:fldCharType="begin"/>
      </w:r>
      <w:r>
        <w:rPr>
          <w:noProof/>
          <w:webHidden/>
        </w:rPr>
        <w:instrText xml:space="preserve"> PAGEREF _Toc112877047 \h </w:instrText>
      </w:r>
      <w:r>
        <w:rPr>
          <w:noProof/>
          <w:webHidden/>
        </w:rPr>
      </w:r>
      <w:r>
        <w:rPr>
          <w:noProof/>
          <w:webHidden/>
        </w:rPr>
        <w:fldChar w:fldCharType="separate"/>
      </w:r>
      <w:r w:rsidR="00C9792F">
        <w:rPr>
          <w:noProof/>
          <w:webHidden/>
        </w:rPr>
        <w:t>5</w:t>
      </w:r>
      <w:r>
        <w:rPr>
          <w:noProof/>
          <w:webHidden/>
        </w:rPr>
        <w:fldChar w:fldCharType="end"/>
      </w:r>
    </w:p>
    <w:p w14:paraId="44CBEB81" w14:textId="77777777" w:rsidR="008C26FB" w:rsidRDefault="008C26FB">
      <w:pPr>
        <w:pStyle w:val="TableofFigures"/>
        <w:rPr>
          <w:rFonts w:eastAsiaTheme="minorEastAsia"/>
          <w:noProof/>
          <w:kern w:val="0"/>
          <w:sz w:val="22"/>
          <w:szCs w:val="22"/>
        </w:rPr>
      </w:pPr>
      <w:r>
        <w:rPr>
          <w:noProof/>
        </w:rPr>
        <w:t>Table 3: Land Use(LU)-Soils-CN Matrix for Defining Initial Curve Number</w:t>
      </w:r>
      <w:r>
        <w:rPr>
          <w:noProof/>
          <w:webHidden/>
        </w:rPr>
        <w:tab/>
      </w:r>
      <w:r>
        <w:rPr>
          <w:noProof/>
          <w:webHidden/>
        </w:rPr>
        <w:fldChar w:fldCharType="begin"/>
      </w:r>
      <w:r>
        <w:rPr>
          <w:noProof/>
          <w:webHidden/>
        </w:rPr>
        <w:instrText xml:space="preserve"> PAGEREF _Toc112877048 \h </w:instrText>
      </w:r>
      <w:r>
        <w:rPr>
          <w:noProof/>
          <w:webHidden/>
        </w:rPr>
      </w:r>
      <w:r>
        <w:rPr>
          <w:noProof/>
          <w:webHidden/>
        </w:rPr>
        <w:fldChar w:fldCharType="separate"/>
      </w:r>
      <w:r w:rsidR="00C9792F">
        <w:rPr>
          <w:noProof/>
          <w:webHidden/>
        </w:rPr>
        <w:t>9</w:t>
      </w:r>
      <w:r>
        <w:rPr>
          <w:noProof/>
          <w:webHidden/>
        </w:rPr>
        <w:fldChar w:fldCharType="end"/>
      </w:r>
    </w:p>
    <w:p w14:paraId="5E169D49" w14:textId="77777777" w:rsidR="008C26FB" w:rsidRDefault="008C26FB">
      <w:pPr>
        <w:pStyle w:val="TableofFigures"/>
        <w:rPr>
          <w:rFonts w:eastAsiaTheme="minorEastAsia"/>
          <w:noProof/>
          <w:kern w:val="0"/>
          <w:sz w:val="22"/>
          <w:szCs w:val="22"/>
        </w:rPr>
      </w:pPr>
      <w:r>
        <w:rPr>
          <w:noProof/>
        </w:rPr>
        <w:t>Table 4: Rainfall-Runoff Curve Numbers</w:t>
      </w:r>
      <w:r>
        <w:rPr>
          <w:noProof/>
          <w:webHidden/>
        </w:rPr>
        <w:tab/>
      </w:r>
      <w:r>
        <w:rPr>
          <w:noProof/>
          <w:webHidden/>
        </w:rPr>
        <w:fldChar w:fldCharType="begin"/>
      </w:r>
      <w:r>
        <w:rPr>
          <w:noProof/>
          <w:webHidden/>
        </w:rPr>
        <w:instrText xml:space="preserve"> PAGEREF _Toc112877049 \h </w:instrText>
      </w:r>
      <w:r>
        <w:rPr>
          <w:noProof/>
          <w:webHidden/>
        </w:rPr>
      </w:r>
      <w:r>
        <w:rPr>
          <w:noProof/>
          <w:webHidden/>
        </w:rPr>
        <w:fldChar w:fldCharType="separate"/>
      </w:r>
      <w:r w:rsidR="00C9792F">
        <w:rPr>
          <w:noProof/>
          <w:webHidden/>
        </w:rPr>
        <w:t>10</w:t>
      </w:r>
      <w:r>
        <w:rPr>
          <w:noProof/>
          <w:webHidden/>
        </w:rPr>
        <w:fldChar w:fldCharType="end"/>
      </w:r>
    </w:p>
    <w:p w14:paraId="249CE92A" w14:textId="77777777" w:rsidR="008C26FB" w:rsidRDefault="008C26FB">
      <w:pPr>
        <w:pStyle w:val="TableofFigures"/>
        <w:rPr>
          <w:rFonts w:eastAsiaTheme="minorEastAsia"/>
          <w:noProof/>
          <w:kern w:val="0"/>
          <w:sz w:val="22"/>
          <w:szCs w:val="22"/>
        </w:rPr>
      </w:pPr>
      <w:r>
        <w:rPr>
          <w:noProof/>
        </w:rPr>
        <w:t>Table 5: Precipitation Totals estimated in HEC-HMS (post ARF)</w:t>
      </w:r>
      <w:r>
        <w:rPr>
          <w:noProof/>
          <w:webHidden/>
        </w:rPr>
        <w:tab/>
      </w:r>
      <w:r>
        <w:rPr>
          <w:noProof/>
          <w:webHidden/>
        </w:rPr>
        <w:fldChar w:fldCharType="begin"/>
      </w:r>
      <w:r>
        <w:rPr>
          <w:noProof/>
          <w:webHidden/>
        </w:rPr>
        <w:instrText xml:space="preserve"> PAGEREF _Toc112877050 \h </w:instrText>
      </w:r>
      <w:r>
        <w:rPr>
          <w:noProof/>
          <w:webHidden/>
        </w:rPr>
      </w:r>
      <w:r>
        <w:rPr>
          <w:noProof/>
          <w:webHidden/>
        </w:rPr>
        <w:fldChar w:fldCharType="separate"/>
      </w:r>
      <w:r w:rsidR="00C9792F">
        <w:rPr>
          <w:noProof/>
          <w:webHidden/>
        </w:rPr>
        <w:t>11</w:t>
      </w:r>
      <w:r>
        <w:rPr>
          <w:noProof/>
          <w:webHidden/>
        </w:rPr>
        <w:fldChar w:fldCharType="end"/>
      </w:r>
    </w:p>
    <w:p w14:paraId="32A9BC76" w14:textId="77777777" w:rsidR="008C26FB" w:rsidRDefault="008C26FB">
      <w:pPr>
        <w:pStyle w:val="TableofFigures"/>
        <w:rPr>
          <w:rFonts w:eastAsiaTheme="minorEastAsia"/>
          <w:noProof/>
          <w:kern w:val="0"/>
          <w:sz w:val="22"/>
          <w:szCs w:val="22"/>
        </w:rPr>
      </w:pPr>
      <w:r>
        <w:rPr>
          <w:noProof/>
        </w:rPr>
        <w:t>Table 6: Total Excess Precipitation Applied to 2D Mesh</w:t>
      </w:r>
      <w:r>
        <w:rPr>
          <w:noProof/>
          <w:webHidden/>
        </w:rPr>
        <w:tab/>
      </w:r>
      <w:r>
        <w:rPr>
          <w:noProof/>
          <w:webHidden/>
        </w:rPr>
        <w:fldChar w:fldCharType="begin"/>
      </w:r>
      <w:r>
        <w:rPr>
          <w:noProof/>
          <w:webHidden/>
        </w:rPr>
        <w:instrText xml:space="preserve"> PAGEREF _Toc112877051 \h </w:instrText>
      </w:r>
      <w:r>
        <w:rPr>
          <w:noProof/>
          <w:webHidden/>
        </w:rPr>
      </w:r>
      <w:r>
        <w:rPr>
          <w:noProof/>
          <w:webHidden/>
        </w:rPr>
        <w:fldChar w:fldCharType="separate"/>
      </w:r>
      <w:r w:rsidR="00C9792F">
        <w:rPr>
          <w:noProof/>
          <w:webHidden/>
        </w:rPr>
        <w:t>11</w:t>
      </w:r>
      <w:r>
        <w:rPr>
          <w:noProof/>
          <w:webHidden/>
        </w:rPr>
        <w:fldChar w:fldCharType="end"/>
      </w:r>
    </w:p>
    <w:p w14:paraId="34AFCA4B" w14:textId="77777777" w:rsidR="008C26FB" w:rsidRDefault="008C26FB">
      <w:pPr>
        <w:pStyle w:val="TableofFigures"/>
        <w:rPr>
          <w:rFonts w:eastAsiaTheme="minorEastAsia"/>
          <w:noProof/>
          <w:kern w:val="0"/>
          <w:sz w:val="22"/>
          <w:szCs w:val="22"/>
        </w:rPr>
      </w:pPr>
      <w:r>
        <w:rPr>
          <w:noProof/>
        </w:rPr>
        <w:t>Table 7: NLCD 2019 Manning's n Roughness Matrix</w:t>
      </w:r>
      <w:r>
        <w:rPr>
          <w:noProof/>
          <w:webHidden/>
        </w:rPr>
        <w:tab/>
      </w:r>
      <w:r>
        <w:rPr>
          <w:noProof/>
          <w:webHidden/>
        </w:rPr>
        <w:fldChar w:fldCharType="begin"/>
      </w:r>
      <w:r>
        <w:rPr>
          <w:noProof/>
          <w:webHidden/>
        </w:rPr>
        <w:instrText xml:space="preserve"> PAGEREF _Toc112877052 \h </w:instrText>
      </w:r>
      <w:r>
        <w:rPr>
          <w:noProof/>
          <w:webHidden/>
        </w:rPr>
      </w:r>
      <w:r>
        <w:rPr>
          <w:noProof/>
          <w:webHidden/>
        </w:rPr>
        <w:fldChar w:fldCharType="separate"/>
      </w:r>
      <w:r w:rsidR="00C9792F">
        <w:rPr>
          <w:noProof/>
          <w:webHidden/>
        </w:rPr>
        <w:t>17</w:t>
      </w:r>
      <w:r>
        <w:rPr>
          <w:noProof/>
          <w:webHidden/>
        </w:rPr>
        <w:fldChar w:fldCharType="end"/>
      </w:r>
    </w:p>
    <w:p w14:paraId="56F06767" w14:textId="77777777" w:rsidR="008C26FB" w:rsidRDefault="008C26FB">
      <w:pPr>
        <w:pStyle w:val="TableofFigures"/>
        <w:rPr>
          <w:rFonts w:eastAsiaTheme="minorEastAsia"/>
          <w:noProof/>
          <w:kern w:val="0"/>
          <w:sz w:val="22"/>
          <w:szCs w:val="22"/>
        </w:rPr>
      </w:pPr>
      <w:r>
        <w:rPr>
          <w:noProof/>
        </w:rPr>
        <w:t>Table 8: Communities with 2D Mesh Refinement</w:t>
      </w:r>
      <w:r>
        <w:rPr>
          <w:noProof/>
          <w:webHidden/>
        </w:rPr>
        <w:tab/>
      </w:r>
      <w:r>
        <w:rPr>
          <w:noProof/>
          <w:webHidden/>
        </w:rPr>
        <w:fldChar w:fldCharType="begin"/>
      </w:r>
      <w:r>
        <w:rPr>
          <w:noProof/>
          <w:webHidden/>
        </w:rPr>
        <w:instrText xml:space="preserve"> PAGEREF _Toc112877053 \h </w:instrText>
      </w:r>
      <w:r>
        <w:rPr>
          <w:noProof/>
          <w:webHidden/>
        </w:rPr>
      </w:r>
      <w:r>
        <w:rPr>
          <w:noProof/>
          <w:webHidden/>
        </w:rPr>
        <w:fldChar w:fldCharType="separate"/>
      </w:r>
      <w:r w:rsidR="00C9792F">
        <w:rPr>
          <w:noProof/>
          <w:webHidden/>
        </w:rPr>
        <w:t>19</w:t>
      </w:r>
      <w:r>
        <w:rPr>
          <w:noProof/>
          <w:webHidden/>
        </w:rPr>
        <w:fldChar w:fldCharType="end"/>
      </w:r>
    </w:p>
    <w:p w14:paraId="5FBBB12F" w14:textId="77777777" w:rsidR="008C26FB" w:rsidRDefault="008C26FB">
      <w:pPr>
        <w:pStyle w:val="TableofFigures"/>
        <w:rPr>
          <w:rFonts w:eastAsiaTheme="minorEastAsia"/>
          <w:noProof/>
          <w:kern w:val="0"/>
          <w:sz w:val="22"/>
          <w:szCs w:val="22"/>
        </w:rPr>
      </w:pPr>
      <w:r>
        <w:rPr>
          <w:noProof/>
        </w:rPr>
        <w:t>Table 9: Calibration Results</w:t>
      </w:r>
      <w:r>
        <w:rPr>
          <w:noProof/>
          <w:webHidden/>
        </w:rPr>
        <w:tab/>
      </w:r>
      <w:r>
        <w:rPr>
          <w:noProof/>
          <w:webHidden/>
        </w:rPr>
        <w:fldChar w:fldCharType="begin"/>
      </w:r>
      <w:r>
        <w:rPr>
          <w:noProof/>
          <w:webHidden/>
        </w:rPr>
        <w:instrText xml:space="preserve"> PAGEREF _Toc112877054 \h </w:instrText>
      </w:r>
      <w:r>
        <w:rPr>
          <w:noProof/>
          <w:webHidden/>
        </w:rPr>
      </w:r>
      <w:r>
        <w:rPr>
          <w:noProof/>
          <w:webHidden/>
        </w:rPr>
        <w:fldChar w:fldCharType="separate"/>
      </w:r>
      <w:r w:rsidR="00C9792F">
        <w:rPr>
          <w:noProof/>
          <w:webHidden/>
        </w:rPr>
        <w:t>22</w:t>
      </w:r>
      <w:r>
        <w:rPr>
          <w:noProof/>
          <w:webHidden/>
        </w:rPr>
        <w:fldChar w:fldCharType="end"/>
      </w:r>
    </w:p>
    <w:p w14:paraId="3E893EF4" w14:textId="77777777" w:rsidR="008C26FB" w:rsidRDefault="008C26FB">
      <w:pPr>
        <w:pStyle w:val="TableofFigures"/>
        <w:rPr>
          <w:rFonts w:eastAsiaTheme="minorEastAsia"/>
          <w:noProof/>
          <w:kern w:val="0"/>
          <w:sz w:val="22"/>
          <w:szCs w:val="22"/>
        </w:rPr>
      </w:pPr>
      <w:r>
        <w:rPr>
          <w:noProof/>
        </w:rPr>
        <w:t>Table 10: Mapping Threshold Matrix</w:t>
      </w:r>
      <w:r>
        <w:rPr>
          <w:noProof/>
          <w:webHidden/>
        </w:rPr>
        <w:tab/>
      </w:r>
      <w:r>
        <w:rPr>
          <w:noProof/>
          <w:webHidden/>
        </w:rPr>
        <w:fldChar w:fldCharType="begin"/>
      </w:r>
      <w:r>
        <w:rPr>
          <w:noProof/>
          <w:webHidden/>
        </w:rPr>
        <w:instrText xml:space="preserve"> PAGEREF _Toc112877055 \h </w:instrText>
      </w:r>
      <w:r>
        <w:rPr>
          <w:noProof/>
          <w:webHidden/>
        </w:rPr>
      </w:r>
      <w:r>
        <w:rPr>
          <w:noProof/>
          <w:webHidden/>
        </w:rPr>
        <w:fldChar w:fldCharType="separate"/>
      </w:r>
      <w:r w:rsidR="00C9792F">
        <w:rPr>
          <w:noProof/>
          <w:webHidden/>
        </w:rPr>
        <w:t>24</w:t>
      </w:r>
      <w:r>
        <w:rPr>
          <w:noProof/>
          <w:webHidden/>
        </w:rPr>
        <w:fldChar w:fldCharType="end"/>
      </w:r>
    </w:p>
    <w:p w14:paraId="3240D92E" w14:textId="77777777" w:rsidR="008C26FB" w:rsidRDefault="008C26FB">
      <w:pPr>
        <w:pStyle w:val="TableofFigures"/>
        <w:rPr>
          <w:rFonts w:eastAsiaTheme="minorEastAsia"/>
          <w:noProof/>
          <w:kern w:val="0"/>
          <w:sz w:val="22"/>
          <w:szCs w:val="22"/>
        </w:rPr>
      </w:pPr>
      <w:r>
        <w:rPr>
          <w:noProof/>
        </w:rPr>
        <w:t>Table 11: Zone A Initial Assessment Results</w:t>
      </w:r>
      <w:r>
        <w:rPr>
          <w:noProof/>
          <w:webHidden/>
        </w:rPr>
        <w:tab/>
      </w:r>
      <w:r>
        <w:rPr>
          <w:noProof/>
          <w:webHidden/>
        </w:rPr>
        <w:fldChar w:fldCharType="begin"/>
      </w:r>
      <w:r>
        <w:rPr>
          <w:noProof/>
          <w:webHidden/>
        </w:rPr>
        <w:instrText xml:space="preserve"> PAGEREF _Toc112877056 \h </w:instrText>
      </w:r>
      <w:r>
        <w:rPr>
          <w:noProof/>
          <w:webHidden/>
        </w:rPr>
      </w:r>
      <w:r>
        <w:rPr>
          <w:noProof/>
          <w:webHidden/>
        </w:rPr>
        <w:fldChar w:fldCharType="separate"/>
      </w:r>
      <w:r w:rsidR="00C9792F">
        <w:rPr>
          <w:noProof/>
          <w:webHidden/>
        </w:rPr>
        <w:t>26</w:t>
      </w:r>
      <w:r>
        <w:rPr>
          <w:noProof/>
          <w:webHidden/>
        </w:rPr>
        <w:fldChar w:fldCharType="end"/>
      </w:r>
    </w:p>
    <w:p w14:paraId="7CD87893" w14:textId="77777777" w:rsidR="008C26FB" w:rsidRDefault="008C26FB">
      <w:pPr>
        <w:pStyle w:val="TableofFigures"/>
        <w:rPr>
          <w:rFonts w:eastAsiaTheme="minorEastAsia"/>
          <w:noProof/>
          <w:kern w:val="0"/>
          <w:sz w:val="22"/>
          <w:szCs w:val="22"/>
        </w:rPr>
      </w:pPr>
      <w:r>
        <w:rPr>
          <w:noProof/>
        </w:rPr>
        <w:t>Table 12: BLE Comparison Results</w:t>
      </w:r>
      <w:r>
        <w:rPr>
          <w:noProof/>
          <w:webHidden/>
        </w:rPr>
        <w:tab/>
      </w:r>
      <w:r>
        <w:rPr>
          <w:noProof/>
          <w:webHidden/>
        </w:rPr>
        <w:fldChar w:fldCharType="begin"/>
      </w:r>
      <w:r>
        <w:rPr>
          <w:noProof/>
          <w:webHidden/>
        </w:rPr>
        <w:instrText xml:space="preserve"> PAGEREF _Toc112877057 \h </w:instrText>
      </w:r>
      <w:r>
        <w:rPr>
          <w:noProof/>
          <w:webHidden/>
        </w:rPr>
      </w:r>
      <w:r>
        <w:rPr>
          <w:noProof/>
          <w:webHidden/>
        </w:rPr>
        <w:fldChar w:fldCharType="separate"/>
      </w:r>
      <w:r w:rsidR="00C9792F">
        <w:rPr>
          <w:noProof/>
          <w:webHidden/>
        </w:rPr>
        <w:t>26</w:t>
      </w:r>
      <w:r>
        <w:rPr>
          <w:noProof/>
          <w:webHidden/>
        </w:rPr>
        <w:fldChar w:fldCharType="end"/>
      </w:r>
    </w:p>
    <w:p w14:paraId="17968874" w14:textId="77777777" w:rsidR="008C26FB" w:rsidRDefault="008C26FB">
      <w:pPr>
        <w:pStyle w:val="TableofFigures"/>
        <w:rPr>
          <w:rFonts w:eastAsiaTheme="minorEastAsia"/>
          <w:noProof/>
          <w:kern w:val="0"/>
          <w:sz w:val="22"/>
          <w:szCs w:val="22"/>
        </w:rPr>
      </w:pPr>
      <w:r>
        <w:rPr>
          <w:noProof/>
        </w:rPr>
        <w:t>Table 13: Zone A Validation Results</w:t>
      </w:r>
      <w:r>
        <w:rPr>
          <w:noProof/>
          <w:webHidden/>
        </w:rPr>
        <w:tab/>
      </w:r>
      <w:r>
        <w:rPr>
          <w:noProof/>
          <w:webHidden/>
        </w:rPr>
        <w:fldChar w:fldCharType="begin"/>
      </w:r>
      <w:r>
        <w:rPr>
          <w:noProof/>
          <w:webHidden/>
        </w:rPr>
        <w:instrText xml:space="preserve"> PAGEREF _Toc112877058 \h </w:instrText>
      </w:r>
      <w:r>
        <w:rPr>
          <w:noProof/>
          <w:webHidden/>
        </w:rPr>
      </w:r>
      <w:r>
        <w:rPr>
          <w:noProof/>
          <w:webHidden/>
        </w:rPr>
        <w:fldChar w:fldCharType="separate"/>
      </w:r>
      <w:r w:rsidR="00C9792F">
        <w:rPr>
          <w:noProof/>
          <w:webHidden/>
        </w:rPr>
        <w:t>27</w:t>
      </w:r>
      <w:r>
        <w:rPr>
          <w:noProof/>
          <w:webHidden/>
        </w:rPr>
        <w:fldChar w:fldCharType="end"/>
      </w:r>
    </w:p>
    <w:p w14:paraId="04FD96F2" w14:textId="77777777" w:rsidR="008C26FB" w:rsidRDefault="008C26FB">
      <w:pPr>
        <w:pStyle w:val="TableofFigures"/>
        <w:rPr>
          <w:rFonts w:eastAsiaTheme="minorEastAsia"/>
          <w:noProof/>
          <w:kern w:val="0"/>
          <w:sz w:val="22"/>
          <w:szCs w:val="22"/>
        </w:rPr>
      </w:pPr>
      <w:r>
        <w:rPr>
          <w:noProof/>
        </w:rPr>
        <w:t>Table 14: Hazus 5.1 Results for 1-Percent-Annual-Chance (100 year) Scenario</w:t>
      </w:r>
      <w:r>
        <w:rPr>
          <w:noProof/>
          <w:webHidden/>
        </w:rPr>
        <w:tab/>
      </w:r>
      <w:r>
        <w:rPr>
          <w:noProof/>
          <w:webHidden/>
        </w:rPr>
        <w:fldChar w:fldCharType="begin"/>
      </w:r>
      <w:r>
        <w:rPr>
          <w:noProof/>
          <w:webHidden/>
        </w:rPr>
        <w:instrText xml:space="preserve"> PAGEREF _Toc112877059 \h </w:instrText>
      </w:r>
      <w:r>
        <w:rPr>
          <w:noProof/>
          <w:webHidden/>
        </w:rPr>
      </w:r>
      <w:r>
        <w:rPr>
          <w:noProof/>
          <w:webHidden/>
        </w:rPr>
        <w:fldChar w:fldCharType="separate"/>
      </w:r>
      <w:r w:rsidR="00C9792F">
        <w:rPr>
          <w:noProof/>
          <w:webHidden/>
        </w:rPr>
        <w:t>30</w:t>
      </w:r>
      <w:r>
        <w:rPr>
          <w:noProof/>
          <w:webHidden/>
        </w:rPr>
        <w:fldChar w:fldCharType="end"/>
      </w:r>
    </w:p>
    <w:p w14:paraId="7447932B" w14:textId="2A3B86C6" w:rsidR="007935AD" w:rsidRDefault="003964F2" w:rsidP="003964F2">
      <w:pPr>
        <w:pStyle w:val="BodyText"/>
        <w:rPr>
          <w:noProof/>
        </w:rPr>
      </w:pPr>
      <w:r>
        <w:rPr>
          <w:noProof/>
        </w:rPr>
        <w:fldChar w:fldCharType="end"/>
      </w:r>
    </w:p>
    <w:p w14:paraId="78E5C770" w14:textId="77777777" w:rsidR="007935AD" w:rsidRDefault="007935AD" w:rsidP="000A14DC">
      <w:pPr>
        <w:rPr>
          <w:b/>
          <w:bCs/>
          <w:noProof/>
        </w:rPr>
        <w:sectPr w:rsidR="007935AD" w:rsidSect="0030437A">
          <w:headerReference w:type="default" r:id="rId11"/>
          <w:footerReference w:type="default" r:id="rId12"/>
          <w:pgSz w:w="12240" w:h="15840" w:code="9"/>
          <w:pgMar w:top="1134" w:right="1440" w:bottom="851" w:left="1440" w:header="709" w:footer="284" w:gutter="0"/>
          <w:cols w:space="708"/>
          <w:docGrid w:linePitch="360"/>
        </w:sectPr>
      </w:pPr>
    </w:p>
    <w:p w14:paraId="5C378A8B" w14:textId="77777777" w:rsidR="00CA2219" w:rsidRDefault="00CA2219" w:rsidP="00CA2219">
      <w:pPr>
        <w:pStyle w:val="Heading1"/>
        <w:numPr>
          <w:ilvl w:val="0"/>
          <w:numId w:val="21"/>
        </w:numPr>
      </w:pPr>
      <w:bookmarkStart w:id="17" w:name="_Toc29880992"/>
      <w:bookmarkStart w:id="18" w:name="_Toc80634257"/>
      <w:bookmarkStart w:id="19" w:name="BodyContent"/>
      <w:bookmarkStart w:id="20" w:name="_Toc112877060"/>
      <w:r>
        <w:lastRenderedPageBreak/>
        <w:t>Introduction</w:t>
      </w:r>
      <w:bookmarkEnd w:id="17"/>
      <w:bookmarkEnd w:id="18"/>
      <w:bookmarkEnd w:id="20"/>
    </w:p>
    <w:p w14:paraId="7F67C372" w14:textId="77777777" w:rsidR="002A75EF" w:rsidRDefault="002A75EF" w:rsidP="002A75EF">
      <w:pPr>
        <w:pStyle w:val="BodyText"/>
      </w:pPr>
      <w:r>
        <w:t>Base Level Engineering (BLE) provides technically credible flood data for various geographies - community, county, watershed and/or state level.  BLE data can be shared with Federal, State, local and tribal governments, this data sharing provides stakeholders at all levels the necessary data to make informed decisions to reduce future flood losses.  Without the mapping of flood prone areas, there can be a lack of information to effectively communicate flood risk to community officials, citizens, and businesses.</w:t>
      </w:r>
    </w:p>
    <w:p w14:paraId="4AC1F695" w14:textId="41D1557C" w:rsidR="002A75EF" w:rsidRDefault="002A75EF" w:rsidP="002A75EF">
      <w:pPr>
        <w:pStyle w:val="BodyText"/>
      </w:pPr>
      <w:r>
        <w:t>BLE is a riverine hydrologic and hydraulic modeling approach that builds on lessons learned to produce a baseline understanding of flood risk to communities, produced to support the assessment and maintenance of the national flood hazard inventory.  Engineering models are created during a BLE assessment, producing information that meets the mapping Standards for Flood Risk Projects (FEMA Policy Memo FP 204-078-1) to produce Zone A (1-percent-annual-chance flood) information.  BLE data is intended to represent the base level of investment needed for all flood study efforts FEMA wi</w:t>
      </w:r>
      <w:r w:rsidR="005F2149">
        <w:t xml:space="preserve">ll undertake.  The </w:t>
      </w:r>
      <w:r w:rsidR="00620F0E">
        <w:t>Yellow House Draw</w:t>
      </w:r>
      <w:r>
        <w:t xml:space="preserve"> </w:t>
      </w:r>
      <w:r w:rsidR="005C72F6">
        <w:t>w</w:t>
      </w:r>
      <w:r>
        <w:t xml:space="preserve">atershed BLE documented here was designed to use </w:t>
      </w:r>
      <w:r w:rsidR="00BA0E2B">
        <w:t>two-dimensional</w:t>
      </w:r>
      <w:r>
        <w:t xml:space="preserve"> (2D) modeling techniques with enhancements and calibration to develop products that can be communicated and shared with stakeholders, and transitioned into FEMA regulatory data development workflows.</w:t>
      </w:r>
    </w:p>
    <w:p w14:paraId="0E1D89E0" w14:textId="3A436E87" w:rsidR="002A75EF" w:rsidRDefault="002A75EF" w:rsidP="002A75EF">
      <w:pPr>
        <w:pStyle w:val="BodyText"/>
      </w:pPr>
      <w:r>
        <w:t>The intent of BLE is to provide communities technically credible flood hazard information in a cost efficient and timely manner.  Additionally, BLE provides communities a chance to review draft modeling information, reflecting the potential changes in risk within their community.  Providing additional flood risk datasets, like water surface elevation</w:t>
      </w:r>
      <w:r w:rsidR="00556934">
        <w:t xml:space="preserve"> (WSEL)</w:t>
      </w:r>
      <w:r>
        <w:t xml:space="preserve"> grids and flood depth grids, delivers alternative information that reinforces the variability of flood risk within a designated floodplain and supports historic community requests for a source to determine a Base Flood Elevation in Zone A areas. </w:t>
      </w:r>
    </w:p>
    <w:p w14:paraId="1E3EFE64" w14:textId="77777777" w:rsidR="002A75EF" w:rsidRDefault="002A75EF" w:rsidP="002A75EF">
      <w:pPr>
        <w:pStyle w:val="BodyText"/>
      </w:pPr>
      <w:r>
        <w:t>For floodplain management purposes, BLE data may be used as best available information in areas that are designated as Zone A floodplain.  It may also be used to regulate development in areas where no Special Flood Hazard Area (SFHA) has been mapped before.  Communities may adopt BLE data to support local regulations, which facilitates use of the data in local floodplain management activities, including in the post disaster environment where a need for updated and/or enhanced flood hazard information may be necessary.</w:t>
      </w:r>
    </w:p>
    <w:p w14:paraId="71B1F5A7" w14:textId="77777777" w:rsidR="002A75EF" w:rsidRDefault="002A75EF" w:rsidP="002A75EF">
      <w:pPr>
        <w:pStyle w:val="BodyText"/>
      </w:pPr>
      <w:r>
        <w:t xml:space="preserve">BLE provides information to communities who are currently unmapped and provides a digital entry to communities that are currently un-modernized.  BLE acts as a measuring tool to allow FEMA to assess the current Zone A inventory identified as unknown or unverified in FEMA’s Coordinated Needs Management Strategy (CNMS), which FEMA is required to evaluate once every five years, as described in Title 42 of the Code of Federal Regulations, Chapter III, Section 4101(e).  </w:t>
      </w:r>
      <w:r w:rsidRPr="00D35186">
        <w:t xml:space="preserve">FEMA makes this determination of flood hazard data validity by examining flood study attributes and change characteristics, as specified in the Validation Checklist of the Coordinated Needs Management Strategy (CNMS) Technical Reference. </w:t>
      </w:r>
      <w:r>
        <w:t xml:space="preserve"> </w:t>
      </w:r>
      <w:r w:rsidRPr="00D35186">
        <w:t xml:space="preserve">The CNMS Validation Checklist provides a series of critical and secondary checks to determine the validity of flood hazard areas studied by detailed methods (e.g., Zone AE, AH, or AO). </w:t>
      </w:r>
      <w:r>
        <w:t xml:space="preserve"> </w:t>
      </w:r>
      <w:r w:rsidRPr="00D35186">
        <w:t>While the critical and secondary elements in CNMS provide a comprehensive method of evaluating the validity of Zone AE studies, a cost-effective approach for evaluating Zone A studies has been lacking</w:t>
      </w:r>
      <w:r>
        <w:t>.  Another important goal of the BLE process is scalability of the results, meaning that the model produced during the BLE assessment may be refined to produce a more enhanced model with additional manual correction and on the ground survey.  If BLE modeling exists, FEMA will recommend that it be used as the base model for any detailed studies performed in those areas.</w:t>
      </w:r>
    </w:p>
    <w:p w14:paraId="5329F1C4" w14:textId="1E94245F" w:rsidR="002A75EF" w:rsidRDefault="002A75EF" w:rsidP="002A75EF">
      <w:pPr>
        <w:pStyle w:val="BodyText"/>
      </w:pPr>
      <w:r>
        <w:t>BLE practices leverage high-resolution topography that meets or exceeds the United States Geological Survey (USGS) 3-D Elevation Program</w:t>
      </w:r>
      <w:r w:rsidR="008C01E1">
        <w:t xml:space="preserve"> (3DEP)</w:t>
      </w:r>
      <w:r>
        <w:t xml:space="preserve"> standards and often applies flood engineering at a large scale as opposed to targeting stream reaches within a watershed.  BLE can be conducted at any scale, commonly for larger areas (</w:t>
      </w:r>
      <w:bookmarkStart w:id="21" w:name="_Hlk102076018"/>
      <w:r w:rsidR="00556934">
        <w:t>Hydrologic Unit Code (HUC)</w:t>
      </w:r>
      <w:bookmarkEnd w:id="21"/>
      <w:r w:rsidR="00556934">
        <w:t>-8 watershed</w:t>
      </w:r>
      <w:r>
        <w:t>) but may be produced at the county or local level too.  It is encouraged to do BLE for wider areas in order to build on efficiencies in modeling and ensure cost efficiency.  Using current technologies, multiple watersheds or watersheds with large land areas can be analyzed at a more efficient rate to produce water-surface elevations and site-specific hazard data replacing outdated flood studies shown in existing Flood Insurance Rate Maps (FIRMs).  All flood prone areas within a watershed will have an engineering model calculating multiple flood recurrence intervals and defining floodplains with elevation grids using high-resolution topography.</w:t>
      </w:r>
    </w:p>
    <w:p w14:paraId="0B2CCDD7" w14:textId="7D1EFDCD" w:rsidR="002A75EF" w:rsidRDefault="00556934" w:rsidP="002A75EF">
      <w:pPr>
        <w:pStyle w:val="BodyText"/>
      </w:pPr>
      <w:r>
        <w:lastRenderedPageBreak/>
        <w:t>Per standard identification SID #84 and #133</w:t>
      </w:r>
      <w:r w:rsidR="002A75EF">
        <w:t xml:space="preserve">, BLE will include all recurrence intervals (0.2-percent, 1-percent, 1-percent plus, 1-percent minus, 2-percent, 4-percent, and 10-percent-annual-chance floods).  As such, hydrologic and hydraulic analysis should be performed to determine the expected </w:t>
      </w:r>
      <w:r>
        <w:t>WSELs</w:t>
      </w:r>
      <w:r w:rsidR="002A75EF">
        <w:t xml:space="preserve"> for each of the seven recurrence intervals previously identified.</w:t>
      </w:r>
    </w:p>
    <w:p w14:paraId="27D7EE18" w14:textId="4F6A23A9" w:rsidR="00DC02A6" w:rsidRDefault="002A75EF" w:rsidP="002A75EF">
      <w:pPr>
        <w:pStyle w:val="BodyText"/>
      </w:pPr>
      <w:r w:rsidRPr="001F7B2E">
        <w:t xml:space="preserve">The </w:t>
      </w:r>
      <w:r w:rsidR="00AF679B">
        <w:t>Yellow House Draw</w:t>
      </w:r>
      <w:r w:rsidR="005F2149" w:rsidRPr="001F7B2E">
        <w:t xml:space="preserve"> </w:t>
      </w:r>
      <w:r w:rsidR="005C72F6">
        <w:t>w</w:t>
      </w:r>
      <w:r w:rsidRPr="001F7B2E">
        <w:t xml:space="preserve">atershed 2D BLE project was scoped as described in the </w:t>
      </w:r>
      <w:r w:rsidR="00556934" w:rsidRPr="001F7B2E">
        <w:t>T</w:t>
      </w:r>
      <w:r w:rsidR="00556934">
        <w:t xml:space="preserve">exas </w:t>
      </w:r>
      <w:r w:rsidR="00556934" w:rsidRPr="001F7B2E">
        <w:t>W</w:t>
      </w:r>
      <w:r w:rsidR="00556934">
        <w:t xml:space="preserve">ater </w:t>
      </w:r>
      <w:r w:rsidR="00556934" w:rsidRPr="001F7B2E">
        <w:t>D</w:t>
      </w:r>
      <w:r w:rsidR="00556934">
        <w:t xml:space="preserve">evelopment </w:t>
      </w:r>
      <w:r w:rsidR="00556934" w:rsidRPr="001F7B2E">
        <w:t>B</w:t>
      </w:r>
      <w:r w:rsidR="00556934">
        <w:t>oard (TWDB)</w:t>
      </w:r>
      <w:r w:rsidR="00556934" w:rsidRPr="001F7B2E">
        <w:t xml:space="preserve"> </w:t>
      </w:r>
      <w:r w:rsidR="0022440D" w:rsidRPr="001F7B2E">
        <w:t xml:space="preserve"> Task Order </w:t>
      </w:r>
      <w:r w:rsidR="00AF679B">
        <w:t>11</w:t>
      </w:r>
      <w:r w:rsidR="0022440D" w:rsidRPr="001F7B2E">
        <w:t xml:space="preserve">. </w:t>
      </w:r>
      <w:r w:rsidRPr="00DD6986">
        <w:t>In an effort to increase and enhance the flood risk products in Texas</w:t>
      </w:r>
      <w:r>
        <w:t xml:space="preserve">, the study was contracted through </w:t>
      </w:r>
      <w:r w:rsidRPr="00DD6986">
        <w:t>the TWDB</w:t>
      </w:r>
      <w:r>
        <w:t>’s Cooperative Technical Partner (CTP) program</w:t>
      </w:r>
      <w:r w:rsidRPr="00DD6986">
        <w:t xml:space="preserve"> to AECOM Technical Services, Inc</w:t>
      </w:r>
      <w:r>
        <w:t xml:space="preserve">.  </w:t>
      </w:r>
      <w:r w:rsidRPr="00DC02A6">
        <w:t xml:space="preserve">This report documents the BLE process, products, and results for this watershed.  </w:t>
      </w:r>
      <w:r>
        <w:fldChar w:fldCharType="begin"/>
      </w:r>
      <w:r>
        <w:instrText xml:space="preserve"> REF _Ref61247089 \h </w:instrText>
      </w:r>
      <w:r>
        <w:fldChar w:fldCharType="separate"/>
      </w:r>
      <w:r w:rsidR="00C9792F">
        <w:t xml:space="preserve">Figure </w:t>
      </w:r>
      <w:r w:rsidR="00C9792F">
        <w:rPr>
          <w:noProof/>
        </w:rPr>
        <w:t>1</w:t>
      </w:r>
      <w:r>
        <w:fldChar w:fldCharType="end"/>
      </w:r>
      <w:r>
        <w:t xml:space="preserve"> </w:t>
      </w:r>
      <w:r w:rsidRPr="00DC02A6">
        <w:t xml:space="preserve">depicts the </w:t>
      </w:r>
      <w:r w:rsidR="00AF679B">
        <w:t>Yellow House Draw</w:t>
      </w:r>
      <w:r w:rsidR="000B4D21">
        <w:t xml:space="preserve"> </w:t>
      </w:r>
      <w:r w:rsidR="005C72F6">
        <w:t>w</w:t>
      </w:r>
      <w:r w:rsidRPr="00DC02A6">
        <w:t>atershed footprint</w:t>
      </w:r>
      <w:r w:rsidR="00A43B21">
        <w:t xml:space="preserve"> clipped to the Texas-New Mexico boundary</w:t>
      </w:r>
      <w:r w:rsidRPr="00DC02A6">
        <w:t>.</w:t>
      </w:r>
    </w:p>
    <w:p w14:paraId="21D5CE2F" w14:textId="12630724" w:rsidR="00DC02A6" w:rsidRDefault="003861EC" w:rsidP="00FD3A8D">
      <w:pPr>
        <w:pStyle w:val="BodyText"/>
        <w:keepNext/>
        <w:jc w:val="center"/>
      </w:pPr>
      <w:r>
        <w:rPr>
          <w:noProof/>
        </w:rPr>
        <w:drawing>
          <wp:inline distT="0" distB="0" distL="0" distR="0" wp14:anchorId="52C7B799" wp14:editId="6AABE72D">
            <wp:extent cx="4695825" cy="607698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700079" cy="6082485"/>
                    </a:xfrm>
                    <a:prstGeom prst="rect">
                      <a:avLst/>
                    </a:prstGeom>
                    <a:noFill/>
                    <a:ln>
                      <a:noFill/>
                    </a:ln>
                  </pic:spPr>
                </pic:pic>
              </a:graphicData>
            </a:graphic>
          </wp:inline>
        </w:drawing>
      </w:r>
    </w:p>
    <w:p w14:paraId="2253B525" w14:textId="3E6E6811" w:rsidR="00DC02A6" w:rsidRDefault="00DC02A6" w:rsidP="00DC02A6">
      <w:pPr>
        <w:pStyle w:val="Caption"/>
        <w:jc w:val="center"/>
      </w:pPr>
      <w:bookmarkStart w:id="22" w:name="_Ref61247089"/>
      <w:bookmarkStart w:id="23" w:name="_Toc112877029"/>
      <w:r>
        <w:t xml:space="preserve">Figure </w:t>
      </w:r>
      <w:r>
        <w:fldChar w:fldCharType="begin"/>
      </w:r>
      <w:r>
        <w:instrText xml:space="preserve"> SEQ Figure \* ARABIC </w:instrText>
      </w:r>
      <w:r>
        <w:fldChar w:fldCharType="separate"/>
      </w:r>
      <w:r w:rsidR="00C9792F">
        <w:rPr>
          <w:noProof/>
        </w:rPr>
        <w:t>1</w:t>
      </w:r>
      <w:r>
        <w:fldChar w:fldCharType="end"/>
      </w:r>
      <w:bookmarkEnd w:id="22"/>
      <w:r>
        <w:t xml:space="preserve">: </w:t>
      </w:r>
      <w:r w:rsidR="00AF679B">
        <w:t>Yellow House Draw</w:t>
      </w:r>
      <w:r w:rsidR="004D511E">
        <w:t xml:space="preserve"> </w:t>
      </w:r>
      <w:r>
        <w:t>Watershed</w:t>
      </w:r>
      <w:bookmarkEnd w:id="23"/>
    </w:p>
    <w:p w14:paraId="00591EA4" w14:textId="77777777" w:rsidR="009F1D77" w:rsidRPr="009F1D77" w:rsidRDefault="009F1D77" w:rsidP="009F1D77">
      <w:pPr>
        <w:pStyle w:val="BodyText"/>
      </w:pPr>
    </w:p>
    <w:p w14:paraId="75F93704" w14:textId="77777777" w:rsidR="003B18BF" w:rsidRPr="00265A9E" w:rsidRDefault="00B225CE" w:rsidP="00CA2219">
      <w:pPr>
        <w:pStyle w:val="Heading1"/>
        <w:numPr>
          <w:ilvl w:val="0"/>
          <w:numId w:val="21"/>
        </w:numPr>
      </w:pPr>
      <w:bookmarkStart w:id="24" w:name="_Toc112877061"/>
      <w:r w:rsidRPr="00265A9E">
        <w:lastRenderedPageBreak/>
        <w:t>2D BLE M</w:t>
      </w:r>
      <w:r w:rsidR="00E413BF">
        <w:t>odeling Inputs and Controls</w:t>
      </w:r>
      <w:bookmarkEnd w:id="24"/>
    </w:p>
    <w:p w14:paraId="74C0928E" w14:textId="0D2CE166" w:rsidR="002B752A" w:rsidRPr="002B752A" w:rsidRDefault="002B752A" w:rsidP="002B752A">
      <w:pPr>
        <w:pStyle w:val="BodyText"/>
        <w:rPr>
          <w:b/>
          <w:color w:val="00B5E2" w:themeColor="accent1"/>
          <w:sz w:val="24"/>
        </w:rPr>
      </w:pPr>
      <w:r w:rsidRPr="002B752A">
        <w:t>Section 2 presents fundamental components required to execute a 2D hydraulic engineering analysis for the</w:t>
      </w:r>
      <w:r w:rsidR="00AF679B">
        <w:t xml:space="preserve"> Yellow House Draw</w:t>
      </w:r>
      <w:r w:rsidRPr="002B752A">
        <w:rPr>
          <w:color w:val="FF0000"/>
        </w:rPr>
        <w:t xml:space="preserve"> </w:t>
      </w:r>
      <w:r w:rsidR="005C72F6" w:rsidRPr="005C72F6">
        <w:t>w</w:t>
      </w:r>
      <w:r w:rsidRPr="002B752A">
        <w:t xml:space="preserve">atershed.  Inputs such as elevation data, hydrology from rain-on-grid and inflow hydrographs, and hydraulic analyses and variables are defined herein.  HEC-RAS </w:t>
      </w:r>
      <w:r w:rsidR="00AF679B">
        <w:t>6</w:t>
      </w:r>
      <w:r w:rsidRPr="002B752A">
        <w:t>.</w:t>
      </w:r>
      <w:r w:rsidR="00AF679B">
        <w:t>1</w:t>
      </w:r>
      <w:r w:rsidRPr="002B752A">
        <w:t xml:space="preserve"> rain-on-grid utility was applied in the production of the 2D BLE products produced for this watershed. </w:t>
      </w:r>
    </w:p>
    <w:p w14:paraId="1AC354CA" w14:textId="59B3E854" w:rsidR="00E413BF" w:rsidRDefault="00E413BF" w:rsidP="002B752A">
      <w:pPr>
        <w:pStyle w:val="Heading2"/>
      </w:pPr>
      <w:bookmarkStart w:id="25" w:name="_Toc112877062"/>
      <w:r>
        <w:t>T</w:t>
      </w:r>
      <w:r w:rsidR="00901BD9">
        <w:t>opographic Data</w:t>
      </w:r>
      <w:bookmarkEnd w:id="25"/>
    </w:p>
    <w:p w14:paraId="52987EF5" w14:textId="5C1C00E3" w:rsidR="002B752A" w:rsidRPr="000A48CD" w:rsidRDefault="002B752A" w:rsidP="002B752A">
      <w:pPr>
        <w:pStyle w:val="BodyText"/>
      </w:pPr>
      <w:r w:rsidRPr="000A48CD">
        <w:t xml:space="preserve">A high resolution Digital Elevation Model (DEM) is a fundamental component for </w:t>
      </w:r>
      <w:r w:rsidR="0098555D">
        <w:t xml:space="preserve">2D </w:t>
      </w:r>
      <w:r w:rsidRPr="000A48CD">
        <w:t xml:space="preserve">engineering analyses by providing a detailed </w:t>
      </w:r>
      <w:r w:rsidRPr="001531A9">
        <w:t>representation of the surface for hydraulic routing through the model area.  As such, DEMs were developed for the</w:t>
      </w:r>
      <w:r w:rsidRPr="001531A9">
        <w:rPr>
          <w:color w:val="FF0000"/>
        </w:rPr>
        <w:t xml:space="preserve"> </w:t>
      </w:r>
      <w:r w:rsidR="00AF679B">
        <w:t>Yellow House Draw</w:t>
      </w:r>
      <w:r w:rsidRPr="000D40D1">
        <w:t xml:space="preserve"> </w:t>
      </w:r>
      <w:r w:rsidRPr="001531A9">
        <w:t xml:space="preserve">BLE project by leveraging available high resolution gridded elevation data derived from Light Detection and Ranging (LiDAR) collections throughout the States of </w:t>
      </w:r>
      <w:r w:rsidR="001531A9" w:rsidRPr="001531A9">
        <w:t>Texas</w:t>
      </w:r>
      <w:r w:rsidRPr="001531A9">
        <w:t>.</w:t>
      </w:r>
      <w:r w:rsidR="001531A9" w:rsidRPr="001531A9">
        <w:t xml:space="preserve"> </w:t>
      </w:r>
      <w:r w:rsidRPr="001531A9">
        <w:t>The</w:t>
      </w:r>
      <w:r w:rsidR="00DD0D67">
        <w:t xml:space="preserve"> 1 </w:t>
      </w:r>
      <w:r w:rsidR="003E390E">
        <w:t>meter</w:t>
      </w:r>
      <w:r w:rsidRPr="000A48CD">
        <w:t xml:space="preserve"> DEM developed to support the 2D BLE modeling and analysis, </w:t>
      </w:r>
      <w:r w:rsidRPr="000D40D1">
        <w:t xml:space="preserve">within the </w:t>
      </w:r>
      <w:r w:rsidR="00620F0E">
        <w:t>Yellow House Draw</w:t>
      </w:r>
      <w:r w:rsidRPr="000D40D1">
        <w:t xml:space="preserve"> </w:t>
      </w:r>
      <w:r w:rsidR="005C72F6">
        <w:t>w</w:t>
      </w:r>
      <w:r w:rsidRPr="000D40D1">
        <w:t>atershed</w:t>
      </w:r>
      <w:r w:rsidRPr="000A48CD">
        <w:t>, was executed using the following steps:</w:t>
      </w:r>
    </w:p>
    <w:p w14:paraId="3F4B51F9" w14:textId="77777777" w:rsidR="002B752A" w:rsidRPr="000A48CD" w:rsidRDefault="002B752A" w:rsidP="006C0F38">
      <w:pPr>
        <w:pStyle w:val="BodyText"/>
        <w:numPr>
          <w:ilvl w:val="0"/>
          <w:numId w:val="23"/>
        </w:numPr>
      </w:pPr>
      <w:r w:rsidRPr="000A48CD">
        <w:t>Available elevation data for the project area were inventoried and collected.</w:t>
      </w:r>
    </w:p>
    <w:p w14:paraId="4794968C" w14:textId="77777777" w:rsidR="002B752A" w:rsidRPr="000A48CD" w:rsidRDefault="002B752A" w:rsidP="006C0F38">
      <w:pPr>
        <w:pStyle w:val="BodyText"/>
        <w:numPr>
          <w:ilvl w:val="0"/>
          <w:numId w:val="23"/>
        </w:numPr>
      </w:pPr>
      <w:r w:rsidRPr="000A48CD">
        <w:t>Leveraged elevation data were evaluated and prioritized based on source vertical accuracy, year of collection, and resolution.</w:t>
      </w:r>
    </w:p>
    <w:p w14:paraId="2A605193" w14:textId="5F58178B" w:rsidR="002B752A" w:rsidRPr="000A48CD" w:rsidRDefault="002B752A" w:rsidP="006C0F38">
      <w:pPr>
        <w:pStyle w:val="BodyText"/>
        <w:numPr>
          <w:ilvl w:val="0"/>
          <w:numId w:val="23"/>
        </w:numPr>
      </w:pPr>
      <w:r w:rsidRPr="000A48CD">
        <w:t xml:space="preserve">Seamless DEMs were processed using </w:t>
      </w:r>
      <w:r w:rsidR="0098555D" w:rsidRPr="00004B8B">
        <w:rPr>
          <w:szCs w:val="22"/>
        </w:rPr>
        <w:t xml:space="preserve">Geographic Information Systems </w:t>
      </w:r>
      <w:r w:rsidR="0098555D">
        <w:rPr>
          <w:szCs w:val="22"/>
        </w:rPr>
        <w:t>(</w:t>
      </w:r>
      <w:r w:rsidR="0098555D" w:rsidRPr="000A48CD">
        <w:t>GIS</w:t>
      </w:r>
      <w:r w:rsidR="0098555D">
        <w:t>)</w:t>
      </w:r>
      <w:r w:rsidR="0098555D" w:rsidRPr="000A48CD">
        <w:t>.</w:t>
      </w:r>
    </w:p>
    <w:p w14:paraId="4C2650A3" w14:textId="77777777" w:rsidR="002B752A" w:rsidRPr="000A48CD" w:rsidRDefault="002B752A" w:rsidP="006C0F38">
      <w:pPr>
        <w:pStyle w:val="BodyText"/>
        <w:numPr>
          <w:ilvl w:val="0"/>
          <w:numId w:val="23"/>
        </w:numPr>
      </w:pPr>
      <w:r w:rsidRPr="000A48CD">
        <w:t xml:space="preserve">Quality was assured using quantitative and qualitative assessment.  </w:t>
      </w:r>
    </w:p>
    <w:p w14:paraId="74F06E0E" w14:textId="67A4E62F" w:rsidR="002B752A" w:rsidRPr="000A48CD" w:rsidRDefault="002B752A" w:rsidP="002B752A">
      <w:pPr>
        <w:pStyle w:val="BodyText"/>
      </w:pPr>
      <w:r w:rsidRPr="000A48CD">
        <w:t>Documentation regarding leveraged data including coverage, accuracy, acquisition dates, and source contact/agency are presented in the figures, tables and text within</w:t>
      </w:r>
      <w:r w:rsidR="00674855">
        <w:t xml:space="preserve"> Section </w:t>
      </w:r>
      <w:r w:rsidR="00674855">
        <w:rPr>
          <w:highlight w:val="yellow"/>
        </w:rPr>
        <w:fldChar w:fldCharType="begin"/>
      </w:r>
      <w:r w:rsidR="00674855">
        <w:instrText xml:space="preserve"> REF _Ref61591656 \r \h </w:instrText>
      </w:r>
      <w:r w:rsidR="00674855">
        <w:rPr>
          <w:highlight w:val="yellow"/>
        </w:rPr>
      </w:r>
      <w:r w:rsidR="00674855">
        <w:rPr>
          <w:highlight w:val="yellow"/>
        </w:rPr>
        <w:fldChar w:fldCharType="separate"/>
      </w:r>
      <w:r w:rsidR="00C9792F">
        <w:t>2.1.2</w:t>
      </w:r>
      <w:r w:rsidR="00674855">
        <w:rPr>
          <w:highlight w:val="yellow"/>
        </w:rPr>
        <w:fldChar w:fldCharType="end"/>
      </w:r>
      <w:r w:rsidRPr="000A48CD">
        <w:t xml:space="preserve">.  All vertical accuracy specifications were obtained from the metadata or survey reports provided with the leverage datasets.  All available metadata, survey reports, and other leverage documentation are included in </w:t>
      </w:r>
      <w:r w:rsidRPr="001531A9">
        <w:t>the FEMA Data Capture Technical Reference comp</w:t>
      </w:r>
      <w:r w:rsidR="00532CF0">
        <w:t xml:space="preserve">liant submittal content for the </w:t>
      </w:r>
      <w:r w:rsidR="00AF679B">
        <w:t>Yellow House Draw</w:t>
      </w:r>
      <w:r w:rsidRPr="001531A9">
        <w:rPr>
          <w:color w:val="FF0000"/>
        </w:rPr>
        <w:t xml:space="preserve"> </w:t>
      </w:r>
      <w:r w:rsidR="005C72F6" w:rsidRPr="005C72F6">
        <w:t>w</w:t>
      </w:r>
      <w:r w:rsidRPr="005C72F6">
        <w:t>atershed</w:t>
      </w:r>
      <w:r w:rsidRPr="001531A9">
        <w:t>.</w:t>
      </w:r>
    </w:p>
    <w:p w14:paraId="46BAFE0E" w14:textId="77777777" w:rsidR="00E413BF" w:rsidRDefault="00E413BF" w:rsidP="00E413BF">
      <w:pPr>
        <w:pStyle w:val="Heading3"/>
      </w:pPr>
      <w:bookmarkStart w:id="26" w:name="_Toc112877063"/>
      <w:r>
        <w:t>Inventory</w:t>
      </w:r>
      <w:bookmarkEnd w:id="26"/>
    </w:p>
    <w:p w14:paraId="0EB13961" w14:textId="1027DF68" w:rsidR="00A02D2F" w:rsidRDefault="00A02D2F" w:rsidP="00A02D2F">
      <w:pPr>
        <w:pStyle w:val="BodyText"/>
      </w:pPr>
      <w:r w:rsidRPr="000A48CD">
        <w:t xml:space="preserve">An inventory of existing topographic data was conducted for the </w:t>
      </w:r>
      <w:r w:rsidR="00AF679B">
        <w:t>Yellow House Draw</w:t>
      </w:r>
      <w:r w:rsidRPr="00187C37">
        <w:rPr>
          <w:color w:val="FF0000"/>
        </w:rPr>
        <w:t xml:space="preserve"> </w:t>
      </w:r>
      <w:r w:rsidRPr="000A48CD">
        <w:t xml:space="preserve">BLE </w:t>
      </w:r>
      <w:r w:rsidR="00187C37">
        <w:t>watershed</w:t>
      </w:r>
      <w:r w:rsidRPr="000A48CD">
        <w:t xml:space="preserve"> footprint.</w:t>
      </w:r>
      <w:r>
        <w:t xml:space="preserve"> </w:t>
      </w:r>
      <w:r w:rsidRPr="000A48CD">
        <w:t xml:space="preserve"> </w:t>
      </w:r>
      <w:r w:rsidR="00674855">
        <w:fldChar w:fldCharType="begin"/>
      </w:r>
      <w:r w:rsidR="00674855">
        <w:instrText xml:space="preserve"> REF _Ref61591734 \h </w:instrText>
      </w:r>
      <w:r w:rsidR="00674855">
        <w:fldChar w:fldCharType="separate"/>
      </w:r>
      <w:r w:rsidR="00C9792F">
        <w:t xml:space="preserve">Figure </w:t>
      </w:r>
      <w:r w:rsidR="00C9792F">
        <w:rPr>
          <w:noProof/>
        </w:rPr>
        <w:t>2</w:t>
      </w:r>
      <w:r w:rsidR="00674855">
        <w:fldChar w:fldCharType="end"/>
      </w:r>
      <w:r w:rsidR="00674855">
        <w:t xml:space="preserve"> </w:t>
      </w:r>
      <w:r w:rsidRPr="000A48CD">
        <w:t xml:space="preserve">depicts the datasets identified </w:t>
      </w:r>
      <w:r>
        <w:t>and</w:t>
      </w:r>
      <w:r w:rsidRPr="000A48CD">
        <w:t xml:space="preserve"> leveraged across the project area.  FEMA, N</w:t>
      </w:r>
      <w:r>
        <w:t xml:space="preserve">ational </w:t>
      </w:r>
      <w:r w:rsidRPr="000A48CD">
        <w:t>O</w:t>
      </w:r>
      <w:r>
        <w:t xml:space="preserve">ceanic and </w:t>
      </w:r>
      <w:r w:rsidRPr="000A48CD">
        <w:t>A</w:t>
      </w:r>
      <w:r>
        <w:t xml:space="preserve">tmospheric </w:t>
      </w:r>
      <w:r w:rsidRPr="000A48CD">
        <w:t>A</w:t>
      </w:r>
      <w:r>
        <w:t>dministration (NOAA)</w:t>
      </w:r>
      <w:r w:rsidRPr="000A48CD">
        <w:t xml:space="preserve">, </w:t>
      </w:r>
      <w:r w:rsidR="008C01E1">
        <w:t>USGS,</w:t>
      </w:r>
      <w:r w:rsidRPr="000A48CD">
        <w:t xml:space="preserve"> </w:t>
      </w:r>
      <w:r w:rsidR="008C01E1">
        <w:t xml:space="preserve">Texas Natural Resources Information System (TNRIS) </w:t>
      </w:r>
      <w:r w:rsidRPr="000A48CD">
        <w:t>and other State and Federal agencies were queried to build the inventory with the most current and available data sources.</w:t>
      </w:r>
    </w:p>
    <w:p w14:paraId="3FF2ECFE" w14:textId="29202D0C" w:rsidR="00A02D2F" w:rsidRDefault="003E390E" w:rsidP="00A02D2F">
      <w:pPr>
        <w:pStyle w:val="BodyText"/>
        <w:keepNext/>
        <w:jc w:val="center"/>
      </w:pPr>
      <w:r w:rsidRPr="00824936">
        <w:rPr>
          <w:noProof/>
        </w:rPr>
        <w:lastRenderedPageBreak/>
        <w:drawing>
          <wp:inline distT="0" distB="0" distL="0" distR="0" wp14:anchorId="526CF036" wp14:editId="32F0A126">
            <wp:extent cx="4031311" cy="3023483"/>
            <wp:effectExtent l="0" t="0" r="7620" b="571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cstate="print">
                      <a:extLst>
                        <a:ext uri="{28A0092B-C50C-407E-A947-70E740481C1C}">
                          <a14:useLocalDpi xmlns:a14="http://schemas.microsoft.com/office/drawing/2010/main" val="0"/>
                        </a:ext>
                      </a:extLst>
                    </a:blip>
                    <a:stretch>
                      <a:fillRect/>
                    </a:stretch>
                  </pic:blipFill>
                  <pic:spPr bwMode="auto">
                    <a:xfrm>
                      <a:off x="0" y="0"/>
                      <a:ext cx="4034030" cy="3025522"/>
                    </a:xfrm>
                    <a:prstGeom prst="rect">
                      <a:avLst/>
                    </a:prstGeom>
                    <a:ln>
                      <a:noFill/>
                    </a:ln>
                    <a:extLst>
                      <a:ext uri="{53640926-AAD7-44D8-BBD7-CCE9431645EC}">
                        <a14:shadowObscured xmlns:a14="http://schemas.microsoft.com/office/drawing/2010/main"/>
                      </a:ext>
                    </a:extLst>
                  </pic:spPr>
                </pic:pic>
              </a:graphicData>
            </a:graphic>
          </wp:inline>
        </w:drawing>
      </w:r>
    </w:p>
    <w:p w14:paraId="3C2E2B81" w14:textId="43D97CD5" w:rsidR="00EE179E" w:rsidRPr="00EE179E" w:rsidRDefault="00A02D2F" w:rsidP="00EE179E">
      <w:pPr>
        <w:pStyle w:val="Caption"/>
        <w:jc w:val="center"/>
      </w:pPr>
      <w:bookmarkStart w:id="27" w:name="_Ref61591734"/>
      <w:bookmarkStart w:id="28" w:name="_Toc112877030"/>
      <w:r>
        <w:t xml:space="preserve">Figure </w:t>
      </w:r>
      <w:r>
        <w:fldChar w:fldCharType="begin"/>
      </w:r>
      <w:r>
        <w:instrText xml:space="preserve"> SEQ Figure \* ARABIC </w:instrText>
      </w:r>
      <w:r>
        <w:fldChar w:fldCharType="separate"/>
      </w:r>
      <w:r w:rsidR="00C9792F">
        <w:rPr>
          <w:noProof/>
        </w:rPr>
        <w:t>2</w:t>
      </w:r>
      <w:r>
        <w:fldChar w:fldCharType="end"/>
      </w:r>
      <w:bookmarkEnd w:id="27"/>
      <w:r>
        <w:t xml:space="preserve">: </w:t>
      </w:r>
      <w:r w:rsidR="00AF679B">
        <w:t>Yellow House Draw</w:t>
      </w:r>
      <w:r w:rsidRPr="00674855">
        <w:rPr>
          <w:color w:val="FF0000"/>
        </w:rPr>
        <w:t xml:space="preserve"> </w:t>
      </w:r>
      <w:r>
        <w:t>Watershed BLE Source Terrain Data</w:t>
      </w:r>
      <w:bookmarkEnd w:id="28"/>
    </w:p>
    <w:p w14:paraId="60D02F66" w14:textId="77777777" w:rsidR="00E413BF" w:rsidRDefault="00E413BF" w:rsidP="00E413BF">
      <w:pPr>
        <w:pStyle w:val="Heading3"/>
      </w:pPr>
      <w:bookmarkStart w:id="29" w:name="_Ref61591656"/>
      <w:bookmarkStart w:id="30" w:name="_Toc112877064"/>
      <w:r>
        <w:t>Evaluation</w:t>
      </w:r>
      <w:bookmarkEnd w:id="29"/>
      <w:bookmarkEnd w:id="30"/>
    </w:p>
    <w:p w14:paraId="2DB745DB" w14:textId="77777777" w:rsidR="005269D3" w:rsidRPr="004D0A69" w:rsidRDefault="005269D3" w:rsidP="005269D3">
      <w:pPr>
        <w:pStyle w:val="BodyText"/>
      </w:pPr>
      <w:r w:rsidRPr="004D0A69">
        <w:t>A data coverage assessment was conducted to check for data gaps, extent, accuracy, and completeness.  A review of related documentation, reports, indexes, and metadata associated with the leverage</w:t>
      </w:r>
      <w:r>
        <w:t>d</w:t>
      </w:r>
      <w:r w:rsidRPr="004D0A69">
        <w:t xml:space="preserve"> datasets ensured each dataset meets FEMA accuracy requirements for topographic data.  Decisions to leverage or exclude a dataset (or portion of it), were based generally on the following criteria coupled with engineering judgment:</w:t>
      </w:r>
    </w:p>
    <w:p w14:paraId="6AFFA851" w14:textId="4FC8DAA7" w:rsidR="005269D3" w:rsidRPr="004D0A69" w:rsidRDefault="005269D3" w:rsidP="006C0F38">
      <w:pPr>
        <w:pStyle w:val="BodyText"/>
        <w:numPr>
          <w:ilvl w:val="0"/>
          <w:numId w:val="24"/>
        </w:numPr>
      </w:pPr>
      <w:r w:rsidRPr="004D0A69">
        <w:t>Data meet FEMA vertical accuracy standards (</w:t>
      </w:r>
      <w:r w:rsidR="006604C7">
        <w:fldChar w:fldCharType="begin"/>
      </w:r>
      <w:r w:rsidR="006604C7">
        <w:instrText xml:space="preserve"> REF _Ref81923729 \h </w:instrText>
      </w:r>
      <w:r w:rsidR="006604C7">
        <w:fldChar w:fldCharType="separate"/>
      </w:r>
      <w:r w:rsidR="00C9792F">
        <w:t xml:space="preserve">Table </w:t>
      </w:r>
      <w:r w:rsidR="00C9792F">
        <w:rPr>
          <w:noProof/>
        </w:rPr>
        <w:t>1</w:t>
      </w:r>
      <w:r w:rsidR="006604C7">
        <w:fldChar w:fldCharType="end"/>
      </w:r>
      <w:r w:rsidR="004D0F29">
        <w:t>)</w:t>
      </w:r>
    </w:p>
    <w:p w14:paraId="6CE90962" w14:textId="77777777" w:rsidR="005269D3" w:rsidRPr="004D0A69" w:rsidRDefault="005269D3" w:rsidP="006C0F38">
      <w:pPr>
        <w:pStyle w:val="BodyText"/>
        <w:numPr>
          <w:ilvl w:val="0"/>
          <w:numId w:val="24"/>
        </w:numPr>
      </w:pPr>
      <w:r w:rsidRPr="004D0A69">
        <w:t>Date of origination</w:t>
      </w:r>
    </w:p>
    <w:p w14:paraId="4319EC69" w14:textId="77777777" w:rsidR="005269D3" w:rsidRPr="004D0A69" w:rsidRDefault="005269D3" w:rsidP="006C0F38">
      <w:pPr>
        <w:pStyle w:val="BodyText"/>
        <w:numPr>
          <w:ilvl w:val="0"/>
          <w:numId w:val="24"/>
        </w:numPr>
      </w:pPr>
      <w:r w:rsidRPr="004D0A69">
        <w:t>Data density and coverage</w:t>
      </w:r>
    </w:p>
    <w:p w14:paraId="7C6BCA9D" w14:textId="2E82B3CD" w:rsidR="006D72FD" w:rsidRDefault="006604C7" w:rsidP="005269D3">
      <w:pPr>
        <w:pStyle w:val="BodyText"/>
      </w:pPr>
      <w:r>
        <w:fldChar w:fldCharType="begin"/>
      </w:r>
      <w:r>
        <w:instrText xml:space="preserve"> REF _Ref81923729 \h </w:instrText>
      </w:r>
      <w:r>
        <w:fldChar w:fldCharType="separate"/>
      </w:r>
      <w:r w:rsidR="00C9792F">
        <w:t xml:space="preserve">Table </w:t>
      </w:r>
      <w:r w:rsidR="00C9792F">
        <w:rPr>
          <w:noProof/>
        </w:rPr>
        <w:t>1</w:t>
      </w:r>
      <w:r>
        <w:fldChar w:fldCharType="end"/>
      </w:r>
      <w:r>
        <w:t xml:space="preserve"> </w:t>
      </w:r>
      <w:r w:rsidR="005269D3" w:rsidRPr="004D0A69">
        <w:t xml:space="preserve">depicts the Risk </w:t>
      </w:r>
      <w:r w:rsidR="005269D3">
        <w:t>MAP</w:t>
      </w:r>
      <w:r w:rsidR="005269D3" w:rsidRPr="004D0A69">
        <w:t xml:space="preserve"> SID </w:t>
      </w:r>
      <w:r w:rsidR="005269D3">
        <w:t>#</w:t>
      </w:r>
      <w:r w:rsidR="005269D3" w:rsidRPr="004D0A69">
        <w:t>43 vertical accuracy requirements based on flood risk and terrain slope within the floodplain being mapped.</w:t>
      </w:r>
    </w:p>
    <w:p w14:paraId="1BD864BC" w14:textId="77777777" w:rsidR="005269D3" w:rsidRDefault="005269D3" w:rsidP="005269D3">
      <w:pPr>
        <w:pStyle w:val="Caption"/>
        <w:jc w:val="center"/>
      </w:pPr>
      <w:bookmarkStart w:id="31" w:name="_Ref81923729"/>
      <w:bookmarkStart w:id="32" w:name="_Toc112877046"/>
      <w:r>
        <w:t xml:space="preserve">Table </w:t>
      </w:r>
      <w:r>
        <w:fldChar w:fldCharType="begin"/>
      </w:r>
      <w:r>
        <w:instrText xml:space="preserve"> SEQ Table \* ARABIC </w:instrText>
      </w:r>
      <w:r>
        <w:fldChar w:fldCharType="separate"/>
      </w:r>
      <w:r w:rsidR="00C9792F">
        <w:rPr>
          <w:noProof/>
        </w:rPr>
        <w:t>1</w:t>
      </w:r>
      <w:r>
        <w:fldChar w:fldCharType="end"/>
      </w:r>
      <w:bookmarkEnd w:id="31"/>
      <w:r>
        <w:t>: FEMA Vertical Accuracy Requirements for Leveraged Data</w:t>
      </w:r>
      <w:bookmarkEnd w:id="32"/>
    </w:p>
    <w:tbl>
      <w:tblPr>
        <w:tblStyle w:val="CompassTable"/>
        <w:tblW w:w="9323" w:type="dxa"/>
        <w:tblLook w:val="04A0" w:firstRow="1" w:lastRow="0" w:firstColumn="1" w:lastColumn="0" w:noHBand="0" w:noVBand="1"/>
      </w:tblPr>
      <w:tblGrid>
        <w:gridCol w:w="2445"/>
        <w:gridCol w:w="1710"/>
        <w:gridCol w:w="1440"/>
        <w:gridCol w:w="1710"/>
        <w:gridCol w:w="2018"/>
      </w:tblGrid>
      <w:tr w:rsidR="005269D3" w:rsidRPr="00712569" w14:paraId="37F4AD8C" w14:textId="77777777" w:rsidTr="00AF679B">
        <w:trPr>
          <w:cnfStyle w:val="100000000000" w:firstRow="1" w:lastRow="0" w:firstColumn="0" w:lastColumn="0" w:oddVBand="0" w:evenVBand="0" w:oddHBand="0" w:evenHBand="0" w:firstRowFirstColumn="0" w:firstRowLastColumn="0" w:lastRowFirstColumn="0" w:lastRowLastColumn="0"/>
        </w:trPr>
        <w:tc>
          <w:tcPr>
            <w:tcW w:w="0" w:type="dxa"/>
            <w:shd w:val="clear" w:color="auto" w:fill="00B5E2" w:themeFill="accent1"/>
          </w:tcPr>
          <w:p w14:paraId="579D46CE" w14:textId="77777777" w:rsidR="005269D3" w:rsidRPr="00712569" w:rsidRDefault="005269D3" w:rsidP="005D7A22">
            <w:pPr>
              <w:pStyle w:val="3TableHeading"/>
              <w:keepNext/>
              <w:keepLines/>
              <w:rPr>
                <w:b/>
                <w:szCs w:val="20"/>
              </w:rPr>
            </w:pPr>
            <w:r w:rsidRPr="00712569">
              <w:rPr>
                <w:b/>
                <w:szCs w:val="20"/>
              </w:rPr>
              <w:t>Level of Flood Risk</w:t>
            </w:r>
          </w:p>
        </w:tc>
        <w:tc>
          <w:tcPr>
            <w:tcW w:w="0" w:type="dxa"/>
            <w:shd w:val="clear" w:color="auto" w:fill="00B5E2" w:themeFill="accent1"/>
          </w:tcPr>
          <w:p w14:paraId="47B223C1" w14:textId="77777777" w:rsidR="005269D3" w:rsidRPr="00712569" w:rsidRDefault="005269D3" w:rsidP="005D7A22">
            <w:pPr>
              <w:pStyle w:val="3TableHeading"/>
              <w:keepNext/>
              <w:keepLines/>
              <w:rPr>
                <w:b/>
                <w:szCs w:val="20"/>
              </w:rPr>
            </w:pPr>
            <w:r w:rsidRPr="00712569">
              <w:rPr>
                <w:b/>
                <w:szCs w:val="20"/>
              </w:rPr>
              <w:t>Typical Slopes</w:t>
            </w:r>
          </w:p>
        </w:tc>
        <w:tc>
          <w:tcPr>
            <w:tcW w:w="0" w:type="dxa"/>
            <w:shd w:val="clear" w:color="auto" w:fill="00B5E2" w:themeFill="accent1"/>
          </w:tcPr>
          <w:p w14:paraId="18127191" w14:textId="77777777" w:rsidR="005269D3" w:rsidRPr="00712569" w:rsidRDefault="005269D3" w:rsidP="005D7A22">
            <w:pPr>
              <w:pStyle w:val="3TableHeading"/>
              <w:keepNext/>
              <w:keepLines/>
              <w:rPr>
                <w:b/>
                <w:szCs w:val="20"/>
              </w:rPr>
            </w:pPr>
            <w:r w:rsidRPr="00712569">
              <w:rPr>
                <w:b/>
                <w:szCs w:val="20"/>
              </w:rPr>
              <w:t>Specification Level</w:t>
            </w:r>
          </w:p>
        </w:tc>
        <w:tc>
          <w:tcPr>
            <w:tcW w:w="0" w:type="dxa"/>
            <w:shd w:val="clear" w:color="auto" w:fill="00B5E2" w:themeFill="accent1"/>
          </w:tcPr>
          <w:p w14:paraId="169B81F9" w14:textId="77777777" w:rsidR="005269D3" w:rsidRPr="00712569" w:rsidRDefault="005269D3" w:rsidP="005D7A22">
            <w:pPr>
              <w:pStyle w:val="3TableHeading"/>
              <w:keepNext/>
              <w:keepLines/>
              <w:rPr>
                <w:b/>
                <w:szCs w:val="20"/>
              </w:rPr>
            </w:pPr>
            <w:r w:rsidRPr="00712569">
              <w:rPr>
                <w:b/>
                <w:szCs w:val="20"/>
              </w:rPr>
              <w:t>Vertical Accuracy*</w:t>
            </w:r>
          </w:p>
        </w:tc>
        <w:tc>
          <w:tcPr>
            <w:tcW w:w="0" w:type="dxa"/>
            <w:shd w:val="clear" w:color="auto" w:fill="00B5E2" w:themeFill="accent1"/>
          </w:tcPr>
          <w:p w14:paraId="66D5ED12" w14:textId="77777777" w:rsidR="005269D3" w:rsidRPr="00712569" w:rsidRDefault="005269D3" w:rsidP="005D7A22">
            <w:pPr>
              <w:pStyle w:val="3TableHeading"/>
              <w:keepNext/>
              <w:keepLines/>
              <w:rPr>
                <w:b/>
                <w:szCs w:val="20"/>
              </w:rPr>
            </w:pPr>
            <w:r w:rsidRPr="00712569">
              <w:rPr>
                <w:b/>
                <w:szCs w:val="20"/>
              </w:rPr>
              <w:t>LiDAR Nominal Pulse Spacing (NPS)</w:t>
            </w:r>
          </w:p>
        </w:tc>
      </w:tr>
      <w:tr w:rsidR="005269D3" w:rsidRPr="00712569" w14:paraId="0850CF8F" w14:textId="77777777" w:rsidTr="005269D3">
        <w:trPr>
          <w:cnfStyle w:val="000000100000" w:firstRow="0" w:lastRow="0" w:firstColumn="0" w:lastColumn="0" w:oddVBand="0" w:evenVBand="0" w:oddHBand="1" w:evenHBand="0" w:firstRowFirstColumn="0" w:firstRowLastColumn="0" w:lastRowFirstColumn="0" w:lastRowLastColumn="0"/>
          <w:trHeight w:val="288"/>
        </w:trPr>
        <w:tc>
          <w:tcPr>
            <w:tcW w:w="2445" w:type="dxa"/>
          </w:tcPr>
          <w:p w14:paraId="40B29DD0" w14:textId="77777777" w:rsidR="005269D3" w:rsidRPr="00712569" w:rsidRDefault="005269D3" w:rsidP="005D7A22">
            <w:pPr>
              <w:pStyle w:val="3TableText"/>
            </w:pPr>
            <w:r w:rsidRPr="00712569">
              <w:t>High (Deciles 1,2,3)</w:t>
            </w:r>
          </w:p>
        </w:tc>
        <w:tc>
          <w:tcPr>
            <w:tcW w:w="1710" w:type="dxa"/>
          </w:tcPr>
          <w:p w14:paraId="1F5D191E" w14:textId="77777777" w:rsidR="005269D3" w:rsidRPr="00712569" w:rsidRDefault="005269D3" w:rsidP="005D7A22">
            <w:pPr>
              <w:pStyle w:val="3TableText"/>
            </w:pPr>
            <w:r w:rsidRPr="00712569">
              <w:t>Flattest</w:t>
            </w:r>
          </w:p>
        </w:tc>
        <w:tc>
          <w:tcPr>
            <w:tcW w:w="1440" w:type="dxa"/>
            <w:vAlign w:val="top"/>
          </w:tcPr>
          <w:p w14:paraId="51996498" w14:textId="77777777" w:rsidR="005269D3" w:rsidRPr="00712569" w:rsidRDefault="005269D3" w:rsidP="005D7A22">
            <w:pPr>
              <w:pStyle w:val="3TableText"/>
              <w:jc w:val="center"/>
            </w:pPr>
            <w:r w:rsidRPr="00712569">
              <w:t>Highest</w:t>
            </w:r>
          </w:p>
        </w:tc>
        <w:tc>
          <w:tcPr>
            <w:tcW w:w="1710" w:type="dxa"/>
          </w:tcPr>
          <w:p w14:paraId="04B50D1D" w14:textId="77777777" w:rsidR="005269D3" w:rsidRPr="00712569" w:rsidRDefault="005269D3" w:rsidP="005D7A22">
            <w:pPr>
              <w:pStyle w:val="3TableText"/>
              <w:jc w:val="center"/>
            </w:pPr>
            <w:r w:rsidRPr="00712569">
              <w:t>24.5 cm / 36.3 cm</w:t>
            </w:r>
          </w:p>
        </w:tc>
        <w:tc>
          <w:tcPr>
            <w:tcW w:w="2018" w:type="dxa"/>
          </w:tcPr>
          <w:p w14:paraId="30C4C89C" w14:textId="77777777" w:rsidR="005269D3" w:rsidRPr="00712569" w:rsidRDefault="005269D3" w:rsidP="005D7A22">
            <w:pPr>
              <w:pStyle w:val="3TableText"/>
              <w:jc w:val="center"/>
            </w:pPr>
            <w:r w:rsidRPr="00712569">
              <w:t>≤ 2 meters</w:t>
            </w:r>
          </w:p>
        </w:tc>
      </w:tr>
      <w:tr w:rsidR="005269D3" w:rsidRPr="00712569" w14:paraId="2250AFF7" w14:textId="77777777" w:rsidTr="005269D3">
        <w:trPr>
          <w:cnfStyle w:val="000000010000" w:firstRow="0" w:lastRow="0" w:firstColumn="0" w:lastColumn="0" w:oddVBand="0" w:evenVBand="0" w:oddHBand="0" w:evenHBand="1" w:firstRowFirstColumn="0" w:firstRowLastColumn="0" w:lastRowFirstColumn="0" w:lastRowLastColumn="0"/>
          <w:trHeight w:val="288"/>
        </w:trPr>
        <w:tc>
          <w:tcPr>
            <w:tcW w:w="2445" w:type="dxa"/>
          </w:tcPr>
          <w:p w14:paraId="1F374DFC" w14:textId="77777777" w:rsidR="005269D3" w:rsidRPr="00712569" w:rsidRDefault="005269D3" w:rsidP="005D7A22">
            <w:pPr>
              <w:pStyle w:val="3TableText"/>
            </w:pPr>
            <w:r w:rsidRPr="00712569">
              <w:t>High (Deciles 1,2,3)</w:t>
            </w:r>
          </w:p>
        </w:tc>
        <w:tc>
          <w:tcPr>
            <w:tcW w:w="1710" w:type="dxa"/>
          </w:tcPr>
          <w:p w14:paraId="27B77665" w14:textId="77777777" w:rsidR="005269D3" w:rsidRPr="00712569" w:rsidRDefault="005269D3" w:rsidP="005D7A22">
            <w:pPr>
              <w:pStyle w:val="3TableText"/>
            </w:pPr>
            <w:r w:rsidRPr="00712569">
              <w:t>Rolling or Hilly</w:t>
            </w:r>
          </w:p>
        </w:tc>
        <w:tc>
          <w:tcPr>
            <w:tcW w:w="1440" w:type="dxa"/>
            <w:vAlign w:val="top"/>
          </w:tcPr>
          <w:p w14:paraId="4445BCDC" w14:textId="77777777" w:rsidR="005269D3" w:rsidRPr="00712569" w:rsidRDefault="005269D3" w:rsidP="005D7A22">
            <w:pPr>
              <w:pStyle w:val="3TableText"/>
              <w:jc w:val="center"/>
            </w:pPr>
            <w:r w:rsidRPr="00712569">
              <w:t>High</w:t>
            </w:r>
          </w:p>
        </w:tc>
        <w:tc>
          <w:tcPr>
            <w:tcW w:w="1710" w:type="dxa"/>
          </w:tcPr>
          <w:p w14:paraId="426B184B" w14:textId="77777777" w:rsidR="005269D3" w:rsidRPr="00712569" w:rsidRDefault="005269D3" w:rsidP="005D7A22">
            <w:pPr>
              <w:pStyle w:val="3TableText"/>
              <w:jc w:val="center"/>
            </w:pPr>
            <w:r w:rsidRPr="00712569">
              <w:t>49.0 cm / 72.6 cm</w:t>
            </w:r>
          </w:p>
        </w:tc>
        <w:tc>
          <w:tcPr>
            <w:tcW w:w="2018" w:type="dxa"/>
          </w:tcPr>
          <w:p w14:paraId="218FBCF4" w14:textId="77777777" w:rsidR="005269D3" w:rsidRPr="00712569" w:rsidRDefault="005269D3" w:rsidP="005D7A22">
            <w:pPr>
              <w:pStyle w:val="3TableText"/>
              <w:jc w:val="center"/>
            </w:pPr>
            <w:r w:rsidRPr="00712569">
              <w:t>≤ 2 meters</w:t>
            </w:r>
          </w:p>
        </w:tc>
      </w:tr>
      <w:tr w:rsidR="005269D3" w:rsidRPr="00712569" w14:paraId="0618E6B7" w14:textId="77777777" w:rsidTr="005269D3">
        <w:trPr>
          <w:cnfStyle w:val="000000100000" w:firstRow="0" w:lastRow="0" w:firstColumn="0" w:lastColumn="0" w:oddVBand="0" w:evenVBand="0" w:oddHBand="1" w:evenHBand="0" w:firstRowFirstColumn="0" w:firstRowLastColumn="0" w:lastRowFirstColumn="0" w:lastRowLastColumn="0"/>
          <w:trHeight w:val="288"/>
        </w:trPr>
        <w:tc>
          <w:tcPr>
            <w:tcW w:w="2445" w:type="dxa"/>
          </w:tcPr>
          <w:p w14:paraId="0C7B499C" w14:textId="77777777" w:rsidR="005269D3" w:rsidRPr="00712569" w:rsidRDefault="005269D3" w:rsidP="005D7A22">
            <w:pPr>
              <w:pStyle w:val="3TableText"/>
              <w:rPr>
                <w:szCs w:val="20"/>
                <w:vertAlign w:val="superscript"/>
              </w:rPr>
            </w:pPr>
            <w:r w:rsidRPr="00712569">
              <w:t>High (Deciles 2,3,4,5)</w:t>
            </w:r>
          </w:p>
        </w:tc>
        <w:tc>
          <w:tcPr>
            <w:tcW w:w="1710" w:type="dxa"/>
          </w:tcPr>
          <w:p w14:paraId="70C3A5F5" w14:textId="77777777" w:rsidR="005269D3" w:rsidRPr="00712569" w:rsidRDefault="005269D3" w:rsidP="005D7A22">
            <w:pPr>
              <w:pStyle w:val="3TableText"/>
              <w:rPr>
                <w:szCs w:val="20"/>
              </w:rPr>
            </w:pPr>
            <w:r w:rsidRPr="00712569">
              <w:t>Hilly</w:t>
            </w:r>
          </w:p>
        </w:tc>
        <w:tc>
          <w:tcPr>
            <w:tcW w:w="1440" w:type="dxa"/>
            <w:vAlign w:val="top"/>
          </w:tcPr>
          <w:p w14:paraId="1CC2A25D" w14:textId="77777777" w:rsidR="005269D3" w:rsidRPr="00712569" w:rsidRDefault="005269D3" w:rsidP="005D7A22">
            <w:pPr>
              <w:pStyle w:val="3TableText"/>
              <w:jc w:val="center"/>
              <w:rPr>
                <w:szCs w:val="20"/>
              </w:rPr>
            </w:pPr>
            <w:r w:rsidRPr="00712569">
              <w:t>Medium</w:t>
            </w:r>
          </w:p>
        </w:tc>
        <w:tc>
          <w:tcPr>
            <w:tcW w:w="1710" w:type="dxa"/>
          </w:tcPr>
          <w:p w14:paraId="71DB9516" w14:textId="77777777" w:rsidR="005269D3" w:rsidRPr="00712569" w:rsidRDefault="005269D3" w:rsidP="005D7A22">
            <w:pPr>
              <w:pStyle w:val="3TableText"/>
              <w:jc w:val="center"/>
              <w:rPr>
                <w:szCs w:val="20"/>
              </w:rPr>
            </w:pPr>
            <w:r w:rsidRPr="00712569">
              <w:t>98.0 cm / 145 cm</w:t>
            </w:r>
          </w:p>
        </w:tc>
        <w:tc>
          <w:tcPr>
            <w:tcW w:w="2018" w:type="dxa"/>
          </w:tcPr>
          <w:p w14:paraId="0FF35BE4" w14:textId="77777777" w:rsidR="005269D3" w:rsidRPr="00712569" w:rsidRDefault="005269D3" w:rsidP="005D7A22">
            <w:pPr>
              <w:pStyle w:val="3TableText"/>
              <w:jc w:val="center"/>
            </w:pPr>
            <w:r w:rsidRPr="00712569">
              <w:t>≤ 3.5 meters</w:t>
            </w:r>
          </w:p>
        </w:tc>
      </w:tr>
      <w:tr w:rsidR="005269D3" w:rsidRPr="00712569" w14:paraId="2775876C" w14:textId="77777777" w:rsidTr="005269D3">
        <w:trPr>
          <w:cnfStyle w:val="000000010000" w:firstRow="0" w:lastRow="0" w:firstColumn="0" w:lastColumn="0" w:oddVBand="0" w:evenVBand="0" w:oddHBand="0" w:evenHBand="1" w:firstRowFirstColumn="0" w:firstRowLastColumn="0" w:lastRowFirstColumn="0" w:lastRowLastColumn="0"/>
          <w:trHeight w:val="288"/>
        </w:trPr>
        <w:tc>
          <w:tcPr>
            <w:tcW w:w="2445" w:type="dxa"/>
          </w:tcPr>
          <w:p w14:paraId="0457A664" w14:textId="77777777" w:rsidR="005269D3" w:rsidRPr="00712569" w:rsidRDefault="005269D3" w:rsidP="005D7A22">
            <w:pPr>
              <w:pStyle w:val="3TableText"/>
              <w:rPr>
                <w:szCs w:val="20"/>
                <w:vertAlign w:val="superscript"/>
              </w:rPr>
            </w:pPr>
            <w:r w:rsidRPr="00712569">
              <w:t>Medium (Deciles 3,4,5,6,7)</w:t>
            </w:r>
          </w:p>
        </w:tc>
        <w:tc>
          <w:tcPr>
            <w:tcW w:w="1710" w:type="dxa"/>
          </w:tcPr>
          <w:p w14:paraId="31970EBD" w14:textId="77777777" w:rsidR="005269D3" w:rsidRPr="00712569" w:rsidRDefault="005269D3" w:rsidP="005D7A22">
            <w:pPr>
              <w:pStyle w:val="3TableText"/>
              <w:rPr>
                <w:szCs w:val="20"/>
              </w:rPr>
            </w:pPr>
            <w:r w:rsidRPr="00712569">
              <w:t>Flattest</w:t>
            </w:r>
          </w:p>
        </w:tc>
        <w:tc>
          <w:tcPr>
            <w:tcW w:w="1440" w:type="dxa"/>
            <w:vAlign w:val="top"/>
          </w:tcPr>
          <w:p w14:paraId="0B1D3C49" w14:textId="77777777" w:rsidR="005269D3" w:rsidRPr="00712569" w:rsidRDefault="005269D3" w:rsidP="005D7A22">
            <w:pPr>
              <w:pStyle w:val="3TableText"/>
              <w:jc w:val="center"/>
              <w:rPr>
                <w:szCs w:val="20"/>
              </w:rPr>
            </w:pPr>
            <w:r w:rsidRPr="00712569">
              <w:t>High</w:t>
            </w:r>
          </w:p>
        </w:tc>
        <w:tc>
          <w:tcPr>
            <w:tcW w:w="1710" w:type="dxa"/>
          </w:tcPr>
          <w:p w14:paraId="7B9E64E7" w14:textId="77777777" w:rsidR="005269D3" w:rsidRPr="00712569" w:rsidRDefault="005269D3" w:rsidP="005D7A22">
            <w:pPr>
              <w:pStyle w:val="3TableText"/>
              <w:jc w:val="center"/>
              <w:rPr>
                <w:szCs w:val="20"/>
              </w:rPr>
            </w:pPr>
            <w:r w:rsidRPr="00712569">
              <w:t>49.0 cm / 72.6 cm</w:t>
            </w:r>
          </w:p>
        </w:tc>
        <w:tc>
          <w:tcPr>
            <w:tcW w:w="2018" w:type="dxa"/>
          </w:tcPr>
          <w:p w14:paraId="0691EE74" w14:textId="77777777" w:rsidR="005269D3" w:rsidRPr="00712569" w:rsidRDefault="005269D3" w:rsidP="005D7A22">
            <w:pPr>
              <w:pStyle w:val="3TableText"/>
              <w:jc w:val="center"/>
            </w:pPr>
            <w:r w:rsidRPr="00712569">
              <w:t>≤ 2 meters</w:t>
            </w:r>
          </w:p>
        </w:tc>
      </w:tr>
      <w:tr w:rsidR="005269D3" w:rsidRPr="00712569" w14:paraId="0C4A0207" w14:textId="77777777" w:rsidTr="005269D3">
        <w:trPr>
          <w:cnfStyle w:val="000000100000" w:firstRow="0" w:lastRow="0" w:firstColumn="0" w:lastColumn="0" w:oddVBand="0" w:evenVBand="0" w:oddHBand="1" w:evenHBand="0" w:firstRowFirstColumn="0" w:firstRowLastColumn="0" w:lastRowFirstColumn="0" w:lastRowLastColumn="0"/>
          <w:trHeight w:val="288"/>
        </w:trPr>
        <w:tc>
          <w:tcPr>
            <w:tcW w:w="2445" w:type="dxa"/>
          </w:tcPr>
          <w:p w14:paraId="62D90550" w14:textId="77777777" w:rsidR="005269D3" w:rsidRPr="00712569" w:rsidRDefault="005269D3" w:rsidP="005D7A22">
            <w:pPr>
              <w:pStyle w:val="3TableText"/>
              <w:rPr>
                <w:szCs w:val="20"/>
                <w:vertAlign w:val="superscript"/>
              </w:rPr>
            </w:pPr>
            <w:r w:rsidRPr="00712569">
              <w:t>Medium (Deciles 3,4,5,6,7)</w:t>
            </w:r>
          </w:p>
        </w:tc>
        <w:tc>
          <w:tcPr>
            <w:tcW w:w="1710" w:type="dxa"/>
          </w:tcPr>
          <w:p w14:paraId="3AADA80D" w14:textId="77777777" w:rsidR="005269D3" w:rsidRPr="00712569" w:rsidRDefault="005269D3" w:rsidP="005D7A22">
            <w:pPr>
              <w:pStyle w:val="3TableText"/>
              <w:rPr>
                <w:szCs w:val="20"/>
              </w:rPr>
            </w:pPr>
            <w:r w:rsidRPr="00712569">
              <w:t>Rolling</w:t>
            </w:r>
          </w:p>
        </w:tc>
        <w:tc>
          <w:tcPr>
            <w:tcW w:w="1440" w:type="dxa"/>
            <w:vAlign w:val="top"/>
          </w:tcPr>
          <w:p w14:paraId="3314DA55" w14:textId="77777777" w:rsidR="005269D3" w:rsidRPr="00712569" w:rsidRDefault="005269D3" w:rsidP="005D7A22">
            <w:pPr>
              <w:pStyle w:val="3TableText"/>
              <w:jc w:val="center"/>
              <w:rPr>
                <w:szCs w:val="20"/>
              </w:rPr>
            </w:pPr>
            <w:r w:rsidRPr="00712569">
              <w:t>Medium</w:t>
            </w:r>
          </w:p>
        </w:tc>
        <w:tc>
          <w:tcPr>
            <w:tcW w:w="1710" w:type="dxa"/>
          </w:tcPr>
          <w:p w14:paraId="4208C007" w14:textId="77777777" w:rsidR="005269D3" w:rsidRPr="00712569" w:rsidRDefault="005269D3" w:rsidP="005D7A22">
            <w:pPr>
              <w:pStyle w:val="3TableText"/>
              <w:jc w:val="center"/>
              <w:rPr>
                <w:szCs w:val="20"/>
              </w:rPr>
            </w:pPr>
            <w:r w:rsidRPr="00712569">
              <w:t>98.0 cm / 145 cm</w:t>
            </w:r>
          </w:p>
        </w:tc>
        <w:tc>
          <w:tcPr>
            <w:tcW w:w="2018" w:type="dxa"/>
          </w:tcPr>
          <w:p w14:paraId="64BB9B84" w14:textId="77777777" w:rsidR="005269D3" w:rsidRPr="00712569" w:rsidRDefault="005269D3" w:rsidP="005D7A22">
            <w:pPr>
              <w:pStyle w:val="3TableText"/>
              <w:jc w:val="center"/>
            </w:pPr>
            <w:r w:rsidRPr="00712569">
              <w:t>≤ 3.5 meters</w:t>
            </w:r>
          </w:p>
        </w:tc>
      </w:tr>
      <w:tr w:rsidR="005269D3" w:rsidRPr="00712569" w14:paraId="64CC1F98" w14:textId="77777777" w:rsidTr="005269D3">
        <w:trPr>
          <w:cnfStyle w:val="000000010000" w:firstRow="0" w:lastRow="0" w:firstColumn="0" w:lastColumn="0" w:oddVBand="0" w:evenVBand="0" w:oddHBand="0" w:evenHBand="1" w:firstRowFirstColumn="0" w:firstRowLastColumn="0" w:lastRowFirstColumn="0" w:lastRowLastColumn="0"/>
          <w:trHeight w:val="288"/>
        </w:trPr>
        <w:tc>
          <w:tcPr>
            <w:tcW w:w="2445" w:type="dxa"/>
          </w:tcPr>
          <w:p w14:paraId="0E3C8FAD" w14:textId="77777777" w:rsidR="005269D3" w:rsidRPr="00712569" w:rsidRDefault="005269D3" w:rsidP="005D7A22">
            <w:pPr>
              <w:pStyle w:val="3TableText"/>
              <w:rPr>
                <w:szCs w:val="20"/>
                <w:vertAlign w:val="superscript"/>
              </w:rPr>
            </w:pPr>
            <w:r w:rsidRPr="00712569">
              <w:t>Medium (Deciles 3,4,5,6,7)</w:t>
            </w:r>
          </w:p>
        </w:tc>
        <w:tc>
          <w:tcPr>
            <w:tcW w:w="1710" w:type="dxa"/>
          </w:tcPr>
          <w:p w14:paraId="44609E1D" w14:textId="77777777" w:rsidR="005269D3" w:rsidRPr="00712569" w:rsidRDefault="005269D3" w:rsidP="005D7A22">
            <w:pPr>
              <w:pStyle w:val="3TableText"/>
              <w:rPr>
                <w:szCs w:val="20"/>
              </w:rPr>
            </w:pPr>
            <w:r w:rsidRPr="00712569">
              <w:t>Hilly</w:t>
            </w:r>
          </w:p>
        </w:tc>
        <w:tc>
          <w:tcPr>
            <w:tcW w:w="1440" w:type="dxa"/>
            <w:vAlign w:val="top"/>
          </w:tcPr>
          <w:p w14:paraId="499E9633" w14:textId="77777777" w:rsidR="005269D3" w:rsidRPr="00712569" w:rsidRDefault="005269D3" w:rsidP="005D7A22">
            <w:pPr>
              <w:pStyle w:val="3TableText"/>
              <w:jc w:val="center"/>
              <w:rPr>
                <w:szCs w:val="20"/>
              </w:rPr>
            </w:pPr>
            <w:r w:rsidRPr="00712569">
              <w:t>Low</w:t>
            </w:r>
          </w:p>
        </w:tc>
        <w:tc>
          <w:tcPr>
            <w:tcW w:w="1710" w:type="dxa"/>
          </w:tcPr>
          <w:p w14:paraId="63F5104C" w14:textId="77777777" w:rsidR="005269D3" w:rsidRPr="00712569" w:rsidRDefault="005269D3" w:rsidP="005D7A22">
            <w:pPr>
              <w:pStyle w:val="3TableText"/>
              <w:jc w:val="center"/>
              <w:rPr>
                <w:szCs w:val="20"/>
              </w:rPr>
            </w:pPr>
            <w:r w:rsidRPr="00712569">
              <w:t>147 cm / 218 cm</w:t>
            </w:r>
          </w:p>
        </w:tc>
        <w:tc>
          <w:tcPr>
            <w:tcW w:w="2018" w:type="dxa"/>
          </w:tcPr>
          <w:p w14:paraId="4B7F116B" w14:textId="77777777" w:rsidR="005269D3" w:rsidRPr="00712569" w:rsidRDefault="005269D3" w:rsidP="005D7A22">
            <w:pPr>
              <w:pStyle w:val="3TableText"/>
              <w:jc w:val="center"/>
            </w:pPr>
            <w:r w:rsidRPr="00712569">
              <w:t>≤ 5 meters</w:t>
            </w:r>
          </w:p>
        </w:tc>
      </w:tr>
      <w:tr w:rsidR="005269D3" w:rsidRPr="00712569" w14:paraId="6F4471A2" w14:textId="77777777" w:rsidTr="005269D3">
        <w:trPr>
          <w:cnfStyle w:val="000000100000" w:firstRow="0" w:lastRow="0" w:firstColumn="0" w:lastColumn="0" w:oddVBand="0" w:evenVBand="0" w:oddHBand="1" w:evenHBand="0" w:firstRowFirstColumn="0" w:firstRowLastColumn="0" w:lastRowFirstColumn="0" w:lastRowLastColumn="0"/>
          <w:trHeight w:val="288"/>
        </w:trPr>
        <w:tc>
          <w:tcPr>
            <w:tcW w:w="2445" w:type="dxa"/>
          </w:tcPr>
          <w:p w14:paraId="05E4EF60" w14:textId="77777777" w:rsidR="005269D3" w:rsidRPr="00712569" w:rsidRDefault="005269D3" w:rsidP="005D7A22">
            <w:pPr>
              <w:pStyle w:val="3TableText"/>
              <w:rPr>
                <w:szCs w:val="20"/>
                <w:vertAlign w:val="superscript"/>
              </w:rPr>
            </w:pPr>
            <w:r w:rsidRPr="00712569">
              <w:t>Low (Deciles 7,8,9,10)</w:t>
            </w:r>
          </w:p>
        </w:tc>
        <w:tc>
          <w:tcPr>
            <w:tcW w:w="1710" w:type="dxa"/>
          </w:tcPr>
          <w:p w14:paraId="3ABFF198" w14:textId="77777777" w:rsidR="005269D3" w:rsidRPr="00712569" w:rsidRDefault="005269D3" w:rsidP="005D7A22">
            <w:pPr>
              <w:pStyle w:val="3TableText"/>
              <w:rPr>
                <w:szCs w:val="20"/>
              </w:rPr>
            </w:pPr>
            <w:r w:rsidRPr="00712569">
              <w:t>All</w:t>
            </w:r>
          </w:p>
        </w:tc>
        <w:tc>
          <w:tcPr>
            <w:tcW w:w="1440" w:type="dxa"/>
            <w:vAlign w:val="top"/>
          </w:tcPr>
          <w:p w14:paraId="70A42523" w14:textId="77777777" w:rsidR="005269D3" w:rsidRPr="00712569" w:rsidRDefault="005269D3" w:rsidP="005D7A22">
            <w:pPr>
              <w:pStyle w:val="3TableText"/>
              <w:jc w:val="center"/>
              <w:rPr>
                <w:szCs w:val="20"/>
              </w:rPr>
            </w:pPr>
            <w:r w:rsidRPr="00712569">
              <w:t>Low</w:t>
            </w:r>
          </w:p>
        </w:tc>
        <w:tc>
          <w:tcPr>
            <w:tcW w:w="1710" w:type="dxa"/>
          </w:tcPr>
          <w:p w14:paraId="6431B682" w14:textId="77777777" w:rsidR="005269D3" w:rsidRPr="00712569" w:rsidRDefault="005269D3" w:rsidP="005D7A22">
            <w:pPr>
              <w:pStyle w:val="3TableText"/>
              <w:jc w:val="center"/>
              <w:rPr>
                <w:szCs w:val="20"/>
              </w:rPr>
            </w:pPr>
            <w:r w:rsidRPr="00712569">
              <w:t>147 cm / 218 cm</w:t>
            </w:r>
          </w:p>
        </w:tc>
        <w:tc>
          <w:tcPr>
            <w:tcW w:w="2018" w:type="dxa"/>
          </w:tcPr>
          <w:p w14:paraId="623390BC" w14:textId="77777777" w:rsidR="005269D3" w:rsidRPr="00712569" w:rsidRDefault="005269D3" w:rsidP="005D7A22">
            <w:pPr>
              <w:pStyle w:val="3TableText"/>
              <w:jc w:val="center"/>
            </w:pPr>
            <w:r w:rsidRPr="00712569">
              <w:t>≤ 5 meters</w:t>
            </w:r>
          </w:p>
        </w:tc>
      </w:tr>
    </w:tbl>
    <w:p w14:paraId="2FC83EED" w14:textId="77777777" w:rsidR="001531A9" w:rsidRDefault="005269D3" w:rsidP="005269D3">
      <w:pPr>
        <w:pStyle w:val="BodyText"/>
      </w:pPr>
      <w:r>
        <w:t>*Vertical Accuracy at 95% Confidence Level (FVA or NVA)/(CVA or VVA)</w:t>
      </w:r>
    </w:p>
    <w:bookmarkStart w:id="33" w:name="_Toc432412967"/>
    <w:p w14:paraId="3022D34E" w14:textId="6E207A7D" w:rsidR="001531A9" w:rsidRDefault="005E3A8C" w:rsidP="001531A9">
      <w:pPr>
        <w:pStyle w:val="BodyText"/>
      </w:pPr>
      <w:r>
        <w:fldChar w:fldCharType="begin"/>
      </w:r>
      <w:r>
        <w:instrText xml:space="preserve"> REF _Ref85201199 \h </w:instrText>
      </w:r>
      <w:r>
        <w:fldChar w:fldCharType="separate"/>
      </w:r>
      <w:r w:rsidR="00C9792F">
        <w:t xml:space="preserve">Table </w:t>
      </w:r>
      <w:r w:rsidR="00C9792F">
        <w:rPr>
          <w:noProof/>
        </w:rPr>
        <w:t>2</w:t>
      </w:r>
      <w:r>
        <w:fldChar w:fldCharType="end"/>
      </w:r>
      <w:r>
        <w:t xml:space="preserve"> </w:t>
      </w:r>
      <w:r w:rsidR="00BA24A7">
        <w:t>depicts the complete list of source elevation data and attributes</w:t>
      </w:r>
      <w:r w:rsidR="00532CF0">
        <w:t xml:space="preserve"> leveraged for the </w:t>
      </w:r>
      <w:r w:rsidR="00AF679B">
        <w:t>Yellow House Draw</w:t>
      </w:r>
      <w:r w:rsidR="00BA24A7">
        <w:t xml:space="preserve"> </w:t>
      </w:r>
      <w:r w:rsidR="005C72F6" w:rsidRPr="005C72F6">
        <w:t>watershed</w:t>
      </w:r>
      <w:r w:rsidR="001531A9" w:rsidRPr="001531A9">
        <w:t xml:space="preserve">. </w:t>
      </w:r>
      <w:r w:rsidR="00BA24A7">
        <w:t xml:space="preserve"> </w:t>
      </w:r>
      <w:r w:rsidR="006B4EA6" w:rsidRPr="004D0A69">
        <w:t xml:space="preserve">All datasets used for hydraulic analyses and mapping meet the highest specification level defined in </w:t>
      </w:r>
      <w:r w:rsidR="00782D9E">
        <w:fldChar w:fldCharType="begin"/>
      </w:r>
      <w:r w:rsidR="00782D9E">
        <w:instrText xml:space="preserve"> REF _Ref81923729 \h </w:instrText>
      </w:r>
      <w:r w:rsidR="00782D9E">
        <w:fldChar w:fldCharType="separate"/>
      </w:r>
      <w:r w:rsidR="00C9792F">
        <w:t xml:space="preserve">Table </w:t>
      </w:r>
      <w:r w:rsidR="00C9792F">
        <w:rPr>
          <w:noProof/>
        </w:rPr>
        <w:t>1</w:t>
      </w:r>
      <w:r w:rsidR="00782D9E">
        <w:fldChar w:fldCharType="end"/>
      </w:r>
      <w:r w:rsidR="006B4EA6" w:rsidRPr="004D0A69">
        <w:t>.</w:t>
      </w:r>
      <w:r w:rsidR="006B4EA6">
        <w:t xml:space="preserve"> </w:t>
      </w:r>
      <w:r w:rsidR="006B4EA6" w:rsidRPr="004D0A69">
        <w:t xml:space="preserve"> </w:t>
      </w:r>
      <w:r w:rsidR="001531A9" w:rsidRPr="001531A9">
        <w:t>The following datasets were evaluated and prioritized as best available:</w:t>
      </w:r>
    </w:p>
    <w:p w14:paraId="79C8928D" w14:textId="4165E554" w:rsidR="00BA24A7" w:rsidRDefault="00BA24A7" w:rsidP="00BA24A7">
      <w:pPr>
        <w:pStyle w:val="Caption"/>
        <w:jc w:val="center"/>
      </w:pPr>
      <w:bookmarkStart w:id="34" w:name="_Ref85201199"/>
      <w:bookmarkStart w:id="35" w:name="_Toc112877047"/>
      <w:r>
        <w:lastRenderedPageBreak/>
        <w:t xml:space="preserve">Table </w:t>
      </w:r>
      <w:r>
        <w:fldChar w:fldCharType="begin"/>
      </w:r>
      <w:r>
        <w:instrText xml:space="preserve"> SEQ Table \* ARABIC </w:instrText>
      </w:r>
      <w:r>
        <w:fldChar w:fldCharType="separate"/>
      </w:r>
      <w:r w:rsidR="00C9792F">
        <w:rPr>
          <w:noProof/>
        </w:rPr>
        <w:t>2</w:t>
      </w:r>
      <w:r>
        <w:fldChar w:fldCharType="end"/>
      </w:r>
      <w:bookmarkEnd w:id="34"/>
      <w:r>
        <w:t xml:space="preserve">: LiDAR Topographic Data Available for the </w:t>
      </w:r>
      <w:r w:rsidR="00AC2518">
        <w:t>Yellow House Draw</w:t>
      </w:r>
      <w:r>
        <w:t xml:space="preserve"> Watershed</w:t>
      </w:r>
      <w:bookmarkEnd w:id="35"/>
    </w:p>
    <w:tbl>
      <w:tblPr>
        <w:tblStyle w:val="CompassTable"/>
        <w:tblW w:w="9323" w:type="dxa"/>
        <w:tblLook w:val="04A0" w:firstRow="1" w:lastRow="0" w:firstColumn="1" w:lastColumn="0" w:noHBand="0" w:noVBand="1"/>
      </w:tblPr>
      <w:tblGrid>
        <w:gridCol w:w="647"/>
        <w:gridCol w:w="4078"/>
        <w:gridCol w:w="1431"/>
        <w:gridCol w:w="1164"/>
        <w:gridCol w:w="2003"/>
      </w:tblGrid>
      <w:tr w:rsidR="00BA24A7" w:rsidRPr="00712569" w14:paraId="5D739806" w14:textId="77777777" w:rsidTr="007052A6">
        <w:trPr>
          <w:cnfStyle w:val="100000000000" w:firstRow="1" w:lastRow="0" w:firstColumn="0" w:lastColumn="0" w:oddVBand="0" w:evenVBand="0" w:oddHBand="0" w:evenHBand="0" w:firstRowFirstColumn="0" w:firstRowLastColumn="0" w:lastRowFirstColumn="0" w:lastRowLastColumn="0"/>
        </w:trPr>
        <w:tc>
          <w:tcPr>
            <w:tcW w:w="647" w:type="dxa"/>
            <w:shd w:val="clear" w:color="auto" w:fill="00B5E2" w:themeFill="accent1"/>
          </w:tcPr>
          <w:p w14:paraId="1EAB286E" w14:textId="77777777" w:rsidR="00BA24A7" w:rsidRPr="00712569" w:rsidRDefault="00BA24A7" w:rsidP="001F4E43">
            <w:pPr>
              <w:pStyle w:val="3TableHeading"/>
              <w:keepNext/>
              <w:keepLines/>
              <w:rPr>
                <w:b/>
                <w:szCs w:val="20"/>
              </w:rPr>
            </w:pPr>
            <w:r>
              <w:rPr>
                <w:b/>
                <w:szCs w:val="20"/>
              </w:rPr>
              <w:t>Year</w:t>
            </w:r>
          </w:p>
        </w:tc>
        <w:tc>
          <w:tcPr>
            <w:tcW w:w="4078" w:type="dxa"/>
            <w:shd w:val="clear" w:color="auto" w:fill="00B5E2" w:themeFill="accent1"/>
          </w:tcPr>
          <w:p w14:paraId="273ACB85" w14:textId="77777777" w:rsidR="00BA24A7" w:rsidRPr="00712569" w:rsidRDefault="00BA24A7" w:rsidP="001F4E43">
            <w:pPr>
              <w:pStyle w:val="3TableHeading"/>
              <w:keepNext/>
              <w:keepLines/>
              <w:rPr>
                <w:b/>
                <w:szCs w:val="20"/>
              </w:rPr>
            </w:pPr>
            <w:r>
              <w:rPr>
                <w:b/>
                <w:szCs w:val="20"/>
              </w:rPr>
              <w:t>Description</w:t>
            </w:r>
          </w:p>
        </w:tc>
        <w:tc>
          <w:tcPr>
            <w:tcW w:w="1431" w:type="dxa"/>
            <w:shd w:val="clear" w:color="auto" w:fill="00B5E2" w:themeFill="accent1"/>
          </w:tcPr>
          <w:p w14:paraId="159E72B4" w14:textId="77777777" w:rsidR="00BA24A7" w:rsidRPr="00712569" w:rsidRDefault="00BA24A7" w:rsidP="001F4E43">
            <w:pPr>
              <w:pStyle w:val="3TableHeading"/>
              <w:keepNext/>
              <w:keepLines/>
              <w:rPr>
                <w:b/>
                <w:szCs w:val="20"/>
              </w:rPr>
            </w:pPr>
            <w:r>
              <w:rPr>
                <w:b/>
                <w:szCs w:val="20"/>
              </w:rPr>
              <w:t>Source/Owner</w:t>
            </w:r>
          </w:p>
        </w:tc>
        <w:tc>
          <w:tcPr>
            <w:tcW w:w="1164" w:type="dxa"/>
            <w:shd w:val="clear" w:color="auto" w:fill="00B5E2" w:themeFill="accent1"/>
          </w:tcPr>
          <w:p w14:paraId="7AA31E81" w14:textId="77777777" w:rsidR="00BA24A7" w:rsidRPr="00712569" w:rsidRDefault="00BA24A7" w:rsidP="001F4E43">
            <w:pPr>
              <w:pStyle w:val="3TableHeading"/>
              <w:keepNext/>
              <w:keepLines/>
              <w:rPr>
                <w:b/>
                <w:szCs w:val="20"/>
              </w:rPr>
            </w:pPr>
            <w:r>
              <w:rPr>
                <w:b/>
                <w:szCs w:val="20"/>
              </w:rPr>
              <w:t>Accuracy</w:t>
            </w:r>
            <w:r w:rsidRPr="00D35186">
              <w:rPr>
                <w:szCs w:val="20"/>
                <w:vertAlign w:val="superscript"/>
              </w:rPr>
              <w:t>1</w:t>
            </w:r>
          </w:p>
        </w:tc>
        <w:tc>
          <w:tcPr>
            <w:tcW w:w="2003" w:type="dxa"/>
            <w:shd w:val="clear" w:color="auto" w:fill="00B5E2" w:themeFill="accent1"/>
          </w:tcPr>
          <w:p w14:paraId="5ED64721" w14:textId="4C8E5159" w:rsidR="00BA24A7" w:rsidRPr="00712569" w:rsidRDefault="00BA24A7" w:rsidP="0098555D">
            <w:pPr>
              <w:pStyle w:val="3TableHeading"/>
              <w:keepNext/>
              <w:keepLines/>
              <w:rPr>
                <w:b/>
                <w:szCs w:val="20"/>
              </w:rPr>
            </w:pPr>
            <w:r>
              <w:rPr>
                <w:b/>
                <w:szCs w:val="20"/>
              </w:rPr>
              <w:t>Approximate Footprint (</w:t>
            </w:r>
            <w:r w:rsidR="0098555D">
              <w:rPr>
                <w:b/>
                <w:szCs w:val="20"/>
              </w:rPr>
              <w:t>mi</w:t>
            </w:r>
            <w:r w:rsidR="0098555D" w:rsidRPr="0098555D">
              <w:rPr>
                <w:b/>
                <w:szCs w:val="20"/>
                <w:vertAlign w:val="superscript"/>
              </w:rPr>
              <w:t>2</w:t>
            </w:r>
            <w:r>
              <w:rPr>
                <w:b/>
                <w:szCs w:val="20"/>
              </w:rPr>
              <w:t>)</w:t>
            </w:r>
            <w:r w:rsidRPr="00D35186">
              <w:rPr>
                <w:szCs w:val="20"/>
                <w:vertAlign w:val="superscript"/>
              </w:rPr>
              <w:t>2</w:t>
            </w:r>
          </w:p>
        </w:tc>
      </w:tr>
      <w:tr w:rsidR="007052A6" w:rsidRPr="00712569" w14:paraId="341BE55E" w14:textId="77777777" w:rsidTr="006D72FD">
        <w:trPr>
          <w:cnfStyle w:val="000000100000" w:firstRow="0" w:lastRow="0" w:firstColumn="0" w:lastColumn="0" w:oddVBand="0" w:evenVBand="0" w:oddHBand="1" w:evenHBand="0" w:firstRowFirstColumn="0" w:firstRowLastColumn="0" w:lastRowFirstColumn="0" w:lastRowLastColumn="0"/>
          <w:trHeight w:val="288"/>
        </w:trPr>
        <w:tc>
          <w:tcPr>
            <w:tcW w:w="647" w:type="dxa"/>
          </w:tcPr>
          <w:p w14:paraId="369C129F" w14:textId="1D096E68" w:rsidR="007052A6" w:rsidRPr="00EC0029" w:rsidRDefault="007052A6" w:rsidP="001F4E43">
            <w:pPr>
              <w:pStyle w:val="3TableText"/>
              <w:rPr>
                <w:rFonts w:cs="Calibri"/>
                <w:szCs w:val="20"/>
              </w:rPr>
            </w:pPr>
            <w:r w:rsidRPr="00EC0029">
              <w:rPr>
                <w:rFonts w:cs="Calibri"/>
                <w:szCs w:val="20"/>
              </w:rPr>
              <w:t>2018</w:t>
            </w:r>
          </w:p>
        </w:tc>
        <w:tc>
          <w:tcPr>
            <w:tcW w:w="4078" w:type="dxa"/>
          </w:tcPr>
          <w:p w14:paraId="1C831B94" w14:textId="00570489" w:rsidR="007052A6" w:rsidRPr="00EC0029" w:rsidRDefault="007052A6" w:rsidP="006D72FD">
            <w:pPr>
              <w:pStyle w:val="3TableText"/>
              <w:rPr>
                <w:rFonts w:cs="Calibri"/>
                <w:szCs w:val="20"/>
              </w:rPr>
            </w:pPr>
            <w:r w:rsidRPr="006A0FCE">
              <w:rPr>
                <w:rFonts w:cs="Calibri"/>
                <w:szCs w:val="20"/>
              </w:rPr>
              <w:t>2018 FEMA Texas West Central</w:t>
            </w:r>
          </w:p>
        </w:tc>
        <w:tc>
          <w:tcPr>
            <w:tcW w:w="1431" w:type="dxa"/>
            <w:vAlign w:val="top"/>
          </w:tcPr>
          <w:p w14:paraId="6CC5D0FC" w14:textId="6173499B" w:rsidR="007052A6" w:rsidRPr="00EC0029" w:rsidRDefault="007052A6" w:rsidP="001F4E43">
            <w:pPr>
              <w:pStyle w:val="3TableText"/>
              <w:jc w:val="center"/>
              <w:rPr>
                <w:rFonts w:cs="Calibri"/>
                <w:szCs w:val="20"/>
              </w:rPr>
            </w:pPr>
            <w:r>
              <w:rPr>
                <w:rFonts w:cs="Calibri"/>
                <w:szCs w:val="20"/>
              </w:rPr>
              <w:t>USGS/FEMA</w:t>
            </w:r>
          </w:p>
        </w:tc>
        <w:tc>
          <w:tcPr>
            <w:tcW w:w="1164" w:type="dxa"/>
          </w:tcPr>
          <w:p w14:paraId="7BEF33AD" w14:textId="69A33792" w:rsidR="007052A6" w:rsidRPr="00EC0029" w:rsidRDefault="007052A6" w:rsidP="001F4E43">
            <w:pPr>
              <w:pStyle w:val="3TableText"/>
              <w:jc w:val="center"/>
              <w:rPr>
                <w:rFonts w:cs="Calibri"/>
                <w:szCs w:val="20"/>
              </w:rPr>
            </w:pPr>
            <w:r>
              <w:rPr>
                <w:rFonts w:cs="Calibri"/>
                <w:szCs w:val="20"/>
              </w:rPr>
              <w:t>9.1</w:t>
            </w:r>
            <w:r w:rsidRPr="00EC0029">
              <w:rPr>
                <w:rFonts w:cs="Calibri"/>
                <w:szCs w:val="20"/>
              </w:rPr>
              <w:t xml:space="preserve"> cm</w:t>
            </w:r>
          </w:p>
        </w:tc>
        <w:tc>
          <w:tcPr>
            <w:tcW w:w="2003" w:type="dxa"/>
          </w:tcPr>
          <w:p w14:paraId="229E75DA" w14:textId="3624DEBA" w:rsidR="007052A6" w:rsidRPr="00EC0029" w:rsidRDefault="00AA1CAE" w:rsidP="001F4E43">
            <w:pPr>
              <w:pStyle w:val="3TableText"/>
              <w:jc w:val="center"/>
              <w:rPr>
                <w:rFonts w:cs="Calibri"/>
                <w:szCs w:val="20"/>
              </w:rPr>
            </w:pPr>
            <w:r>
              <w:rPr>
                <w:rFonts w:cs="Calibri"/>
                <w:szCs w:val="20"/>
              </w:rPr>
              <w:t>1</w:t>
            </w:r>
            <w:r w:rsidR="001838ED">
              <w:rPr>
                <w:rFonts w:cs="Calibri"/>
                <w:szCs w:val="20"/>
              </w:rPr>
              <w:t>,</w:t>
            </w:r>
            <w:r>
              <w:rPr>
                <w:rFonts w:cs="Calibri"/>
                <w:szCs w:val="20"/>
              </w:rPr>
              <w:t>008.1</w:t>
            </w:r>
          </w:p>
        </w:tc>
      </w:tr>
      <w:tr w:rsidR="007052A6" w:rsidRPr="00712569" w14:paraId="36CCABC8" w14:textId="77777777" w:rsidTr="006D72FD">
        <w:trPr>
          <w:cnfStyle w:val="000000010000" w:firstRow="0" w:lastRow="0" w:firstColumn="0" w:lastColumn="0" w:oddVBand="0" w:evenVBand="0" w:oddHBand="0" w:evenHBand="1" w:firstRowFirstColumn="0" w:firstRowLastColumn="0" w:lastRowFirstColumn="0" w:lastRowLastColumn="0"/>
          <w:trHeight w:val="288"/>
        </w:trPr>
        <w:tc>
          <w:tcPr>
            <w:tcW w:w="647" w:type="dxa"/>
          </w:tcPr>
          <w:p w14:paraId="2D3B1154" w14:textId="6BC07987" w:rsidR="007052A6" w:rsidRPr="00EC0029" w:rsidRDefault="007052A6" w:rsidP="001F4E43">
            <w:pPr>
              <w:pStyle w:val="3TableText"/>
              <w:rPr>
                <w:rFonts w:cs="Calibri"/>
                <w:szCs w:val="20"/>
              </w:rPr>
            </w:pPr>
            <w:r w:rsidRPr="00EC0029">
              <w:rPr>
                <w:rFonts w:cs="Calibri"/>
                <w:szCs w:val="20"/>
              </w:rPr>
              <w:t>2017</w:t>
            </w:r>
          </w:p>
        </w:tc>
        <w:tc>
          <w:tcPr>
            <w:tcW w:w="4078" w:type="dxa"/>
          </w:tcPr>
          <w:p w14:paraId="4E14969C" w14:textId="5CA431FC" w:rsidR="007052A6" w:rsidRPr="00EC0029" w:rsidRDefault="007052A6" w:rsidP="001F4E43">
            <w:pPr>
              <w:pStyle w:val="3TableText"/>
              <w:rPr>
                <w:rFonts w:cs="Calibri"/>
                <w:szCs w:val="20"/>
              </w:rPr>
            </w:pPr>
            <w:r w:rsidRPr="006A0FCE">
              <w:rPr>
                <w:rFonts w:cs="Calibri"/>
                <w:szCs w:val="20"/>
              </w:rPr>
              <w:t>2018 FEMA Texas Panhandle</w:t>
            </w:r>
          </w:p>
        </w:tc>
        <w:tc>
          <w:tcPr>
            <w:tcW w:w="1431" w:type="dxa"/>
            <w:vAlign w:val="top"/>
          </w:tcPr>
          <w:p w14:paraId="06E2C960" w14:textId="046B4390" w:rsidR="007052A6" w:rsidRPr="00EC0029" w:rsidRDefault="007052A6" w:rsidP="001F4E43">
            <w:pPr>
              <w:pStyle w:val="3TableText"/>
              <w:jc w:val="center"/>
              <w:rPr>
                <w:rFonts w:cs="Calibri"/>
                <w:szCs w:val="20"/>
              </w:rPr>
            </w:pPr>
            <w:r>
              <w:rPr>
                <w:rFonts w:cs="Calibri"/>
                <w:szCs w:val="20"/>
              </w:rPr>
              <w:t>USGS/FEMA</w:t>
            </w:r>
          </w:p>
        </w:tc>
        <w:tc>
          <w:tcPr>
            <w:tcW w:w="1164" w:type="dxa"/>
          </w:tcPr>
          <w:p w14:paraId="45540E2A" w14:textId="327E6111" w:rsidR="007052A6" w:rsidRPr="00EC0029" w:rsidRDefault="007052A6" w:rsidP="008E2745">
            <w:pPr>
              <w:pStyle w:val="3TableText"/>
              <w:jc w:val="center"/>
              <w:rPr>
                <w:rFonts w:cs="Calibri"/>
                <w:szCs w:val="20"/>
              </w:rPr>
            </w:pPr>
            <w:r>
              <w:rPr>
                <w:rFonts w:cs="Calibri"/>
                <w:szCs w:val="20"/>
              </w:rPr>
              <w:t>7.2</w:t>
            </w:r>
            <w:r w:rsidRPr="00EC0029">
              <w:rPr>
                <w:rFonts w:cs="Calibri"/>
                <w:szCs w:val="20"/>
              </w:rPr>
              <w:t xml:space="preserve"> cm</w:t>
            </w:r>
          </w:p>
        </w:tc>
        <w:tc>
          <w:tcPr>
            <w:tcW w:w="2003" w:type="dxa"/>
          </w:tcPr>
          <w:p w14:paraId="44B03421" w14:textId="3F814C61" w:rsidR="007052A6" w:rsidRPr="00EC0029" w:rsidRDefault="001838ED" w:rsidP="001F4E43">
            <w:pPr>
              <w:pStyle w:val="3TableText"/>
              <w:jc w:val="center"/>
              <w:rPr>
                <w:rFonts w:cs="Calibri"/>
                <w:szCs w:val="20"/>
              </w:rPr>
            </w:pPr>
            <w:r>
              <w:rPr>
                <w:rFonts w:cs="Calibri"/>
                <w:szCs w:val="20"/>
              </w:rPr>
              <w:t>1,253.5</w:t>
            </w:r>
          </w:p>
        </w:tc>
      </w:tr>
      <w:tr w:rsidR="007052A6" w:rsidRPr="00712569" w14:paraId="2772CB7B" w14:textId="77777777" w:rsidTr="006D72FD">
        <w:trPr>
          <w:cnfStyle w:val="000000100000" w:firstRow="0" w:lastRow="0" w:firstColumn="0" w:lastColumn="0" w:oddVBand="0" w:evenVBand="0" w:oddHBand="1" w:evenHBand="0" w:firstRowFirstColumn="0" w:firstRowLastColumn="0" w:lastRowFirstColumn="0" w:lastRowLastColumn="0"/>
          <w:trHeight w:val="288"/>
        </w:trPr>
        <w:tc>
          <w:tcPr>
            <w:tcW w:w="647" w:type="dxa"/>
          </w:tcPr>
          <w:p w14:paraId="64E6F0AB" w14:textId="5DA433E9" w:rsidR="007052A6" w:rsidRPr="00EC0029" w:rsidRDefault="007052A6" w:rsidP="001F4E43">
            <w:pPr>
              <w:pStyle w:val="3TableText"/>
              <w:rPr>
                <w:rFonts w:cs="Calibri"/>
                <w:szCs w:val="20"/>
                <w:vertAlign w:val="superscript"/>
              </w:rPr>
            </w:pPr>
            <w:r w:rsidRPr="00EC0029">
              <w:rPr>
                <w:rFonts w:cs="Calibri"/>
                <w:szCs w:val="20"/>
              </w:rPr>
              <w:t>2017</w:t>
            </w:r>
          </w:p>
        </w:tc>
        <w:tc>
          <w:tcPr>
            <w:tcW w:w="4078" w:type="dxa"/>
          </w:tcPr>
          <w:p w14:paraId="0AABC83C" w14:textId="6301793B" w:rsidR="007052A6" w:rsidRPr="00EC0029" w:rsidRDefault="007052A6" w:rsidP="006D72FD">
            <w:pPr>
              <w:pStyle w:val="3TableText"/>
              <w:rPr>
                <w:rFonts w:cs="Calibri"/>
                <w:szCs w:val="20"/>
              </w:rPr>
            </w:pPr>
            <w:r w:rsidRPr="006A0FCE">
              <w:rPr>
                <w:rFonts w:cs="Calibri"/>
                <w:szCs w:val="20"/>
              </w:rPr>
              <w:t>2016 Roosevelt and Curry, New Mexico</w:t>
            </w:r>
          </w:p>
        </w:tc>
        <w:tc>
          <w:tcPr>
            <w:tcW w:w="1431" w:type="dxa"/>
            <w:vAlign w:val="top"/>
          </w:tcPr>
          <w:p w14:paraId="7B2D5FCA" w14:textId="43EF5AC6" w:rsidR="007052A6" w:rsidRPr="00EC0029" w:rsidRDefault="007052A6" w:rsidP="001F4E43">
            <w:pPr>
              <w:pStyle w:val="3TableText"/>
              <w:jc w:val="center"/>
              <w:rPr>
                <w:rFonts w:cs="Calibri"/>
                <w:szCs w:val="20"/>
              </w:rPr>
            </w:pPr>
            <w:r w:rsidRPr="00EC0029">
              <w:rPr>
                <w:rFonts w:cs="Calibri"/>
                <w:szCs w:val="20"/>
              </w:rPr>
              <w:t>TNRIS/TWDB</w:t>
            </w:r>
          </w:p>
        </w:tc>
        <w:tc>
          <w:tcPr>
            <w:tcW w:w="1164" w:type="dxa"/>
          </w:tcPr>
          <w:p w14:paraId="16C0B8DA" w14:textId="7C0ACE9D" w:rsidR="007052A6" w:rsidRPr="00EC0029" w:rsidRDefault="007052A6" w:rsidP="001F4E43">
            <w:pPr>
              <w:pStyle w:val="3TableText"/>
              <w:jc w:val="center"/>
              <w:rPr>
                <w:rFonts w:cs="Calibri"/>
                <w:szCs w:val="20"/>
              </w:rPr>
            </w:pPr>
            <w:r>
              <w:rPr>
                <w:rFonts w:cs="Calibri"/>
                <w:szCs w:val="20"/>
              </w:rPr>
              <w:t>11.9</w:t>
            </w:r>
            <w:r w:rsidRPr="00EC0029">
              <w:rPr>
                <w:rFonts w:cs="Calibri"/>
                <w:szCs w:val="20"/>
              </w:rPr>
              <w:t xml:space="preserve"> cm</w:t>
            </w:r>
          </w:p>
        </w:tc>
        <w:tc>
          <w:tcPr>
            <w:tcW w:w="2003" w:type="dxa"/>
          </w:tcPr>
          <w:p w14:paraId="7A804F65" w14:textId="5E5BF1AA" w:rsidR="007052A6" w:rsidRPr="00EC0029" w:rsidRDefault="001838ED" w:rsidP="001F4E43">
            <w:pPr>
              <w:pStyle w:val="3TableText"/>
              <w:jc w:val="center"/>
              <w:rPr>
                <w:rFonts w:cs="Calibri"/>
                <w:szCs w:val="20"/>
              </w:rPr>
            </w:pPr>
            <w:r>
              <w:rPr>
                <w:rFonts w:cs="Calibri"/>
                <w:szCs w:val="20"/>
              </w:rPr>
              <w:t>2,231.4</w:t>
            </w:r>
          </w:p>
        </w:tc>
      </w:tr>
    </w:tbl>
    <w:p w14:paraId="719C2E9D" w14:textId="77777777" w:rsidR="00BA24A7" w:rsidRPr="0098555D" w:rsidRDefault="00BA24A7" w:rsidP="00BA24A7">
      <w:pPr>
        <w:pStyle w:val="BodyText"/>
        <w:spacing w:after="0" w:line="240" w:lineRule="auto"/>
        <w:rPr>
          <w:sz w:val="16"/>
          <w:szCs w:val="16"/>
        </w:rPr>
      </w:pPr>
      <w:r w:rsidRPr="0098555D">
        <w:rPr>
          <w:sz w:val="16"/>
          <w:szCs w:val="16"/>
          <w:vertAlign w:val="superscript"/>
        </w:rPr>
        <w:t>1</w:t>
      </w:r>
      <w:r w:rsidRPr="0098555D">
        <w:rPr>
          <w:sz w:val="16"/>
          <w:szCs w:val="16"/>
        </w:rPr>
        <w:t>RMSEz reported at the 95% confidence level</w:t>
      </w:r>
    </w:p>
    <w:p w14:paraId="217F4BF8" w14:textId="2C175B39" w:rsidR="001531A9" w:rsidRPr="0098555D" w:rsidRDefault="00BA24A7" w:rsidP="005269D3">
      <w:pPr>
        <w:pStyle w:val="BodyText"/>
        <w:rPr>
          <w:sz w:val="16"/>
          <w:szCs w:val="16"/>
        </w:rPr>
      </w:pPr>
      <w:r w:rsidRPr="0098555D">
        <w:rPr>
          <w:sz w:val="16"/>
          <w:szCs w:val="16"/>
          <w:vertAlign w:val="superscript"/>
        </w:rPr>
        <w:t>2</w:t>
      </w:r>
      <w:r w:rsidRPr="0098555D">
        <w:rPr>
          <w:sz w:val="16"/>
          <w:szCs w:val="16"/>
        </w:rPr>
        <w:t>Size of LiDAR DEM footprint utilized for BLE study</w:t>
      </w:r>
      <w:bookmarkEnd w:id="33"/>
    </w:p>
    <w:p w14:paraId="2B9220B1" w14:textId="3C915522" w:rsidR="005269D3" w:rsidRDefault="00AF679B" w:rsidP="005269D3">
      <w:pPr>
        <w:pStyle w:val="Heading4"/>
      </w:pPr>
      <w:bookmarkStart w:id="36" w:name="_Toc112877065"/>
      <w:r>
        <w:t>Yellow House Draw</w:t>
      </w:r>
      <w:r w:rsidR="00EA7F53">
        <w:t xml:space="preserve"> </w:t>
      </w:r>
      <w:r w:rsidR="00595F0B">
        <w:t xml:space="preserve">Watershed Source Terrain </w:t>
      </w:r>
      <w:r w:rsidR="006B4EA6">
        <w:t>Data</w:t>
      </w:r>
      <w:bookmarkEnd w:id="36"/>
    </w:p>
    <w:p w14:paraId="34D56CFE" w14:textId="603E0B62" w:rsidR="00595F0B" w:rsidRDefault="007052A6" w:rsidP="00E64AC2">
      <w:pPr>
        <w:pStyle w:val="BodyText"/>
      </w:pPr>
      <w:r w:rsidRPr="006D72FD">
        <w:t xml:space="preserve">The source elevation data for the </w:t>
      </w:r>
      <w:r>
        <w:t>Yellow House Draw</w:t>
      </w:r>
      <w:r w:rsidRPr="006D72FD">
        <w:t xml:space="preserve"> </w:t>
      </w:r>
      <w:r w:rsidRPr="005C72F6">
        <w:t>watershed</w:t>
      </w:r>
      <w:r w:rsidRPr="006D72FD">
        <w:t xml:space="preserve"> are DEMs derived from the </w:t>
      </w:r>
      <w:r w:rsidRPr="006A0FCE">
        <w:t>2018 FEMA Texas West Central</w:t>
      </w:r>
      <w:r>
        <w:t>; the</w:t>
      </w:r>
      <w:r w:rsidRPr="006D72FD">
        <w:t xml:space="preserve"> </w:t>
      </w:r>
      <w:r w:rsidRPr="006A0FCE">
        <w:t>2018 FEMA Texas Panhandle</w:t>
      </w:r>
      <w:r w:rsidRPr="006D72FD">
        <w:t>; and the</w:t>
      </w:r>
      <w:r>
        <w:t xml:space="preserve"> </w:t>
      </w:r>
      <w:r w:rsidRPr="006A0FCE">
        <w:t>2016 Roosevelt and Curry, New Mexico</w:t>
      </w:r>
      <w:r>
        <w:t xml:space="preserve"> LiDAR.</w:t>
      </w:r>
      <w:r w:rsidRPr="006D72FD">
        <w:t xml:space="preserve"> </w:t>
      </w:r>
      <w:r>
        <w:t>Only points c</w:t>
      </w:r>
      <w:r w:rsidRPr="006D72FD">
        <w:t xml:space="preserve">lassified as “ground” points (i.e., bare earth) were imported from the LiDAR and used for development of the project DEMs. Bare-earth LiDAR data are typically made by filtering non-ground returns (e.g. buildings, vegetation, etc.) from the raw laser returns. </w:t>
      </w:r>
      <w:r w:rsidRPr="006D72FD">
        <w:fldChar w:fldCharType="begin"/>
      </w:r>
      <w:r w:rsidRPr="006D72FD">
        <w:instrText xml:space="preserve"> REF _Ref61591734 \h  \* MERGEFORMAT </w:instrText>
      </w:r>
      <w:r w:rsidRPr="006D72FD">
        <w:fldChar w:fldCharType="separate"/>
      </w:r>
      <w:r w:rsidR="00C9792F">
        <w:t>Figure 2</w:t>
      </w:r>
      <w:r w:rsidRPr="006D72FD">
        <w:fldChar w:fldCharType="end"/>
      </w:r>
      <w:r w:rsidRPr="006D72FD">
        <w:t xml:space="preserve"> depicts the extent of the data defined in </w:t>
      </w:r>
      <w:r w:rsidRPr="006D72FD">
        <w:fldChar w:fldCharType="begin"/>
      </w:r>
      <w:r w:rsidRPr="006D72FD">
        <w:instrText xml:space="preserve"> REF _Ref85201199 \h  \* MERGEFORMAT </w:instrText>
      </w:r>
      <w:r w:rsidRPr="006D72FD">
        <w:fldChar w:fldCharType="separate"/>
      </w:r>
      <w:r w:rsidR="00C9792F">
        <w:t>Table 2</w:t>
      </w:r>
      <w:r w:rsidRPr="006D72FD">
        <w:fldChar w:fldCharType="end"/>
      </w:r>
      <w:r w:rsidR="00595F0B" w:rsidRPr="006D72FD">
        <w:t>.</w:t>
      </w:r>
    </w:p>
    <w:p w14:paraId="0A43F104" w14:textId="77777777" w:rsidR="007052A6" w:rsidRPr="007052A6" w:rsidRDefault="007052A6" w:rsidP="007052A6">
      <w:pPr>
        <w:tabs>
          <w:tab w:val="clear" w:pos="284"/>
        </w:tabs>
        <w:spacing w:after="180"/>
        <w:rPr>
          <w:rFonts w:asciiTheme="majorHAnsi" w:eastAsiaTheme="majorEastAsia" w:hAnsiTheme="majorHAnsi" w:cstheme="majorBidi"/>
          <w:b/>
          <w:color w:val="00B5E2" w:themeColor="accent1"/>
        </w:rPr>
      </w:pPr>
      <w:r w:rsidRPr="007052A6">
        <w:rPr>
          <w:rFonts w:asciiTheme="majorHAnsi" w:eastAsiaTheme="majorEastAsia" w:hAnsiTheme="majorHAnsi" w:cstheme="majorBidi"/>
          <w:b/>
          <w:color w:val="00B5E2" w:themeColor="accent1"/>
        </w:rPr>
        <w:t>2018 FEMA Texas West Central</w:t>
      </w:r>
    </w:p>
    <w:p w14:paraId="6B81EE88" w14:textId="4ABFDA7F" w:rsidR="007052A6" w:rsidRPr="007052A6" w:rsidRDefault="007052A6" w:rsidP="00AC2518">
      <w:pPr>
        <w:pStyle w:val="BodyText"/>
      </w:pPr>
      <w:r w:rsidRPr="007052A6">
        <w:t xml:space="preserve">This USGS LiDAR project covers portions of Hale and Lubbock Counties, Texas within the </w:t>
      </w:r>
      <w:r>
        <w:t>Yellow House</w:t>
      </w:r>
      <w:r w:rsidRPr="007052A6">
        <w:t xml:space="preserve"> Draw HUC</w:t>
      </w:r>
      <w:r w:rsidR="00570522">
        <w:t>-</w:t>
      </w:r>
      <w:r w:rsidRPr="007052A6">
        <w:t>8 study area. The USGS awarded this project to support the FEMA Risk MAP program. The acquisition was conducted from February 1, 2018 through May 27, 2018. Reflights were collected on November 5, 2018. Dewberry served as the prime contractor for the project. In addition to project management, Dewberry was responsible for LAS classification, all lidar products, breakline production, DEM production, and quality assurance. The source 1-meter bare earth DEM data was in Universal Transverse Mercator (UTM) Zone 13N, North American Datum of 1983 (NAD83) (2011), meters with elevations in North American Vertical Datum of 1988 (NAVD88) (GEOID12B), meters. For the Texas West Central QL2 Lidar Project, the tested RMSEz of the classified lidar data for checkpoints in non-vegetated terrain equaled 4.7 cm compared with the 10 cm specification; and the Non-vegetated Vertical Accuracy (NVA) of the classified lidar data computed using RMSEz x 1.9600 was equal to 9.1 cm, compared with the 19.6 cm specification. Using NSSDA methodology, the horizontal accuracy at the 95 percent confidence level was reported as 61.4 cm (target was 100 cm).</w:t>
      </w:r>
    </w:p>
    <w:p w14:paraId="72A8CD91" w14:textId="77777777" w:rsidR="007052A6" w:rsidRPr="007052A6" w:rsidRDefault="007052A6" w:rsidP="007052A6">
      <w:pPr>
        <w:tabs>
          <w:tab w:val="clear" w:pos="284"/>
        </w:tabs>
        <w:spacing w:after="180"/>
        <w:rPr>
          <w:rFonts w:asciiTheme="majorHAnsi" w:eastAsiaTheme="majorEastAsia" w:hAnsiTheme="majorHAnsi" w:cstheme="majorBidi"/>
          <w:b/>
          <w:color w:val="00B5E2" w:themeColor="accent1"/>
        </w:rPr>
      </w:pPr>
      <w:r w:rsidRPr="007052A6">
        <w:rPr>
          <w:rFonts w:asciiTheme="majorHAnsi" w:eastAsiaTheme="majorEastAsia" w:hAnsiTheme="majorHAnsi" w:cstheme="majorBidi"/>
          <w:b/>
          <w:color w:val="00B5E2" w:themeColor="accent1"/>
        </w:rPr>
        <w:t>2018 FEMA Texas Panhandle</w:t>
      </w:r>
    </w:p>
    <w:p w14:paraId="50E31EBF" w14:textId="3D2E094D" w:rsidR="007052A6" w:rsidRPr="007052A6" w:rsidRDefault="007052A6" w:rsidP="00AC2518">
      <w:pPr>
        <w:pStyle w:val="BodyText"/>
      </w:pPr>
      <w:r w:rsidRPr="007052A6">
        <w:t xml:space="preserve">This USGS LiDAR project covers Bailey, Castro, Hale, Lamb, Lubbock, and Parmer Counties, Texas within the </w:t>
      </w:r>
      <w:r>
        <w:t>Yellow House</w:t>
      </w:r>
      <w:r w:rsidRPr="007052A6">
        <w:t xml:space="preserve"> Draw HUC</w:t>
      </w:r>
      <w:r w:rsidR="00570522">
        <w:t>-</w:t>
      </w:r>
      <w:r w:rsidRPr="007052A6">
        <w:t>8 study area. The task order for this LiDAR project was issued by the USGS’s National Geospatial Technical Operations Center (NGTOC) for the acquisition and processing of QL2 data in the Texas Panhandle and Red River regions in northern Texas and western Oklahoma. The acquisition was conducted from the winter of 2017 through April 20, 2018. Woolpert was responsible for LAS classification, all lidar products, breakline production, DEM production, and quality assurance. The source 1-meter bare earth DEM data was in UTM Zone 13N, NAD83 (2011), meters with elevations in NAVD88 (GEOID12B), meters.  The NVA of the DEM computed using RMSEz x 1.9600 was equal to 7.2 cm, compared with the 19.6 cm specification.</w:t>
      </w:r>
    </w:p>
    <w:p w14:paraId="341F74F5" w14:textId="77777777" w:rsidR="007052A6" w:rsidRPr="007052A6" w:rsidRDefault="007052A6" w:rsidP="007052A6">
      <w:pPr>
        <w:tabs>
          <w:tab w:val="clear" w:pos="284"/>
        </w:tabs>
        <w:spacing w:after="180"/>
        <w:rPr>
          <w:rFonts w:asciiTheme="majorHAnsi" w:eastAsiaTheme="majorEastAsia" w:hAnsiTheme="majorHAnsi" w:cstheme="majorBidi"/>
          <w:b/>
          <w:color w:val="00B5E2" w:themeColor="accent1"/>
        </w:rPr>
      </w:pPr>
      <w:r w:rsidRPr="007052A6">
        <w:rPr>
          <w:rFonts w:asciiTheme="majorHAnsi" w:eastAsiaTheme="majorEastAsia" w:hAnsiTheme="majorHAnsi" w:cstheme="majorBidi"/>
          <w:b/>
          <w:color w:val="00B5E2" w:themeColor="accent1"/>
        </w:rPr>
        <w:t>2016 Roosevelt and Curry, New Mexico</w:t>
      </w:r>
    </w:p>
    <w:p w14:paraId="3878DCFF" w14:textId="2A2791F6" w:rsidR="006D72FD" w:rsidRDefault="007052A6" w:rsidP="006D72FD">
      <w:pPr>
        <w:pStyle w:val="BodyText"/>
        <w:rPr>
          <w:noProof/>
          <w:szCs w:val="22"/>
        </w:rPr>
      </w:pPr>
      <w:r w:rsidRPr="007052A6">
        <w:rPr>
          <w:szCs w:val="22"/>
        </w:rPr>
        <w:t xml:space="preserve">This USGS LiDAR project covers Curry and Roosevelt Counties, New Mexico within the </w:t>
      </w:r>
      <w:r>
        <w:rPr>
          <w:szCs w:val="22"/>
        </w:rPr>
        <w:t>Yellow House</w:t>
      </w:r>
      <w:r w:rsidRPr="007052A6">
        <w:rPr>
          <w:szCs w:val="22"/>
        </w:rPr>
        <w:t xml:space="preserve"> Draw HUC</w:t>
      </w:r>
      <w:r w:rsidR="00570522">
        <w:rPr>
          <w:szCs w:val="22"/>
        </w:rPr>
        <w:t>-</w:t>
      </w:r>
      <w:r w:rsidRPr="007052A6">
        <w:rPr>
          <w:szCs w:val="22"/>
        </w:rPr>
        <w:t>8 study area. Digital Aerial Solutions, LLC was tasked to collect and process this lidar-derived elevation dataset. The acquisition was conducted from September 30, 2015 and was completed on October 15, 2015. The source bare earth 1-meter DEM data was in UTM Zone 15N, NAD83, meters with elevations in NAVD88 (GEOID12B), meters.  The NVA of the DEM, computed using RMSEz x 1.9600, was equal to 11.9 cm, compared with the 19.6 cm specification</w:t>
      </w:r>
      <w:r w:rsidR="0078584D">
        <w:t>.</w:t>
      </w:r>
    </w:p>
    <w:p w14:paraId="17AB641A" w14:textId="77777777" w:rsidR="00E413BF" w:rsidRDefault="00E413BF" w:rsidP="00E413BF">
      <w:pPr>
        <w:pStyle w:val="Heading3"/>
      </w:pPr>
      <w:bookmarkStart w:id="37" w:name="_Toc112877066"/>
      <w:r>
        <w:t xml:space="preserve">Data </w:t>
      </w:r>
      <w:r w:rsidR="00663126">
        <w:t>Processing</w:t>
      </w:r>
      <w:bookmarkEnd w:id="37"/>
    </w:p>
    <w:p w14:paraId="252C0A38" w14:textId="79EE1372" w:rsidR="00663126" w:rsidRPr="0063201D" w:rsidRDefault="00663126" w:rsidP="00663126">
      <w:pPr>
        <w:pStyle w:val="BodyText"/>
        <w:jc w:val="both"/>
        <w:rPr>
          <w:szCs w:val="22"/>
        </w:rPr>
      </w:pPr>
      <w:r>
        <w:rPr>
          <w:szCs w:val="22"/>
        </w:rPr>
        <w:t>ArcGIS</w:t>
      </w:r>
      <w:r w:rsidRPr="0063201D">
        <w:rPr>
          <w:szCs w:val="22"/>
        </w:rPr>
        <w:t xml:space="preserve"> software was utilized in order to create a digital surface model for the </w:t>
      </w:r>
      <w:r w:rsidR="00AF679B">
        <w:t>Yellow House Draw</w:t>
      </w:r>
      <w:r w:rsidRPr="0063201D">
        <w:rPr>
          <w:szCs w:val="22"/>
        </w:rPr>
        <w:t xml:space="preserve"> HUC</w:t>
      </w:r>
      <w:r w:rsidR="00E07907">
        <w:rPr>
          <w:szCs w:val="22"/>
        </w:rPr>
        <w:t>-</w:t>
      </w:r>
      <w:r w:rsidRPr="0063201D">
        <w:rPr>
          <w:szCs w:val="22"/>
        </w:rPr>
        <w:t xml:space="preserve">8 </w:t>
      </w:r>
      <w:r w:rsidR="00270D3A">
        <w:rPr>
          <w:szCs w:val="22"/>
        </w:rPr>
        <w:t>w</w:t>
      </w:r>
      <w:r w:rsidRPr="0063201D">
        <w:rPr>
          <w:szCs w:val="22"/>
        </w:rPr>
        <w:t xml:space="preserve">atershed project area.  </w:t>
      </w:r>
      <w:r>
        <w:rPr>
          <w:szCs w:val="22"/>
        </w:rPr>
        <w:t>The LiDAR datasets were added to a mosaic dataset and prioritized by date with the most recent dataset taking the first priority.  If two datasets are from the same year or flown at similar dates, the accuracy was reviewed to determine the priority. The mosaic dataset was exported to make a seamless bare earth DEM.</w:t>
      </w:r>
      <w:r w:rsidRPr="0063201D">
        <w:rPr>
          <w:szCs w:val="22"/>
        </w:rPr>
        <w:t xml:space="preserve"> </w:t>
      </w:r>
    </w:p>
    <w:p w14:paraId="28ACD6C3" w14:textId="6D1A87BC" w:rsidR="006B140F" w:rsidRDefault="00663126" w:rsidP="00663126">
      <w:pPr>
        <w:pStyle w:val="BodyText"/>
        <w:jc w:val="both"/>
        <w:rPr>
          <w:szCs w:val="22"/>
        </w:rPr>
      </w:pPr>
      <w:r>
        <w:rPr>
          <w:szCs w:val="22"/>
        </w:rPr>
        <w:lastRenderedPageBreak/>
        <w:t xml:space="preserve">The exported DEM was reviewed through automated </w:t>
      </w:r>
      <w:r w:rsidR="002428BB">
        <w:rPr>
          <w:szCs w:val="22"/>
        </w:rPr>
        <w:t>quality control (</w:t>
      </w:r>
      <w:r>
        <w:rPr>
          <w:szCs w:val="22"/>
        </w:rPr>
        <w:t>QC</w:t>
      </w:r>
      <w:r w:rsidR="002428BB">
        <w:rPr>
          <w:szCs w:val="22"/>
        </w:rPr>
        <w:t>)</w:t>
      </w:r>
      <w:r>
        <w:rPr>
          <w:szCs w:val="22"/>
        </w:rPr>
        <w:t xml:space="preserve"> to check for anomalies and outlier locations based on slope and cells that exceed z value differences from surrounding cells.  Visual review was also performed to check for ground differences at the extents of the datasets for differences in ground values.</w:t>
      </w:r>
    </w:p>
    <w:p w14:paraId="40DB896C" w14:textId="77777777" w:rsidR="00E413BF" w:rsidRDefault="00E413BF" w:rsidP="00E413BF">
      <w:pPr>
        <w:pStyle w:val="Heading3"/>
      </w:pPr>
      <w:bookmarkStart w:id="38" w:name="_Toc112877067"/>
      <w:r>
        <w:t>DEM QA/QC</w:t>
      </w:r>
      <w:bookmarkEnd w:id="38"/>
    </w:p>
    <w:p w14:paraId="4133BB7E" w14:textId="557BB196" w:rsidR="009D25EB" w:rsidRPr="000B5E8E" w:rsidRDefault="009D25EB" w:rsidP="009D25EB">
      <w:pPr>
        <w:pStyle w:val="BodyText"/>
      </w:pPr>
      <w:r w:rsidRPr="000B5E8E">
        <w:t xml:space="preserve">DEMs developed for use in </w:t>
      </w:r>
      <w:r w:rsidR="00EB6F9E">
        <w:t xml:space="preserve">the </w:t>
      </w:r>
      <w:r w:rsidR="00AF679B">
        <w:t>Yellow House Draw</w:t>
      </w:r>
      <w:r w:rsidRPr="00723CB7">
        <w:t xml:space="preserve"> </w:t>
      </w:r>
      <w:r w:rsidR="005C72F6" w:rsidRPr="005C72F6">
        <w:t>watershed</w:t>
      </w:r>
      <w:r w:rsidRPr="00723CB7">
        <w:t xml:space="preserve"> </w:t>
      </w:r>
      <w:r w:rsidRPr="000B5E8E">
        <w:t>BLE analysis were developed and independently assured to meet quality standards of the project.  The data were developed using a controlled process, were evaluated and assured by a topographic data development team, and were evaluated and assured by the engineering team. Quality assurance</w:t>
      </w:r>
      <w:r w:rsidR="002428BB">
        <w:t xml:space="preserve"> (QA)</w:t>
      </w:r>
      <w:r w:rsidRPr="000B5E8E">
        <w:t xml:space="preserve"> during the data development process includes, but is not limited to the following QC checks:</w:t>
      </w:r>
    </w:p>
    <w:p w14:paraId="78ACA0A5" w14:textId="77777777" w:rsidR="009D25EB" w:rsidRPr="000B5E8E" w:rsidRDefault="009D25EB" w:rsidP="006C0F38">
      <w:pPr>
        <w:pStyle w:val="BodyText"/>
        <w:numPr>
          <w:ilvl w:val="0"/>
          <w:numId w:val="25"/>
        </w:numPr>
      </w:pPr>
      <w:r w:rsidRPr="000B5E8E">
        <w:t>Horizontal Projection Check</w:t>
      </w:r>
    </w:p>
    <w:p w14:paraId="119BCBE9" w14:textId="77777777" w:rsidR="009D25EB" w:rsidRPr="000B5E8E" w:rsidRDefault="009D25EB" w:rsidP="006C0F38">
      <w:pPr>
        <w:pStyle w:val="BodyText"/>
        <w:numPr>
          <w:ilvl w:val="0"/>
          <w:numId w:val="25"/>
        </w:numPr>
      </w:pPr>
      <w:r w:rsidRPr="000B5E8E">
        <w:t>Vertical Datum Check</w:t>
      </w:r>
    </w:p>
    <w:p w14:paraId="20EA67C3" w14:textId="77777777" w:rsidR="009D25EB" w:rsidRPr="000B5E8E" w:rsidRDefault="009D25EB" w:rsidP="006C0F38">
      <w:pPr>
        <w:pStyle w:val="BodyText"/>
        <w:numPr>
          <w:ilvl w:val="0"/>
          <w:numId w:val="25"/>
        </w:numPr>
      </w:pPr>
      <w:r w:rsidRPr="000B5E8E">
        <w:t>Resolution Check</w:t>
      </w:r>
    </w:p>
    <w:p w14:paraId="5B9B6D91" w14:textId="77777777" w:rsidR="009D25EB" w:rsidRPr="000B5E8E" w:rsidRDefault="009D25EB" w:rsidP="006C0F38">
      <w:pPr>
        <w:pStyle w:val="BodyText"/>
        <w:numPr>
          <w:ilvl w:val="0"/>
          <w:numId w:val="25"/>
        </w:numPr>
      </w:pPr>
      <w:r w:rsidRPr="000B5E8E">
        <w:t>Format Check</w:t>
      </w:r>
    </w:p>
    <w:p w14:paraId="74C749AF" w14:textId="77777777" w:rsidR="009D25EB" w:rsidRPr="000B5E8E" w:rsidRDefault="009D25EB" w:rsidP="006C0F38">
      <w:pPr>
        <w:pStyle w:val="BodyText"/>
        <w:numPr>
          <w:ilvl w:val="0"/>
          <w:numId w:val="25"/>
        </w:numPr>
      </w:pPr>
      <w:r w:rsidRPr="000B5E8E">
        <w:t>Seamless Data Check to ensure the DEM files are consistent and seamless along source data edges</w:t>
      </w:r>
    </w:p>
    <w:p w14:paraId="1C62C200" w14:textId="5B613311" w:rsidR="009D25EB" w:rsidRPr="000B5E8E" w:rsidRDefault="009D25EB" w:rsidP="009D25EB">
      <w:pPr>
        <w:pStyle w:val="BodyText"/>
      </w:pPr>
      <w:r w:rsidRPr="000B5E8E">
        <w:t xml:space="preserve">The </w:t>
      </w:r>
      <w:r w:rsidR="002428BB">
        <w:t>QC</w:t>
      </w:r>
      <w:r w:rsidRPr="000B5E8E">
        <w:t xml:space="preserve"> after the development process by the DEM development team included visual observations using hillshade, contouring, color rendering, and/or other visual aids to review and identify potential impactful anomalies within the DEM surface.  This QC step included, but w</w:t>
      </w:r>
      <w:r w:rsidR="00F9501B">
        <w:t>as</w:t>
      </w:r>
      <w:r w:rsidRPr="000B5E8E">
        <w:t xml:space="preserve"> not limited to the following QC checks:</w:t>
      </w:r>
    </w:p>
    <w:p w14:paraId="13B9448F" w14:textId="77777777" w:rsidR="009D25EB" w:rsidRPr="000B5E8E" w:rsidRDefault="009D25EB" w:rsidP="006C0F38">
      <w:pPr>
        <w:pStyle w:val="BodyText"/>
        <w:numPr>
          <w:ilvl w:val="0"/>
          <w:numId w:val="26"/>
        </w:numPr>
      </w:pPr>
      <w:r w:rsidRPr="000B5E8E">
        <w:t>Seamless Data Check to ensure no voids along the edges and between the prioritized datasets</w:t>
      </w:r>
    </w:p>
    <w:p w14:paraId="4587CB29" w14:textId="77777777" w:rsidR="009D25EB" w:rsidRPr="000B5E8E" w:rsidRDefault="009D25EB" w:rsidP="006C0F38">
      <w:pPr>
        <w:pStyle w:val="BodyText"/>
        <w:numPr>
          <w:ilvl w:val="0"/>
          <w:numId w:val="26"/>
        </w:numPr>
      </w:pPr>
      <w:r w:rsidRPr="000B5E8E">
        <w:t>NoData Value Check to ensure no null values</w:t>
      </w:r>
    </w:p>
    <w:p w14:paraId="0589B9FE" w14:textId="77777777" w:rsidR="009D25EB" w:rsidRPr="000B5E8E" w:rsidRDefault="009D25EB" w:rsidP="006C0F38">
      <w:pPr>
        <w:pStyle w:val="BodyText"/>
        <w:numPr>
          <w:ilvl w:val="0"/>
          <w:numId w:val="26"/>
        </w:numPr>
      </w:pPr>
      <w:r w:rsidRPr="000B5E8E">
        <w:t>Manual Elevation Check using hillshade rasters to find erroneous elevation issues</w:t>
      </w:r>
    </w:p>
    <w:p w14:paraId="0FB0ED70" w14:textId="77777777" w:rsidR="009D25EB" w:rsidRPr="000B5E8E" w:rsidRDefault="009D25EB" w:rsidP="006C0F38">
      <w:pPr>
        <w:pStyle w:val="BodyText"/>
        <w:numPr>
          <w:ilvl w:val="0"/>
          <w:numId w:val="26"/>
        </w:numPr>
      </w:pPr>
      <w:r w:rsidRPr="000B5E8E">
        <w:t>Unit Consistency Check</w:t>
      </w:r>
    </w:p>
    <w:p w14:paraId="1191A2F4" w14:textId="77777777" w:rsidR="009D25EB" w:rsidRPr="000B5E8E" w:rsidRDefault="009D25EB" w:rsidP="006C0F38">
      <w:pPr>
        <w:pStyle w:val="BodyText"/>
        <w:numPr>
          <w:ilvl w:val="0"/>
          <w:numId w:val="26"/>
        </w:numPr>
      </w:pPr>
      <w:r w:rsidRPr="000B5E8E">
        <w:t>Legacy Cell Value Anomalies</w:t>
      </w:r>
    </w:p>
    <w:p w14:paraId="1B252623" w14:textId="4800C148" w:rsidR="009D25EB" w:rsidRPr="000B5E8E" w:rsidRDefault="002428BB" w:rsidP="009D25EB">
      <w:pPr>
        <w:pStyle w:val="BodyText"/>
      </w:pPr>
      <w:r>
        <w:t>QA</w:t>
      </w:r>
      <w:r w:rsidR="009D25EB" w:rsidRPr="000B5E8E">
        <w:t xml:space="preserve"> conducted after the seamless DEM development conducted by the engineering team included visual or automated assessments to identify potentially impactful anomalies or slope changes that may adversely impact hydraulic</w:t>
      </w:r>
      <w:r w:rsidR="00746F17">
        <w:t xml:space="preserve"> analysis</w:t>
      </w:r>
      <w:r w:rsidR="009D25EB" w:rsidRPr="000B5E8E">
        <w:t>.</w:t>
      </w:r>
    </w:p>
    <w:p w14:paraId="2DD61D5A" w14:textId="20355EF1" w:rsidR="00D54AEC" w:rsidRPr="00E413BF" w:rsidRDefault="009D25EB" w:rsidP="00E413BF">
      <w:pPr>
        <w:pStyle w:val="BodyText"/>
      </w:pPr>
      <w:r w:rsidRPr="000B5E8E">
        <w:t xml:space="preserve">The final DEM data developed </w:t>
      </w:r>
      <w:r w:rsidRPr="00723CB7">
        <w:t xml:space="preserve">for the </w:t>
      </w:r>
      <w:r w:rsidR="00AF679B">
        <w:t>Yellow House Draw</w:t>
      </w:r>
      <w:r w:rsidR="00F05AAD">
        <w:t xml:space="preserve"> </w:t>
      </w:r>
      <w:r w:rsidR="005C72F6" w:rsidRPr="005C72F6">
        <w:t>watershed</w:t>
      </w:r>
      <w:r w:rsidRPr="00723CB7">
        <w:t xml:space="preserve"> </w:t>
      </w:r>
      <w:r>
        <w:t>is</w:t>
      </w:r>
      <w:r w:rsidRPr="000B5E8E">
        <w:t xml:space="preserve"> assured to meet FEMA standards and present a representative surface developed from leverage</w:t>
      </w:r>
      <w:r>
        <w:t>d</w:t>
      </w:r>
      <w:r w:rsidRPr="000B5E8E">
        <w:t xml:space="preserve"> elevation data for th</w:t>
      </w:r>
      <w:r w:rsidR="00A6648D">
        <w:t>e purposes of this BLE project.</w:t>
      </w:r>
    </w:p>
    <w:p w14:paraId="33059ABB" w14:textId="77777777" w:rsidR="00420CC8" w:rsidRDefault="00420CC8" w:rsidP="00265A9E">
      <w:pPr>
        <w:pStyle w:val="Heading2"/>
      </w:pPr>
      <w:bookmarkStart w:id="39" w:name="_Toc112877068"/>
      <w:r>
        <w:t>2D BLE</w:t>
      </w:r>
      <w:r w:rsidR="00E413BF">
        <w:t xml:space="preserve"> Methods</w:t>
      </w:r>
      <w:bookmarkEnd w:id="39"/>
    </w:p>
    <w:p w14:paraId="790DC7E1" w14:textId="7F302645" w:rsidR="0048315A" w:rsidRPr="0048315A" w:rsidRDefault="0048315A" w:rsidP="001C6876">
      <w:pPr>
        <w:pStyle w:val="BodyText"/>
      </w:pPr>
      <w:r>
        <w:t xml:space="preserve">HEC-RAS </w:t>
      </w:r>
      <w:r w:rsidR="00AF679B">
        <w:t>6</w:t>
      </w:r>
      <w:r>
        <w:t>.</w:t>
      </w:r>
      <w:r w:rsidR="00AF679B">
        <w:t>1</w:t>
      </w:r>
      <w:r>
        <w:t xml:space="preserve"> (RAS</w:t>
      </w:r>
      <w:r w:rsidR="00AF679B">
        <w:t>6</w:t>
      </w:r>
      <w:r>
        <w:t xml:space="preserve">) rain-on-grid utility was applied in the </w:t>
      </w:r>
      <w:r w:rsidR="001C6876">
        <w:t>Texas</w:t>
      </w:r>
      <w:r>
        <w:t xml:space="preserve"> 2D BLE products workflow. The following sections describe the engineering</w:t>
      </w:r>
      <w:r w:rsidR="001C6876">
        <w:t xml:space="preserve"> methods and model inputs used.</w:t>
      </w:r>
    </w:p>
    <w:p w14:paraId="20B9FBAD" w14:textId="77777777" w:rsidR="00976A14" w:rsidRPr="00265A9E" w:rsidRDefault="00976A14" w:rsidP="00E413BF">
      <w:pPr>
        <w:pStyle w:val="Heading3"/>
      </w:pPr>
      <w:bookmarkStart w:id="40" w:name="_Toc112877069"/>
      <w:r w:rsidRPr="00265A9E">
        <w:t>2D Computational Mesh and Settings</w:t>
      </w:r>
      <w:bookmarkEnd w:id="40"/>
    </w:p>
    <w:p w14:paraId="37DA7BF1" w14:textId="3B56D5E0" w:rsidR="00072DFC" w:rsidRDefault="00A9311D" w:rsidP="0048315A">
      <w:pPr>
        <w:pStyle w:val="BodyText"/>
      </w:pPr>
      <w:r w:rsidRPr="00072DFC">
        <w:t xml:space="preserve">Due to the size of the </w:t>
      </w:r>
      <w:r w:rsidR="00AF679B" w:rsidRPr="00072DFC">
        <w:t>Yellow House Draw</w:t>
      </w:r>
      <w:r w:rsidRPr="00072DFC">
        <w:t xml:space="preserve"> watershed (approximately</w:t>
      </w:r>
      <w:r w:rsidR="000C6811" w:rsidRPr="00072DFC">
        <w:t xml:space="preserve"> 3,670 sqmi,</w:t>
      </w:r>
      <w:r w:rsidRPr="00072DFC">
        <w:t xml:space="preserve"> 1</w:t>
      </w:r>
      <w:r w:rsidR="000C6811" w:rsidRPr="00072DFC">
        <w:t>,</w:t>
      </w:r>
      <w:r w:rsidR="000A05D7" w:rsidRPr="00072DFC">
        <w:t>8</w:t>
      </w:r>
      <w:r w:rsidRPr="00072DFC">
        <w:t>00 sqmi</w:t>
      </w:r>
      <w:r w:rsidR="000A05D7" w:rsidRPr="00072DFC">
        <w:t xml:space="preserve"> within Texas</w:t>
      </w:r>
      <w:r w:rsidRPr="00072DFC">
        <w:t>),</w:t>
      </w:r>
      <w:r w:rsidR="000C6811" w:rsidRPr="00072DFC">
        <w:t xml:space="preserve"> and due to computational and modeling limitations,</w:t>
      </w:r>
      <w:r w:rsidR="00AF679B" w:rsidRPr="00072DFC">
        <w:t xml:space="preserve"> </w:t>
      </w:r>
      <w:r w:rsidR="000C6811" w:rsidRPr="00072DFC">
        <w:t>the Texas portion of the Yellow House Draw watershed</w:t>
      </w:r>
      <w:r w:rsidRPr="00072DFC">
        <w:t xml:space="preserve"> HUC-8 was split into </w:t>
      </w:r>
      <w:r w:rsidR="00AF679B" w:rsidRPr="00072DFC">
        <w:t>5</w:t>
      </w:r>
      <w:r w:rsidRPr="00072DFC">
        <w:t xml:space="preserve"> separate HEC-RAS geometries as shown in </w:t>
      </w:r>
      <w:r w:rsidRPr="00072DFC">
        <w:fldChar w:fldCharType="begin"/>
      </w:r>
      <w:r w:rsidRPr="00072DFC">
        <w:instrText xml:space="preserve"> REF _Ref61261356 \h </w:instrText>
      </w:r>
      <w:r w:rsidR="00072DFC" w:rsidRPr="00072DFC">
        <w:instrText xml:space="preserve"> \* MERGEFORMAT </w:instrText>
      </w:r>
      <w:r w:rsidRPr="00072DFC">
        <w:fldChar w:fldCharType="separate"/>
      </w:r>
      <w:r w:rsidR="00C9792F">
        <w:t xml:space="preserve">Figure </w:t>
      </w:r>
      <w:r w:rsidR="00C9792F">
        <w:rPr>
          <w:noProof/>
        </w:rPr>
        <w:t>3</w:t>
      </w:r>
      <w:r w:rsidRPr="00072DFC">
        <w:fldChar w:fldCharType="end"/>
      </w:r>
      <w:r w:rsidRPr="00072DFC">
        <w:t xml:space="preserve">. The HUC-8 was split into modeling areas </w:t>
      </w:r>
      <w:r w:rsidR="000C6811" w:rsidRPr="00072DFC">
        <w:t>initially by</w:t>
      </w:r>
      <w:r w:rsidRPr="00072DFC">
        <w:t xml:space="preserve"> HUC-10</w:t>
      </w:r>
      <w:r w:rsidR="000C6811" w:rsidRPr="00072DFC">
        <w:t xml:space="preserve"> boundarie</w:t>
      </w:r>
      <w:r w:rsidRPr="00072DFC">
        <w:t>s. Minor adjustments have been made to HUC-10 boundaries to improve modeling efficiency</w:t>
      </w:r>
      <w:r w:rsidR="00821AC6" w:rsidRPr="00072DFC">
        <w:t xml:space="preserve"> with the final model areas shown in </w:t>
      </w:r>
      <w:r w:rsidR="00821AC6" w:rsidRPr="00072DFC">
        <w:fldChar w:fldCharType="begin"/>
      </w:r>
      <w:r w:rsidR="00821AC6" w:rsidRPr="00072DFC">
        <w:instrText xml:space="preserve"> REF _Ref61261356 \h </w:instrText>
      </w:r>
      <w:r w:rsidR="00072DFC" w:rsidRPr="00072DFC">
        <w:instrText xml:space="preserve"> \* MERGEFORMAT </w:instrText>
      </w:r>
      <w:r w:rsidR="00821AC6" w:rsidRPr="00072DFC">
        <w:fldChar w:fldCharType="separate"/>
      </w:r>
      <w:r w:rsidR="00C9792F">
        <w:t xml:space="preserve">Figure </w:t>
      </w:r>
      <w:r w:rsidR="00C9792F">
        <w:rPr>
          <w:noProof/>
        </w:rPr>
        <w:t>3</w:t>
      </w:r>
      <w:r w:rsidR="00821AC6" w:rsidRPr="00072DFC">
        <w:fldChar w:fldCharType="end"/>
      </w:r>
      <w:r w:rsidR="00821AC6" w:rsidRPr="00072DFC">
        <w:t xml:space="preserve"> below as YHD1, YHD2, YHD3, YHD4, and YHD5</w:t>
      </w:r>
      <w:r w:rsidR="00072DFC">
        <w:t xml:space="preserve">. </w:t>
      </w:r>
    </w:p>
    <w:p w14:paraId="3079BCD5" w14:textId="1B4F5D2C" w:rsidR="00072DFC" w:rsidRDefault="00072DFC" w:rsidP="0048315A">
      <w:pPr>
        <w:pStyle w:val="BodyText"/>
      </w:pPr>
      <w:r w:rsidRPr="007824FF">
        <w:t xml:space="preserve">The most </w:t>
      </w:r>
      <w:r>
        <w:t>downstream ends of both the Yellowhouse Draw and Black Water Draw</w:t>
      </w:r>
      <w:r w:rsidRPr="007824FF">
        <w:t xml:space="preserve"> HUC-8 watershed</w:t>
      </w:r>
      <w:r>
        <w:t>s</w:t>
      </w:r>
      <w:r w:rsidRPr="007824FF">
        <w:t xml:space="preserve">, </w:t>
      </w:r>
      <w:r>
        <w:t>near the confluence of the three watersheds, were</w:t>
      </w:r>
      <w:r w:rsidRPr="007824FF">
        <w:t xml:space="preserve"> </w:t>
      </w:r>
      <w:r>
        <w:t>modeled as a part of the upstream end of th</w:t>
      </w:r>
      <w:r w:rsidR="001A2566">
        <w:t>e</w:t>
      </w:r>
      <w:r>
        <w:t xml:space="preserve"> North Fork Double Mountain Fork (NFDMFB) 2D BLE model. This was done to move the model area tie in away (upstream) from the large confluence area and allow for easier tie in of the mapping of all three HUC-8 watersheds. After the modeling and mapping processes were completed for the three watersheds, with the upstream limits of the NFDMFB model tied in </w:t>
      </w:r>
      <w:r>
        <w:lastRenderedPageBreak/>
        <w:t xml:space="preserve">with the Yellowhouse Draw and Black Water Draw models at this location upstream of the confluence, the spatial data containing the mapping products was split and merged such that all mapped products delivered adhere to the original HUC-8 boundaries. Therefore, users should note that while the mapped floodplains and other datasets will be consistent with the original HUC-8 watershed boundaries, the modeling footprints will represent the edits to the boundaries described above. </w:t>
      </w:r>
    </w:p>
    <w:p w14:paraId="66152424" w14:textId="494DFE43" w:rsidR="003C754B" w:rsidRDefault="003C754B" w:rsidP="0048315A">
      <w:pPr>
        <w:pStyle w:val="BodyText"/>
      </w:pPr>
      <w:r w:rsidRPr="00072DFC">
        <w:t>The RAS</w:t>
      </w:r>
      <w:r w:rsidR="00587599" w:rsidRPr="00072DFC">
        <w:t>6</w:t>
      </w:r>
      <w:r w:rsidRPr="00072DFC">
        <w:t xml:space="preserve"> </w:t>
      </w:r>
      <w:r w:rsidR="00B42F58" w:rsidRPr="00072DFC">
        <w:t>watershed boundar</w:t>
      </w:r>
      <w:r w:rsidR="00175DDF" w:rsidRPr="00072DFC">
        <w:t>ies</w:t>
      </w:r>
      <w:r w:rsidR="00B42F58" w:rsidRPr="00072DFC">
        <w:t xml:space="preserve"> </w:t>
      </w:r>
      <w:r w:rsidR="00175DDF" w:rsidRPr="00072DFC">
        <w:t xml:space="preserve">were </w:t>
      </w:r>
      <w:r w:rsidRPr="00072DFC">
        <w:t xml:space="preserve">created for the </w:t>
      </w:r>
      <w:r w:rsidR="00587599" w:rsidRPr="00072DFC">
        <w:t>Yellow House Draw</w:t>
      </w:r>
      <w:r w:rsidRPr="00072DFC">
        <w:t xml:space="preserve"> model area</w:t>
      </w:r>
      <w:r w:rsidR="00175DDF" w:rsidRPr="00072DFC">
        <w:t>s</w:t>
      </w:r>
      <w:r w:rsidRPr="00072DFC">
        <w:t xml:space="preserve"> using ArcGIS toolsets, which reduce the need for manual edits to mesh cells within RAS</w:t>
      </w:r>
      <w:r w:rsidR="00587599" w:rsidRPr="00072DFC">
        <w:t>6</w:t>
      </w:r>
      <w:r w:rsidRPr="00072DFC">
        <w:t xml:space="preserve"> that result in error generation.</w:t>
      </w:r>
      <w:r w:rsidR="00587599" w:rsidRPr="00072DFC">
        <w:t xml:space="preserve"> </w:t>
      </w:r>
      <w:r w:rsidRPr="00072DFC">
        <w:t xml:space="preserve">The </w:t>
      </w:r>
      <w:r w:rsidR="000A05D7" w:rsidRPr="00072DFC">
        <w:t>Yellow House Draw</w:t>
      </w:r>
      <w:r w:rsidRPr="00072DFC">
        <w:t xml:space="preserve"> meshes</w:t>
      </w:r>
      <w:r w:rsidR="000A05D7" w:rsidRPr="00072DFC">
        <w:t xml:space="preserve"> contain cells ranging from</w:t>
      </w:r>
      <w:r w:rsidRPr="00072DFC">
        <w:t xml:space="preserve"> </w:t>
      </w:r>
      <w:r w:rsidR="000A05D7" w:rsidRPr="00072DFC">
        <w:t>183,630</w:t>
      </w:r>
      <w:r w:rsidRPr="00072DFC">
        <w:t xml:space="preserve"> </w:t>
      </w:r>
      <w:r w:rsidR="000A05D7" w:rsidRPr="00072DFC">
        <w:t>to</w:t>
      </w:r>
      <w:r w:rsidRPr="00072DFC">
        <w:t xml:space="preserve"> </w:t>
      </w:r>
      <w:r w:rsidR="000A05D7" w:rsidRPr="00072DFC">
        <w:t>621,316</w:t>
      </w:r>
      <w:r w:rsidRPr="00072DFC">
        <w:t xml:space="preserve"> cells, consisting of 200 foot cells</w:t>
      </w:r>
      <w:r w:rsidR="00E54194" w:rsidRPr="00072DFC">
        <w:t xml:space="preserve">, with the exception of 100 foot </w:t>
      </w:r>
      <w:r w:rsidR="001C6876" w:rsidRPr="00072DFC">
        <w:t>along the 1 square mile streams</w:t>
      </w:r>
      <w:r w:rsidR="00E54194" w:rsidRPr="00072DFC">
        <w:t xml:space="preserve"> and 50 foot cells within community boundaries</w:t>
      </w:r>
      <w:r w:rsidR="001C6876" w:rsidRPr="00072DFC">
        <w:t xml:space="preserve"> using refinement regions</w:t>
      </w:r>
      <w:r w:rsidR="0048315A" w:rsidRPr="00072DFC">
        <w:t>.</w:t>
      </w:r>
      <w:r w:rsidR="00767EF6" w:rsidRPr="00072DFC">
        <w:t xml:space="preserve"> Within community boundaries the streamlines were also extended to the 0.5 square mile extent and assigned 50 foot cell spacing in order to be more detailed.</w:t>
      </w:r>
      <w:r w:rsidR="00E54194" w:rsidRPr="00072DFC">
        <w:t xml:space="preserve"> Internal connections were used to extract flow readings </w:t>
      </w:r>
      <w:r w:rsidR="003C7AEE" w:rsidRPr="00072DFC">
        <w:t>for regression</w:t>
      </w:r>
      <w:r w:rsidR="009B5454" w:rsidRPr="00072DFC">
        <w:t xml:space="preserve"> flow comparison </w:t>
      </w:r>
      <w:r w:rsidR="001C6876" w:rsidRPr="00072DFC">
        <w:t xml:space="preserve">locations throughout the model, while profile lines were used for all other flow extractions. </w:t>
      </w:r>
      <w:r w:rsidR="0048315A" w:rsidRPr="00072DFC">
        <w:t xml:space="preserve">An adaptive </w:t>
      </w:r>
      <w:r w:rsidR="00587599" w:rsidRPr="00072DFC">
        <w:t>one minute</w:t>
      </w:r>
      <w:r w:rsidR="0048315A" w:rsidRPr="00072DFC">
        <w:t xml:space="preserve"> time step was used to allow the model to lower the time step, as necessary, to keep the maximum courant number under </w:t>
      </w:r>
      <w:r w:rsidR="00587599" w:rsidRPr="00072DFC">
        <w:t>1</w:t>
      </w:r>
      <w:r w:rsidR="00E54194" w:rsidRPr="00072DFC">
        <w:t xml:space="preserve"> </w:t>
      </w:r>
      <w:r w:rsidR="0048315A" w:rsidRPr="00072DFC">
        <w:t xml:space="preserve">for the duration of the simulation. </w:t>
      </w:r>
      <w:r w:rsidR="006803FB" w:rsidRPr="00072DFC">
        <w:t xml:space="preserve">The time </w:t>
      </w:r>
      <w:r w:rsidR="00E54194" w:rsidRPr="00072DFC">
        <w:t xml:space="preserve">step was allowed to reach </w:t>
      </w:r>
      <w:r w:rsidR="00587599" w:rsidRPr="00072DFC">
        <w:t>24</w:t>
      </w:r>
      <w:r w:rsidR="00BA7296" w:rsidRPr="00072DFC">
        <w:t>0</w:t>
      </w:r>
      <w:r w:rsidR="00E54194" w:rsidRPr="00072DFC">
        <w:t xml:space="preserve"> seconds for a maximum and </w:t>
      </w:r>
      <w:r w:rsidR="00BA7296" w:rsidRPr="00072DFC">
        <w:t>3.75</w:t>
      </w:r>
      <w:r w:rsidR="00E54194" w:rsidRPr="00072DFC">
        <w:t xml:space="preserve"> seconds for the minimum</w:t>
      </w:r>
      <w:r w:rsidR="00E421D7" w:rsidRPr="00072DFC">
        <w:t xml:space="preserve">. </w:t>
      </w:r>
      <w:r w:rsidR="0048315A" w:rsidRPr="00072DFC">
        <w:t>The RAS</w:t>
      </w:r>
      <w:r w:rsidR="00587599" w:rsidRPr="00072DFC">
        <w:t>6</w:t>
      </w:r>
      <w:r w:rsidR="0048315A" w:rsidRPr="00072DFC">
        <w:t xml:space="preserve"> model was r</w:t>
      </w:r>
      <w:r w:rsidR="00270D3A" w:rsidRPr="00072DFC">
        <w:t>u</w:t>
      </w:r>
      <w:r w:rsidR="0048315A" w:rsidRPr="00072DFC">
        <w:t>n with Diffusion Wave (simplified Full Momentum) equations.</w:t>
      </w:r>
    </w:p>
    <w:p w14:paraId="2161026C" w14:textId="77777777" w:rsidR="00976A14" w:rsidRDefault="00976A14" w:rsidP="00E413BF">
      <w:pPr>
        <w:pStyle w:val="Heading3"/>
      </w:pPr>
      <w:bookmarkStart w:id="41" w:name="_Toc112877070"/>
      <w:r>
        <w:t>Model and Boundary Condition Setup</w:t>
      </w:r>
      <w:bookmarkEnd w:id="41"/>
    </w:p>
    <w:p w14:paraId="50420CA1" w14:textId="64DDF367" w:rsidR="003C754B" w:rsidRDefault="003C754B" w:rsidP="003C754B">
      <w:pPr>
        <w:pStyle w:val="BodyText"/>
      </w:pPr>
      <w:r w:rsidRPr="0048315A">
        <w:t>Using RAS</w:t>
      </w:r>
      <w:r w:rsidR="00587599">
        <w:t>6</w:t>
      </w:r>
      <w:r w:rsidRPr="0048315A">
        <w:t xml:space="preserve"> rain-on-grid modeling requires a 2D computational mesh boundary and often requires defining inflow boundary conditions and application of excess precipitation. </w:t>
      </w:r>
      <w:r>
        <w:t>Excess precipitation was applied to the 2D mesh as a precipitation boundary condition</w:t>
      </w:r>
      <w:r w:rsidRPr="0048315A">
        <w:t>.</w:t>
      </w:r>
      <w:r>
        <w:t xml:space="preserve"> The process to determine the excess precipitation to be applied is outlined in the hydrology section. </w:t>
      </w:r>
      <w:r w:rsidRPr="0048315A">
        <w:t xml:space="preserve"> </w:t>
      </w:r>
      <w:r w:rsidR="00270D3A">
        <w:fldChar w:fldCharType="begin"/>
      </w:r>
      <w:r w:rsidR="00270D3A">
        <w:instrText xml:space="preserve"> REF _Ref61261356 \h </w:instrText>
      </w:r>
      <w:r w:rsidR="00270D3A">
        <w:fldChar w:fldCharType="separate"/>
      </w:r>
      <w:r w:rsidR="00C9792F">
        <w:t xml:space="preserve">Figure </w:t>
      </w:r>
      <w:r w:rsidR="00C9792F">
        <w:rPr>
          <w:noProof/>
        </w:rPr>
        <w:t>3</w:t>
      </w:r>
      <w:r w:rsidR="00270D3A">
        <w:fldChar w:fldCharType="end"/>
      </w:r>
      <w:r w:rsidR="00270D3A">
        <w:t xml:space="preserve"> </w:t>
      </w:r>
      <w:r w:rsidRPr="0048315A">
        <w:t xml:space="preserve">depicts the </w:t>
      </w:r>
      <w:r w:rsidR="00821AC6">
        <w:t>YHD1, YHD2, YHD3, YHD4, and YHD5</w:t>
      </w:r>
      <w:r w:rsidRPr="00A1432D">
        <w:t xml:space="preserve"> model </w:t>
      </w:r>
      <w:r>
        <w:t>boundaries</w:t>
      </w:r>
      <w:r w:rsidR="000C3194">
        <w:t xml:space="preserve"> and</w:t>
      </w:r>
      <w:r>
        <w:t xml:space="preserve"> flow transition points between models</w:t>
      </w:r>
      <w:r w:rsidR="000C3194">
        <w:t>.</w:t>
      </w:r>
    </w:p>
    <w:p w14:paraId="1A273B0A" w14:textId="1F8BA183" w:rsidR="003C754B" w:rsidRDefault="00AF7F65" w:rsidP="003C754B">
      <w:pPr>
        <w:pStyle w:val="BodyText"/>
      </w:pPr>
      <w:r>
        <w:t>The Yellow House Draw HUC</w:t>
      </w:r>
      <w:r w:rsidR="00570522">
        <w:t>-</w:t>
      </w:r>
      <w:r>
        <w:t>8 extends across the border with New Mexico, therefore the model areas were clipped to the state boundary. Because of this, inflows from existing New Mexico BLE models were extracted using profile lines and applied as inflow hydrographs to the Yellow House Draw work areas. Additionally, since</w:t>
      </w:r>
      <w:r w:rsidR="003C754B">
        <w:t xml:space="preserve"> the </w:t>
      </w:r>
      <w:r w:rsidR="00587599">
        <w:t>Yellow House Draw</w:t>
      </w:r>
      <w:r w:rsidR="003C754B">
        <w:t xml:space="preserve"> HUC-8 was split into </w:t>
      </w:r>
      <w:r w:rsidR="00587599">
        <w:t>five</w:t>
      </w:r>
      <w:r w:rsidR="003C754B">
        <w:t xml:space="preserve"> work areas, the outflow from </w:t>
      </w:r>
      <w:r w:rsidR="00587599">
        <w:t>the upstream models was used as an inflow hydrograph boundary condition to the downstream</w:t>
      </w:r>
      <w:r w:rsidR="003C754B">
        <w:t xml:space="preserve"> work area</w:t>
      </w:r>
      <w:r w:rsidR="00587599">
        <w:t>s</w:t>
      </w:r>
      <w:r w:rsidR="003C754B">
        <w:t>. Th</w:t>
      </w:r>
      <w:r w:rsidR="00CC1C08">
        <w:t>e</w:t>
      </w:r>
      <w:r w:rsidR="003C754B">
        <w:t xml:space="preserve"> hydrograph was extracted from </w:t>
      </w:r>
      <w:r w:rsidR="00587599">
        <w:t>each upstream</w:t>
      </w:r>
      <w:r w:rsidR="003C754B">
        <w:t xml:space="preserve"> model using a 2D connection, and then placed as a flow hydrograph external boundary condition for the </w:t>
      </w:r>
      <w:r w:rsidR="00587599">
        <w:t>corresponding downstream</w:t>
      </w:r>
      <w:r w:rsidR="003C754B">
        <w:t xml:space="preserve"> model.</w:t>
      </w:r>
    </w:p>
    <w:p w14:paraId="2F58C651" w14:textId="72B19C11" w:rsidR="003C754B" w:rsidRPr="003C754B" w:rsidRDefault="00175DDF" w:rsidP="0048315A">
      <w:pPr>
        <w:pStyle w:val="BodyText"/>
        <w:rPr>
          <w:noProof/>
        </w:rPr>
      </w:pPr>
      <w:r>
        <w:t>O</w:t>
      </w:r>
      <w:r w:rsidR="003C754B" w:rsidRPr="0048315A">
        <w:t xml:space="preserve">utflow boundary conditions (from the computational 2D mesh) were used along </w:t>
      </w:r>
      <w:r w:rsidR="003C754B">
        <w:t>model</w:t>
      </w:r>
      <w:r w:rsidR="003C754B" w:rsidRPr="0048315A">
        <w:t xml:space="preserve"> boundaries</w:t>
      </w:r>
      <w:r w:rsidR="00DD0D67">
        <w:t xml:space="preserve">. </w:t>
      </w:r>
      <w:r w:rsidR="00DD0D67" w:rsidRPr="00DD0D67">
        <w:t>Outflow boundaries were established as normal depth using approximate energy grade-line slope estimated from the LiDAR data. This allowed the boundary conditions defined as continuous boundaries to allow drainage to leave the model area freely to adjacent basins.</w:t>
      </w:r>
    </w:p>
    <w:p w14:paraId="0BD814F8" w14:textId="25C3FEDE" w:rsidR="000E758C" w:rsidRDefault="001D6F05" w:rsidP="00E40918">
      <w:pPr>
        <w:pStyle w:val="BodyText"/>
        <w:keepNext/>
        <w:jc w:val="center"/>
      </w:pPr>
      <w:r>
        <w:rPr>
          <w:noProof/>
        </w:rPr>
        <w:lastRenderedPageBreak/>
        <w:drawing>
          <wp:inline distT="0" distB="0" distL="0" distR="0" wp14:anchorId="0F77E24F" wp14:editId="42CC1817">
            <wp:extent cx="4511798" cy="5838797"/>
            <wp:effectExtent l="0" t="0" r="3175"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a:extLst>
                        <a:ext uri="{28A0092B-C50C-407E-A947-70E740481C1C}">
                          <a14:useLocalDpi xmlns:a14="http://schemas.microsoft.com/office/drawing/2010/main" val="0"/>
                        </a:ext>
                      </a:extLst>
                    </a:blip>
                    <a:stretch>
                      <a:fillRect/>
                    </a:stretch>
                  </pic:blipFill>
                  <pic:spPr bwMode="auto">
                    <a:xfrm>
                      <a:off x="0" y="0"/>
                      <a:ext cx="4511798" cy="5838797"/>
                    </a:xfrm>
                    <a:prstGeom prst="rect">
                      <a:avLst/>
                    </a:prstGeom>
                    <a:noFill/>
                    <a:ln>
                      <a:noFill/>
                    </a:ln>
                  </pic:spPr>
                </pic:pic>
              </a:graphicData>
            </a:graphic>
          </wp:inline>
        </w:drawing>
      </w:r>
    </w:p>
    <w:p w14:paraId="6346826B" w14:textId="00235AE8" w:rsidR="00D54AEC" w:rsidRPr="00D54AEC" w:rsidRDefault="000E758C" w:rsidP="009B5454">
      <w:pPr>
        <w:pStyle w:val="Caption"/>
        <w:jc w:val="center"/>
      </w:pPr>
      <w:bookmarkStart w:id="42" w:name="_Ref61261356"/>
      <w:bookmarkStart w:id="43" w:name="_Toc112877031"/>
      <w:r>
        <w:t xml:space="preserve">Figure </w:t>
      </w:r>
      <w:r w:rsidR="00CA2514">
        <w:fldChar w:fldCharType="begin"/>
      </w:r>
      <w:r w:rsidR="00CA2514">
        <w:instrText xml:space="preserve"> SEQ Figure \* ARABIC </w:instrText>
      </w:r>
      <w:r w:rsidR="00CA2514">
        <w:fldChar w:fldCharType="separate"/>
      </w:r>
      <w:r w:rsidR="00C9792F">
        <w:rPr>
          <w:noProof/>
        </w:rPr>
        <w:t>3</w:t>
      </w:r>
      <w:r w:rsidR="00CA2514">
        <w:fldChar w:fldCharType="end"/>
      </w:r>
      <w:bookmarkEnd w:id="42"/>
      <w:r>
        <w:t xml:space="preserve">: </w:t>
      </w:r>
      <w:r w:rsidRPr="00645BE9">
        <w:t>RAS</w:t>
      </w:r>
      <w:r w:rsidR="00587599">
        <w:t>6</w:t>
      </w:r>
      <w:r w:rsidRPr="00645BE9">
        <w:t xml:space="preserve"> 2D Computational Mesh and Boundary Conditions</w:t>
      </w:r>
      <w:bookmarkEnd w:id="43"/>
    </w:p>
    <w:p w14:paraId="76602BAB" w14:textId="77777777" w:rsidR="00976A14" w:rsidRDefault="00976A14" w:rsidP="00E413BF">
      <w:pPr>
        <w:pStyle w:val="Heading3"/>
      </w:pPr>
      <w:bookmarkStart w:id="44" w:name="_Toc112877071"/>
      <w:r>
        <w:t>Hydrology</w:t>
      </w:r>
      <w:bookmarkEnd w:id="44"/>
    </w:p>
    <w:p w14:paraId="7601C56F" w14:textId="562EFA55" w:rsidR="001F2D00" w:rsidRDefault="003C754B" w:rsidP="0048315A">
      <w:pPr>
        <w:pStyle w:val="BodyText"/>
      </w:pPr>
      <w:r w:rsidRPr="0048315A">
        <w:t>Precipitation frequency data (NOAA, 201</w:t>
      </w:r>
      <w:r w:rsidR="00997BE7">
        <w:t>8</w:t>
      </w:r>
      <w:r w:rsidRPr="0048315A">
        <w:t>) was used for this study. These data were obtained from NOAA’s Precipitation Frequency Data Server (PFDS) (</w:t>
      </w:r>
      <w:hyperlink r:id="rId16" w:history="1">
        <w:r w:rsidRPr="000E55C1">
          <w:rPr>
            <w:rStyle w:val="Hyperlink"/>
          </w:rPr>
          <w:t>http://hdsc.nws.noaa.gov/hdsc/pfds/index.html</w:t>
        </w:r>
      </w:hyperlink>
      <w:r w:rsidRPr="0048315A">
        <w:t>)</w:t>
      </w:r>
      <w:r>
        <w:t xml:space="preserve">, </w:t>
      </w:r>
      <w:r w:rsidRPr="004D0A69">
        <w:t xml:space="preserve">and appropriate values for all sub-basin elements were determined considering spatial variation and a representative total </w:t>
      </w:r>
      <w:r w:rsidRPr="00FD1C87">
        <w:t xml:space="preserve">for </w:t>
      </w:r>
      <w:r w:rsidR="00587599">
        <w:t>all Yellow House Draw</w:t>
      </w:r>
      <w:r w:rsidRPr="00FD1C87">
        <w:t xml:space="preserve"> model area</w:t>
      </w:r>
      <w:r w:rsidR="00430D62">
        <w:t>s.</w:t>
      </w:r>
      <w:r>
        <w:rPr>
          <w:color w:val="FF0000"/>
        </w:rPr>
        <w:t xml:space="preserve"> </w:t>
      </w:r>
      <w:r w:rsidRPr="004D0A69">
        <w:t>Excess precipitation for the 2D mesh</w:t>
      </w:r>
      <w:r>
        <w:t>es</w:t>
      </w:r>
      <w:r w:rsidRPr="004D0A69">
        <w:t xml:space="preserve"> w</w:t>
      </w:r>
      <w:r>
        <w:t>ere</w:t>
      </w:r>
      <w:r w:rsidRPr="004D0A69">
        <w:t xml:space="preserve"> developed as described in Section </w:t>
      </w:r>
      <w:r>
        <w:fldChar w:fldCharType="begin"/>
      </w:r>
      <w:r>
        <w:instrText xml:space="preserve"> REF _Ref81923609 \r \h </w:instrText>
      </w:r>
      <w:r>
        <w:fldChar w:fldCharType="separate"/>
      </w:r>
      <w:r w:rsidR="00C9792F">
        <w:t>2.2.3.1</w:t>
      </w:r>
      <w:r>
        <w:fldChar w:fldCharType="end"/>
      </w:r>
      <w:r w:rsidRPr="000E392F">
        <w:t xml:space="preserve"> </w:t>
      </w:r>
      <w:r w:rsidRPr="0048315A">
        <w:t xml:space="preserve">The 10-, 4-, 2-, 1-, and 0.2-percent annual chance 24-hour precipitation depths for all sub-basin elements were determined by area-weighted intersection of gridded PFDS data with sub-basins. </w:t>
      </w:r>
    </w:p>
    <w:p w14:paraId="3D002F08" w14:textId="77777777" w:rsidR="00E40918" w:rsidRDefault="00976A14" w:rsidP="00E413BF">
      <w:pPr>
        <w:pStyle w:val="Heading4"/>
      </w:pPr>
      <w:bookmarkStart w:id="45" w:name="_Ref81923609"/>
      <w:bookmarkStart w:id="46" w:name="_Toc112877072"/>
      <w:r w:rsidRPr="00E413BF">
        <w:t>Excess Precipitation for 2D Computational Mesh</w:t>
      </w:r>
      <w:bookmarkEnd w:id="45"/>
      <w:bookmarkEnd w:id="46"/>
    </w:p>
    <w:p w14:paraId="30C5A23B" w14:textId="07491229" w:rsidR="00DB7F14" w:rsidRPr="004D0A69" w:rsidRDefault="00E40918" w:rsidP="00E40918">
      <w:pPr>
        <w:pStyle w:val="BodyText"/>
      </w:pPr>
      <w:r>
        <w:t>HEC-HMS version 4.</w:t>
      </w:r>
      <w:r w:rsidR="00D53292">
        <w:t>8</w:t>
      </w:r>
      <w:r w:rsidRPr="004D0A69">
        <w:t xml:space="preserve"> was used to apply the </w:t>
      </w:r>
      <w:r>
        <w:t>Soil Conservation Service (</w:t>
      </w:r>
      <w:r w:rsidRPr="004D0A69">
        <w:t>SCS</w:t>
      </w:r>
      <w:r>
        <w:t>)</w:t>
      </w:r>
      <w:r w:rsidRPr="004D0A69">
        <w:t xml:space="preserve"> Curve Number </w:t>
      </w:r>
      <w:r w:rsidR="00175DDF">
        <w:t xml:space="preserve">(CN) </w:t>
      </w:r>
      <w:r w:rsidRPr="004D0A69">
        <w:t xml:space="preserve">method to calculate losses and define excess precipitation for </w:t>
      </w:r>
      <w:r>
        <w:t>this</w:t>
      </w:r>
      <w:r w:rsidRPr="004D0A69">
        <w:t xml:space="preserve"> watershed</w:t>
      </w:r>
      <w:r w:rsidRPr="0004147B">
        <w:t>. Temporal distributions of point rainfall totals were defined using 24-</w:t>
      </w:r>
      <w:r w:rsidR="006228F2" w:rsidRPr="0004147B">
        <w:t>hour, frequency-based</w:t>
      </w:r>
      <w:r w:rsidRPr="0004147B">
        <w:t xml:space="preserve"> storm distributions.</w:t>
      </w:r>
      <w:r w:rsidRPr="004D0A69">
        <w:t xml:space="preserve"> The plus and minus standard error for the 1</w:t>
      </w:r>
      <w:r w:rsidR="005C72F6">
        <w:t>-percent</w:t>
      </w:r>
      <w:r w:rsidRPr="004D0A69">
        <w:t xml:space="preserve"> annual chance precipitation depths were determined as the upper and lower 84% confidence limits on the nominal 1</w:t>
      </w:r>
      <w:r w:rsidR="005C72F6">
        <w:t>-percent</w:t>
      </w:r>
      <w:r w:rsidRPr="004D0A69">
        <w:t xml:space="preserve"> depth, assuming a normal distribution of the logarithms for the precipitation depths.</w:t>
      </w:r>
      <w:r w:rsidR="0050705B">
        <w:t xml:space="preserve"> </w:t>
      </w:r>
      <w:r w:rsidR="00DB7F14">
        <w:t xml:space="preserve">An areal reduction as per </w:t>
      </w:r>
      <w:r w:rsidR="0050705B">
        <w:lastRenderedPageBreak/>
        <w:t>Technical Paper 40 (</w:t>
      </w:r>
      <w:r w:rsidR="00DB7F14">
        <w:t>TP</w:t>
      </w:r>
      <w:r w:rsidR="0050705B">
        <w:t>-</w:t>
      </w:r>
      <w:r w:rsidR="00DB7F14">
        <w:t>40</w:t>
      </w:r>
      <w:r w:rsidR="0050705B">
        <w:t>)</w:t>
      </w:r>
      <w:r w:rsidR="00681A1C">
        <w:t xml:space="preserve"> </w:t>
      </w:r>
      <w:r w:rsidR="00DB7F14">
        <w:t>was used in HEC-HMS on all recurrence interval total precipitation depths in order to determine the effective precipitation for the sub-basin representing 2D mesh.</w:t>
      </w:r>
      <w:r w:rsidR="0050705B">
        <w:t xml:space="preserve"> </w:t>
      </w:r>
    </w:p>
    <w:p w14:paraId="1D42BB4E" w14:textId="0078C35A" w:rsidR="00E40918" w:rsidRPr="004D0A69" w:rsidRDefault="00E40918" w:rsidP="00E40918">
      <w:pPr>
        <w:pStyle w:val="BodyText"/>
      </w:pPr>
      <w:r w:rsidRPr="004D0A69">
        <w:t xml:space="preserve">In addition to recurrence interval precipitation estimates, NOAA Atlas 14 provides 90% confidence intervals of reported precipitation values. </w:t>
      </w:r>
      <w:r>
        <w:t xml:space="preserve"> </w:t>
      </w:r>
      <w:r w:rsidRPr="004D0A69">
        <w:t>On a normal distribution curve, 90% confidence intervals (i.e. the upper and lower 95% confidence limits) correspond to +/- 1.645 standard deviations. The 1</w:t>
      </w:r>
      <w:r w:rsidR="005C72F6">
        <w:t>-percent</w:t>
      </w:r>
      <w:r w:rsidRPr="004D0A69">
        <w:t xml:space="preserve"> plus and minus events are defined to be one standard deviation above and below the 1</w:t>
      </w:r>
      <w:r w:rsidR="005C72F6">
        <w:t>-percent</w:t>
      </w:r>
      <w:r w:rsidRPr="004D0A69">
        <w:t xml:space="preserve"> event.</w:t>
      </w:r>
      <w:r>
        <w:t xml:space="preserve"> </w:t>
      </w:r>
      <w:r w:rsidRPr="004D0A69">
        <w:t xml:space="preserve"> It should be noted that the standard errors for the 1</w:t>
      </w:r>
      <w:r w:rsidR="005C72F6">
        <w:t>-percent</w:t>
      </w:r>
      <w:r w:rsidRPr="004D0A69">
        <w:t xml:space="preserve"> rainfall depth were based on the depth used post-areal reduction.</w:t>
      </w:r>
      <w:r w:rsidR="00773C8E" w:rsidRPr="00773C8E">
        <w:t xml:space="preserve"> The estimated 1-percent plus and minus rainfall depths are shown, alongside the other events, in </w:t>
      </w:r>
      <w:r w:rsidR="00354DE0">
        <w:fldChar w:fldCharType="begin"/>
      </w:r>
      <w:r w:rsidR="00354DE0">
        <w:instrText xml:space="preserve"> REF _Ref61506489 \h </w:instrText>
      </w:r>
      <w:r w:rsidR="00354DE0">
        <w:fldChar w:fldCharType="separate"/>
      </w:r>
      <w:r w:rsidR="00C9792F">
        <w:t xml:space="preserve">Table </w:t>
      </w:r>
      <w:r w:rsidR="00C9792F">
        <w:rPr>
          <w:noProof/>
        </w:rPr>
        <w:t>5</w:t>
      </w:r>
      <w:r w:rsidR="00354DE0">
        <w:fldChar w:fldCharType="end"/>
      </w:r>
      <w:r w:rsidR="00354DE0">
        <w:t xml:space="preserve"> </w:t>
      </w:r>
      <w:r w:rsidR="00773C8E">
        <w:t xml:space="preserve">later in this section. </w:t>
      </w:r>
      <w:r w:rsidR="0050705B">
        <w:t xml:space="preserve"> </w:t>
      </w:r>
    </w:p>
    <w:p w14:paraId="67AB0B83" w14:textId="27CDD54D" w:rsidR="00320CAA" w:rsidRPr="00E413BF" w:rsidRDefault="00E40918" w:rsidP="00430D62">
      <w:pPr>
        <w:pStyle w:val="BodyText"/>
      </w:pPr>
      <w:r w:rsidRPr="004D0A69">
        <w:t xml:space="preserve">Curve </w:t>
      </w:r>
      <w:r>
        <w:t>n</w:t>
      </w:r>
      <w:r w:rsidRPr="004D0A69">
        <w:t xml:space="preserve">umbers were computed by intersecting the National Land Cover Dataset (NLCD) </w:t>
      </w:r>
      <w:r w:rsidRPr="00D53292">
        <w:t>201</w:t>
      </w:r>
      <w:r w:rsidR="00D53292" w:rsidRPr="00D53292">
        <w:t>9</w:t>
      </w:r>
      <w:r w:rsidRPr="00D53292">
        <w:t xml:space="preserve"> coverage</w:t>
      </w:r>
      <w:r w:rsidRPr="004D0A69">
        <w:t xml:space="preserve"> and NRCS soils data based on the matrix presented in</w:t>
      </w:r>
      <w:r>
        <w:t xml:space="preserve"> </w:t>
      </w:r>
      <w:r>
        <w:fldChar w:fldCharType="begin"/>
      </w:r>
      <w:r>
        <w:instrText xml:space="preserve"> REF _Ref61506020 \h </w:instrText>
      </w:r>
      <w:r>
        <w:fldChar w:fldCharType="separate"/>
      </w:r>
      <w:r w:rsidR="00C9792F">
        <w:t xml:space="preserve">Table </w:t>
      </w:r>
      <w:r w:rsidR="00C9792F">
        <w:rPr>
          <w:noProof/>
        </w:rPr>
        <w:t>3</w:t>
      </w:r>
      <w:r>
        <w:fldChar w:fldCharType="end"/>
      </w:r>
      <w:r w:rsidRPr="004D0A69">
        <w:t>.</w:t>
      </w:r>
      <w:r w:rsidR="00F5455A" w:rsidRPr="00E413BF">
        <w:t xml:space="preserve"> </w:t>
      </w:r>
    </w:p>
    <w:p w14:paraId="543386FA" w14:textId="575A6396" w:rsidR="00EA2332" w:rsidRDefault="00EA2332" w:rsidP="00EA2332">
      <w:pPr>
        <w:pStyle w:val="Caption"/>
        <w:jc w:val="center"/>
      </w:pPr>
      <w:bookmarkStart w:id="47" w:name="_Ref61506020"/>
      <w:bookmarkStart w:id="48" w:name="_Toc112877048"/>
      <w:r>
        <w:t xml:space="preserve">Table </w:t>
      </w:r>
      <w:r>
        <w:fldChar w:fldCharType="begin"/>
      </w:r>
      <w:r>
        <w:instrText xml:space="preserve"> SEQ Table \* ARABIC </w:instrText>
      </w:r>
      <w:r>
        <w:fldChar w:fldCharType="separate"/>
      </w:r>
      <w:r w:rsidR="00C9792F">
        <w:rPr>
          <w:noProof/>
        </w:rPr>
        <w:t>3</w:t>
      </w:r>
      <w:r>
        <w:fldChar w:fldCharType="end"/>
      </w:r>
      <w:bookmarkEnd w:id="47"/>
      <w:r>
        <w:t xml:space="preserve">: </w:t>
      </w:r>
      <w:r w:rsidRPr="00B83059">
        <w:t>Land Use</w:t>
      </w:r>
      <w:r w:rsidR="00EC0029">
        <w:t>(LU)</w:t>
      </w:r>
      <w:r w:rsidRPr="00B83059">
        <w:t>-Soils-CN Matrix for Defining Initial Curve Number</w:t>
      </w:r>
      <w:bookmarkEnd w:id="48"/>
    </w:p>
    <w:tbl>
      <w:tblPr>
        <w:tblW w:w="9540" w:type="dxa"/>
        <w:jc w:val="center"/>
        <w:tblLook w:val="04A0" w:firstRow="1" w:lastRow="0" w:firstColumn="1" w:lastColumn="0" w:noHBand="0" w:noVBand="1"/>
      </w:tblPr>
      <w:tblGrid>
        <w:gridCol w:w="1308"/>
        <w:gridCol w:w="3076"/>
        <w:gridCol w:w="1289"/>
        <w:gridCol w:w="1289"/>
        <w:gridCol w:w="1289"/>
        <w:gridCol w:w="1289"/>
      </w:tblGrid>
      <w:tr w:rsidR="006B0ED0" w:rsidRPr="006B0ED0" w14:paraId="15C6CA68" w14:textId="77777777" w:rsidTr="0000189C">
        <w:trPr>
          <w:trHeight w:val="525"/>
          <w:tblHeader/>
          <w:jc w:val="center"/>
        </w:trPr>
        <w:tc>
          <w:tcPr>
            <w:tcW w:w="1308" w:type="dxa"/>
            <w:vMerge w:val="restart"/>
            <w:tcBorders>
              <w:top w:val="single" w:sz="8" w:space="0" w:color="3379BD"/>
              <w:left w:val="single" w:sz="8" w:space="0" w:color="3379BD"/>
              <w:bottom w:val="single" w:sz="8" w:space="0" w:color="3379BD"/>
              <w:right w:val="nil"/>
            </w:tcBorders>
            <w:shd w:val="clear" w:color="000000" w:fill="00B5E2"/>
            <w:vAlign w:val="center"/>
            <w:hideMark/>
          </w:tcPr>
          <w:p w14:paraId="557EF447" w14:textId="77777777" w:rsidR="006B0ED0" w:rsidRPr="006B0ED0" w:rsidRDefault="006B0ED0" w:rsidP="006B0ED0">
            <w:pPr>
              <w:jc w:val="center"/>
              <w:rPr>
                <w:rFonts w:ascii="Calibri" w:eastAsia="Times New Roman" w:hAnsi="Calibri" w:cs="Times New Roman"/>
                <w:b/>
                <w:bCs/>
                <w:color w:val="FFFFFF"/>
                <w:sz w:val="20"/>
                <w:szCs w:val="20"/>
              </w:rPr>
            </w:pPr>
            <w:r w:rsidRPr="006B0ED0">
              <w:rPr>
                <w:rFonts w:ascii="Calibri" w:eastAsia="Times New Roman" w:hAnsi="Calibri" w:cs="Arial"/>
                <w:b/>
                <w:bCs/>
                <w:color w:val="FFFFFF"/>
                <w:sz w:val="20"/>
                <w:szCs w:val="20"/>
              </w:rPr>
              <w:t>LU_GridCode</w:t>
            </w:r>
          </w:p>
        </w:tc>
        <w:tc>
          <w:tcPr>
            <w:tcW w:w="3076" w:type="dxa"/>
            <w:vMerge w:val="restart"/>
            <w:tcBorders>
              <w:top w:val="single" w:sz="8" w:space="0" w:color="3379BD"/>
              <w:left w:val="single" w:sz="8" w:space="0" w:color="3379BD"/>
              <w:bottom w:val="single" w:sz="8" w:space="0" w:color="3379BD"/>
              <w:right w:val="single" w:sz="8" w:space="0" w:color="3379BD"/>
            </w:tcBorders>
            <w:shd w:val="clear" w:color="000000" w:fill="00B5E2"/>
            <w:vAlign w:val="center"/>
            <w:hideMark/>
          </w:tcPr>
          <w:p w14:paraId="026E2635" w14:textId="77777777" w:rsidR="006B0ED0" w:rsidRPr="006B0ED0" w:rsidRDefault="006B0ED0" w:rsidP="006B0ED0">
            <w:pPr>
              <w:jc w:val="center"/>
              <w:rPr>
                <w:rFonts w:ascii="Calibri" w:eastAsia="Times New Roman" w:hAnsi="Calibri" w:cs="Times New Roman"/>
                <w:b/>
                <w:bCs/>
                <w:color w:val="FFFFFF"/>
                <w:sz w:val="20"/>
                <w:szCs w:val="20"/>
              </w:rPr>
            </w:pPr>
            <w:r w:rsidRPr="006B0ED0">
              <w:rPr>
                <w:rFonts w:ascii="Calibri" w:eastAsia="Times New Roman" w:hAnsi="Calibri" w:cs="Arial"/>
                <w:b/>
                <w:bCs/>
                <w:color w:val="FFFFFF"/>
                <w:sz w:val="20"/>
                <w:szCs w:val="20"/>
              </w:rPr>
              <w:t>NLCD LU Description</w:t>
            </w:r>
          </w:p>
        </w:tc>
        <w:tc>
          <w:tcPr>
            <w:tcW w:w="5156" w:type="dxa"/>
            <w:gridSpan w:val="4"/>
            <w:tcBorders>
              <w:top w:val="single" w:sz="8" w:space="0" w:color="3379BD"/>
              <w:left w:val="nil"/>
              <w:bottom w:val="single" w:sz="8" w:space="0" w:color="3379BD"/>
              <w:right w:val="single" w:sz="8" w:space="0" w:color="3379BD"/>
            </w:tcBorders>
            <w:shd w:val="clear" w:color="000000" w:fill="00B5E2"/>
            <w:vAlign w:val="center"/>
            <w:hideMark/>
          </w:tcPr>
          <w:p w14:paraId="56BC6DA2" w14:textId="77777777" w:rsidR="006B0ED0" w:rsidRPr="006B0ED0" w:rsidRDefault="006B0ED0" w:rsidP="006B0ED0">
            <w:pPr>
              <w:jc w:val="center"/>
              <w:rPr>
                <w:rFonts w:ascii="Calibri" w:eastAsia="Times New Roman" w:hAnsi="Calibri" w:cs="Times New Roman"/>
                <w:b/>
                <w:bCs/>
                <w:color w:val="FFFFFF"/>
                <w:sz w:val="20"/>
                <w:szCs w:val="20"/>
              </w:rPr>
            </w:pPr>
            <w:r w:rsidRPr="006B0ED0">
              <w:rPr>
                <w:rFonts w:ascii="Calibri" w:eastAsia="Times New Roman" w:hAnsi="Calibri" w:cs="Times New Roman"/>
                <w:b/>
                <w:bCs/>
                <w:color w:val="FFFFFF"/>
                <w:sz w:val="20"/>
                <w:szCs w:val="20"/>
              </w:rPr>
              <w:t>Hydrologic Soil Group</w:t>
            </w:r>
          </w:p>
        </w:tc>
      </w:tr>
      <w:tr w:rsidR="006B0ED0" w:rsidRPr="006B0ED0" w14:paraId="12DB8317" w14:textId="77777777" w:rsidTr="0000189C">
        <w:trPr>
          <w:trHeight w:val="315"/>
          <w:tblHeader/>
          <w:jc w:val="center"/>
        </w:trPr>
        <w:tc>
          <w:tcPr>
            <w:tcW w:w="1308" w:type="dxa"/>
            <w:vMerge/>
            <w:tcBorders>
              <w:top w:val="single" w:sz="8" w:space="0" w:color="3379BD"/>
              <w:left w:val="single" w:sz="8" w:space="0" w:color="3379BD"/>
              <w:bottom w:val="single" w:sz="8" w:space="0" w:color="3379BD"/>
              <w:right w:val="nil"/>
            </w:tcBorders>
            <w:vAlign w:val="center"/>
            <w:hideMark/>
          </w:tcPr>
          <w:p w14:paraId="064FA724" w14:textId="77777777" w:rsidR="006B0ED0" w:rsidRPr="006B0ED0" w:rsidRDefault="006B0ED0" w:rsidP="006B0ED0">
            <w:pPr>
              <w:rPr>
                <w:rFonts w:ascii="Calibri" w:eastAsia="Times New Roman" w:hAnsi="Calibri" w:cs="Times New Roman"/>
                <w:b/>
                <w:bCs/>
                <w:color w:val="FFFFFF"/>
                <w:sz w:val="20"/>
                <w:szCs w:val="20"/>
              </w:rPr>
            </w:pPr>
          </w:p>
        </w:tc>
        <w:tc>
          <w:tcPr>
            <w:tcW w:w="3076" w:type="dxa"/>
            <w:vMerge/>
            <w:tcBorders>
              <w:top w:val="single" w:sz="8" w:space="0" w:color="3379BD"/>
              <w:left w:val="single" w:sz="8" w:space="0" w:color="3379BD"/>
              <w:bottom w:val="single" w:sz="8" w:space="0" w:color="3379BD"/>
              <w:right w:val="single" w:sz="8" w:space="0" w:color="3379BD"/>
            </w:tcBorders>
            <w:vAlign w:val="center"/>
            <w:hideMark/>
          </w:tcPr>
          <w:p w14:paraId="38CBBBC3" w14:textId="77777777" w:rsidR="006B0ED0" w:rsidRPr="006B0ED0" w:rsidRDefault="006B0ED0" w:rsidP="006B0ED0">
            <w:pPr>
              <w:rPr>
                <w:rFonts w:ascii="Calibri" w:eastAsia="Times New Roman" w:hAnsi="Calibri" w:cs="Times New Roman"/>
                <w:b/>
                <w:bCs/>
                <w:color w:val="FFFFFF"/>
                <w:sz w:val="20"/>
                <w:szCs w:val="20"/>
              </w:rPr>
            </w:pPr>
          </w:p>
        </w:tc>
        <w:tc>
          <w:tcPr>
            <w:tcW w:w="1289" w:type="dxa"/>
            <w:tcBorders>
              <w:top w:val="single" w:sz="8" w:space="0" w:color="3379BD"/>
              <w:left w:val="nil"/>
              <w:bottom w:val="single" w:sz="8" w:space="0" w:color="3379BD"/>
              <w:right w:val="single" w:sz="8" w:space="0" w:color="3379BD"/>
            </w:tcBorders>
            <w:shd w:val="clear" w:color="000000" w:fill="00B5E2"/>
            <w:vAlign w:val="center"/>
            <w:hideMark/>
          </w:tcPr>
          <w:p w14:paraId="7AEEFDB4" w14:textId="77777777" w:rsidR="006B0ED0" w:rsidRPr="006B0ED0" w:rsidRDefault="006B0ED0" w:rsidP="006B0ED0">
            <w:pPr>
              <w:jc w:val="center"/>
              <w:rPr>
                <w:rFonts w:ascii="Calibri" w:eastAsia="Times New Roman" w:hAnsi="Calibri" w:cs="Times New Roman"/>
                <w:b/>
                <w:bCs/>
                <w:color w:val="FFFFFF"/>
                <w:sz w:val="20"/>
                <w:szCs w:val="20"/>
              </w:rPr>
            </w:pPr>
            <w:r w:rsidRPr="006B0ED0">
              <w:rPr>
                <w:rFonts w:ascii="Calibri" w:eastAsia="Times New Roman" w:hAnsi="Calibri" w:cs="Arial"/>
                <w:b/>
                <w:bCs/>
                <w:color w:val="FFFFFF"/>
                <w:sz w:val="20"/>
                <w:szCs w:val="20"/>
              </w:rPr>
              <w:t>A</w:t>
            </w:r>
          </w:p>
        </w:tc>
        <w:tc>
          <w:tcPr>
            <w:tcW w:w="1289" w:type="dxa"/>
            <w:tcBorders>
              <w:top w:val="single" w:sz="8" w:space="0" w:color="3379BD"/>
              <w:left w:val="nil"/>
              <w:bottom w:val="single" w:sz="8" w:space="0" w:color="3379BD"/>
              <w:right w:val="single" w:sz="8" w:space="0" w:color="3379BD"/>
            </w:tcBorders>
            <w:shd w:val="clear" w:color="000000" w:fill="00B5E2"/>
            <w:vAlign w:val="center"/>
            <w:hideMark/>
          </w:tcPr>
          <w:p w14:paraId="3D87E8BD" w14:textId="77777777" w:rsidR="006B0ED0" w:rsidRPr="006B0ED0" w:rsidRDefault="006B0ED0" w:rsidP="006B0ED0">
            <w:pPr>
              <w:jc w:val="center"/>
              <w:rPr>
                <w:rFonts w:ascii="Calibri" w:eastAsia="Times New Roman" w:hAnsi="Calibri" w:cs="Times New Roman"/>
                <w:b/>
                <w:bCs/>
                <w:color w:val="FFFFFF"/>
                <w:sz w:val="20"/>
                <w:szCs w:val="20"/>
              </w:rPr>
            </w:pPr>
            <w:r w:rsidRPr="006B0ED0">
              <w:rPr>
                <w:rFonts w:ascii="Calibri" w:eastAsia="Times New Roman" w:hAnsi="Calibri" w:cs="Arial"/>
                <w:b/>
                <w:bCs/>
                <w:color w:val="FFFFFF"/>
                <w:sz w:val="20"/>
                <w:szCs w:val="20"/>
              </w:rPr>
              <w:t>B</w:t>
            </w:r>
          </w:p>
        </w:tc>
        <w:tc>
          <w:tcPr>
            <w:tcW w:w="1289" w:type="dxa"/>
            <w:tcBorders>
              <w:top w:val="single" w:sz="8" w:space="0" w:color="3379BD"/>
              <w:left w:val="nil"/>
              <w:bottom w:val="single" w:sz="8" w:space="0" w:color="3379BD"/>
              <w:right w:val="single" w:sz="8" w:space="0" w:color="3379BD"/>
            </w:tcBorders>
            <w:shd w:val="clear" w:color="000000" w:fill="00B5E2"/>
            <w:vAlign w:val="center"/>
            <w:hideMark/>
          </w:tcPr>
          <w:p w14:paraId="21F8685D" w14:textId="77777777" w:rsidR="006B0ED0" w:rsidRPr="006B0ED0" w:rsidRDefault="006B0ED0" w:rsidP="006B0ED0">
            <w:pPr>
              <w:jc w:val="center"/>
              <w:rPr>
                <w:rFonts w:ascii="Calibri" w:eastAsia="Times New Roman" w:hAnsi="Calibri" w:cs="Times New Roman"/>
                <w:b/>
                <w:bCs/>
                <w:color w:val="FFFFFF"/>
                <w:sz w:val="20"/>
                <w:szCs w:val="20"/>
              </w:rPr>
            </w:pPr>
            <w:r w:rsidRPr="006B0ED0">
              <w:rPr>
                <w:rFonts w:ascii="Calibri" w:eastAsia="Times New Roman" w:hAnsi="Calibri" w:cs="Arial"/>
                <w:b/>
                <w:bCs/>
                <w:color w:val="FFFFFF"/>
                <w:sz w:val="20"/>
                <w:szCs w:val="20"/>
              </w:rPr>
              <w:t>C</w:t>
            </w:r>
          </w:p>
        </w:tc>
        <w:tc>
          <w:tcPr>
            <w:tcW w:w="1289" w:type="dxa"/>
            <w:tcBorders>
              <w:top w:val="single" w:sz="8" w:space="0" w:color="3379BD"/>
              <w:left w:val="nil"/>
              <w:bottom w:val="single" w:sz="8" w:space="0" w:color="3379BD"/>
              <w:right w:val="single" w:sz="8" w:space="0" w:color="3379BD"/>
            </w:tcBorders>
            <w:shd w:val="clear" w:color="000000" w:fill="00B5E2"/>
            <w:vAlign w:val="center"/>
            <w:hideMark/>
          </w:tcPr>
          <w:p w14:paraId="51C8791F" w14:textId="77777777" w:rsidR="006B0ED0" w:rsidRPr="006B0ED0" w:rsidRDefault="006B0ED0" w:rsidP="006B0ED0">
            <w:pPr>
              <w:jc w:val="center"/>
              <w:rPr>
                <w:rFonts w:ascii="Calibri" w:eastAsia="Times New Roman" w:hAnsi="Calibri" w:cs="Times New Roman"/>
                <w:b/>
                <w:bCs/>
                <w:color w:val="FFFFFF"/>
                <w:sz w:val="20"/>
                <w:szCs w:val="20"/>
              </w:rPr>
            </w:pPr>
            <w:r w:rsidRPr="006B0ED0">
              <w:rPr>
                <w:rFonts w:ascii="Calibri" w:eastAsia="Times New Roman" w:hAnsi="Calibri" w:cs="Arial"/>
                <w:b/>
                <w:bCs/>
                <w:color w:val="FFFFFF"/>
                <w:sz w:val="20"/>
                <w:szCs w:val="20"/>
              </w:rPr>
              <w:t>D</w:t>
            </w:r>
          </w:p>
        </w:tc>
      </w:tr>
      <w:tr w:rsidR="006B0ED0" w:rsidRPr="006B0ED0" w14:paraId="7A03D228" w14:textId="77777777" w:rsidTr="0000189C">
        <w:trPr>
          <w:trHeight w:val="315"/>
          <w:jc w:val="center"/>
        </w:trPr>
        <w:tc>
          <w:tcPr>
            <w:tcW w:w="1308" w:type="dxa"/>
            <w:tcBorders>
              <w:top w:val="nil"/>
              <w:left w:val="single" w:sz="8" w:space="0" w:color="3379BD"/>
              <w:bottom w:val="single" w:sz="8" w:space="0" w:color="3379BD"/>
              <w:right w:val="single" w:sz="8" w:space="0" w:color="3379BD"/>
            </w:tcBorders>
            <w:shd w:val="clear" w:color="000000" w:fill="DFE3E5"/>
            <w:vAlign w:val="center"/>
            <w:hideMark/>
          </w:tcPr>
          <w:p w14:paraId="0A40C141"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11</w:t>
            </w:r>
          </w:p>
        </w:tc>
        <w:tc>
          <w:tcPr>
            <w:tcW w:w="3076" w:type="dxa"/>
            <w:tcBorders>
              <w:top w:val="nil"/>
              <w:left w:val="nil"/>
              <w:bottom w:val="single" w:sz="8" w:space="0" w:color="3379BD"/>
              <w:right w:val="single" w:sz="8" w:space="0" w:color="3379BD"/>
            </w:tcBorders>
            <w:shd w:val="clear" w:color="000000" w:fill="DFE3E5"/>
            <w:vAlign w:val="center"/>
            <w:hideMark/>
          </w:tcPr>
          <w:p w14:paraId="7142A16B" w14:textId="77777777" w:rsidR="006B0ED0" w:rsidRPr="006B0ED0" w:rsidRDefault="006B0ED0" w:rsidP="006B0ED0">
            <w:pP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Open Water</w:t>
            </w:r>
          </w:p>
        </w:tc>
        <w:tc>
          <w:tcPr>
            <w:tcW w:w="1289" w:type="dxa"/>
            <w:tcBorders>
              <w:top w:val="nil"/>
              <w:left w:val="nil"/>
              <w:bottom w:val="single" w:sz="8" w:space="0" w:color="3379BD"/>
              <w:right w:val="single" w:sz="8" w:space="0" w:color="3379BD"/>
            </w:tcBorders>
            <w:shd w:val="clear" w:color="000000" w:fill="DFE3E5"/>
            <w:vAlign w:val="center"/>
            <w:hideMark/>
          </w:tcPr>
          <w:p w14:paraId="243778AA"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99</w:t>
            </w:r>
          </w:p>
        </w:tc>
        <w:tc>
          <w:tcPr>
            <w:tcW w:w="1289" w:type="dxa"/>
            <w:tcBorders>
              <w:top w:val="nil"/>
              <w:left w:val="nil"/>
              <w:bottom w:val="single" w:sz="8" w:space="0" w:color="3379BD"/>
              <w:right w:val="single" w:sz="8" w:space="0" w:color="3379BD"/>
            </w:tcBorders>
            <w:shd w:val="clear" w:color="000000" w:fill="DFE3E5"/>
            <w:vAlign w:val="center"/>
            <w:hideMark/>
          </w:tcPr>
          <w:p w14:paraId="7F1CCFB8"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99</w:t>
            </w:r>
          </w:p>
        </w:tc>
        <w:tc>
          <w:tcPr>
            <w:tcW w:w="1289" w:type="dxa"/>
            <w:tcBorders>
              <w:top w:val="nil"/>
              <w:left w:val="nil"/>
              <w:bottom w:val="single" w:sz="8" w:space="0" w:color="3379BD"/>
              <w:right w:val="single" w:sz="8" w:space="0" w:color="3379BD"/>
            </w:tcBorders>
            <w:shd w:val="clear" w:color="000000" w:fill="DFE3E5"/>
            <w:vAlign w:val="center"/>
            <w:hideMark/>
          </w:tcPr>
          <w:p w14:paraId="0F59CE5E"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99</w:t>
            </w:r>
          </w:p>
        </w:tc>
        <w:tc>
          <w:tcPr>
            <w:tcW w:w="1289" w:type="dxa"/>
            <w:tcBorders>
              <w:top w:val="nil"/>
              <w:left w:val="nil"/>
              <w:bottom w:val="single" w:sz="8" w:space="0" w:color="3379BD"/>
              <w:right w:val="single" w:sz="8" w:space="0" w:color="3379BD"/>
            </w:tcBorders>
            <w:shd w:val="clear" w:color="000000" w:fill="DFE3E5"/>
            <w:vAlign w:val="center"/>
            <w:hideMark/>
          </w:tcPr>
          <w:p w14:paraId="034E9DAE"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99</w:t>
            </w:r>
          </w:p>
        </w:tc>
      </w:tr>
      <w:tr w:rsidR="006B0ED0" w:rsidRPr="006B0ED0" w14:paraId="179FE4F4" w14:textId="77777777" w:rsidTr="0000189C">
        <w:trPr>
          <w:trHeight w:val="315"/>
          <w:jc w:val="center"/>
        </w:trPr>
        <w:tc>
          <w:tcPr>
            <w:tcW w:w="1308" w:type="dxa"/>
            <w:tcBorders>
              <w:top w:val="nil"/>
              <w:left w:val="single" w:sz="8" w:space="0" w:color="3379BD"/>
              <w:bottom w:val="single" w:sz="8" w:space="0" w:color="3379BD"/>
              <w:right w:val="single" w:sz="8" w:space="0" w:color="3379BD"/>
            </w:tcBorders>
            <w:vAlign w:val="center"/>
            <w:hideMark/>
          </w:tcPr>
          <w:p w14:paraId="7FA24057"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21</w:t>
            </w:r>
          </w:p>
        </w:tc>
        <w:tc>
          <w:tcPr>
            <w:tcW w:w="3076" w:type="dxa"/>
            <w:tcBorders>
              <w:top w:val="nil"/>
              <w:left w:val="nil"/>
              <w:bottom w:val="single" w:sz="8" w:space="0" w:color="3379BD"/>
              <w:right w:val="single" w:sz="8" w:space="0" w:color="3379BD"/>
            </w:tcBorders>
            <w:vAlign w:val="center"/>
            <w:hideMark/>
          </w:tcPr>
          <w:p w14:paraId="0E8B4B76" w14:textId="77777777" w:rsidR="006B0ED0" w:rsidRPr="006B0ED0" w:rsidRDefault="006B0ED0" w:rsidP="006B0ED0">
            <w:pP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Developed Open Space</w:t>
            </w:r>
          </w:p>
        </w:tc>
        <w:tc>
          <w:tcPr>
            <w:tcW w:w="1289" w:type="dxa"/>
            <w:tcBorders>
              <w:top w:val="nil"/>
              <w:left w:val="nil"/>
              <w:bottom w:val="single" w:sz="8" w:space="0" w:color="3379BD"/>
              <w:right w:val="single" w:sz="8" w:space="0" w:color="3379BD"/>
            </w:tcBorders>
            <w:vAlign w:val="center"/>
            <w:hideMark/>
          </w:tcPr>
          <w:p w14:paraId="10DA991B"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49</w:t>
            </w:r>
          </w:p>
        </w:tc>
        <w:tc>
          <w:tcPr>
            <w:tcW w:w="1289" w:type="dxa"/>
            <w:tcBorders>
              <w:top w:val="nil"/>
              <w:left w:val="nil"/>
              <w:bottom w:val="single" w:sz="8" w:space="0" w:color="3379BD"/>
              <w:right w:val="single" w:sz="8" w:space="0" w:color="3379BD"/>
            </w:tcBorders>
            <w:vAlign w:val="center"/>
            <w:hideMark/>
          </w:tcPr>
          <w:p w14:paraId="2D304CDE"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69</w:t>
            </w:r>
          </w:p>
        </w:tc>
        <w:tc>
          <w:tcPr>
            <w:tcW w:w="1289" w:type="dxa"/>
            <w:tcBorders>
              <w:top w:val="nil"/>
              <w:left w:val="nil"/>
              <w:bottom w:val="single" w:sz="8" w:space="0" w:color="3379BD"/>
              <w:right w:val="single" w:sz="8" w:space="0" w:color="3379BD"/>
            </w:tcBorders>
            <w:vAlign w:val="center"/>
            <w:hideMark/>
          </w:tcPr>
          <w:p w14:paraId="3101B2FF"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79</w:t>
            </w:r>
          </w:p>
        </w:tc>
        <w:tc>
          <w:tcPr>
            <w:tcW w:w="1289" w:type="dxa"/>
            <w:tcBorders>
              <w:top w:val="nil"/>
              <w:left w:val="nil"/>
              <w:bottom w:val="single" w:sz="8" w:space="0" w:color="3379BD"/>
              <w:right w:val="single" w:sz="8" w:space="0" w:color="3379BD"/>
            </w:tcBorders>
            <w:vAlign w:val="center"/>
            <w:hideMark/>
          </w:tcPr>
          <w:p w14:paraId="293CAC04"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84</w:t>
            </w:r>
          </w:p>
        </w:tc>
      </w:tr>
      <w:tr w:rsidR="006B0ED0" w:rsidRPr="006B0ED0" w14:paraId="5D94938A" w14:textId="77777777" w:rsidTr="0000189C">
        <w:trPr>
          <w:trHeight w:val="315"/>
          <w:jc w:val="center"/>
        </w:trPr>
        <w:tc>
          <w:tcPr>
            <w:tcW w:w="1308" w:type="dxa"/>
            <w:tcBorders>
              <w:top w:val="nil"/>
              <w:left w:val="single" w:sz="8" w:space="0" w:color="3379BD"/>
              <w:bottom w:val="single" w:sz="8" w:space="0" w:color="3379BD"/>
              <w:right w:val="single" w:sz="8" w:space="0" w:color="3379BD"/>
            </w:tcBorders>
            <w:shd w:val="clear" w:color="000000" w:fill="DFE3E5"/>
            <w:vAlign w:val="center"/>
            <w:hideMark/>
          </w:tcPr>
          <w:p w14:paraId="6C1F33C3"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22</w:t>
            </w:r>
          </w:p>
        </w:tc>
        <w:tc>
          <w:tcPr>
            <w:tcW w:w="3076" w:type="dxa"/>
            <w:tcBorders>
              <w:top w:val="nil"/>
              <w:left w:val="nil"/>
              <w:bottom w:val="single" w:sz="8" w:space="0" w:color="3379BD"/>
              <w:right w:val="single" w:sz="8" w:space="0" w:color="3379BD"/>
            </w:tcBorders>
            <w:shd w:val="clear" w:color="000000" w:fill="DFE3E5"/>
            <w:vAlign w:val="center"/>
            <w:hideMark/>
          </w:tcPr>
          <w:p w14:paraId="0411B8DA" w14:textId="77777777" w:rsidR="006B0ED0" w:rsidRPr="006B0ED0" w:rsidRDefault="006B0ED0" w:rsidP="006B0ED0">
            <w:pP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Developed Low Intensity</w:t>
            </w:r>
          </w:p>
        </w:tc>
        <w:tc>
          <w:tcPr>
            <w:tcW w:w="1289" w:type="dxa"/>
            <w:tcBorders>
              <w:top w:val="nil"/>
              <w:left w:val="nil"/>
              <w:bottom w:val="single" w:sz="8" w:space="0" w:color="3379BD"/>
              <w:right w:val="single" w:sz="8" w:space="0" w:color="3379BD"/>
            </w:tcBorders>
            <w:shd w:val="clear" w:color="000000" w:fill="DFE3E5"/>
            <w:vAlign w:val="center"/>
            <w:hideMark/>
          </w:tcPr>
          <w:p w14:paraId="36ED4429"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61</w:t>
            </w:r>
          </w:p>
        </w:tc>
        <w:tc>
          <w:tcPr>
            <w:tcW w:w="1289" w:type="dxa"/>
            <w:tcBorders>
              <w:top w:val="nil"/>
              <w:left w:val="nil"/>
              <w:bottom w:val="single" w:sz="8" w:space="0" w:color="3379BD"/>
              <w:right w:val="single" w:sz="8" w:space="0" w:color="3379BD"/>
            </w:tcBorders>
            <w:shd w:val="clear" w:color="000000" w:fill="DFE3E5"/>
            <w:vAlign w:val="center"/>
            <w:hideMark/>
          </w:tcPr>
          <w:p w14:paraId="475C9EE1"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75</w:t>
            </w:r>
          </w:p>
        </w:tc>
        <w:tc>
          <w:tcPr>
            <w:tcW w:w="1289" w:type="dxa"/>
            <w:tcBorders>
              <w:top w:val="nil"/>
              <w:left w:val="nil"/>
              <w:bottom w:val="single" w:sz="8" w:space="0" w:color="3379BD"/>
              <w:right w:val="single" w:sz="8" w:space="0" w:color="3379BD"/>
            </w:tcBorders>
            <w:shd w:val="clear" w:color="000000" w:fill="DFE3E5"/>
            <w:vAlign w:val="center"/>
            <w:hideMark/>
          </w:tcPr>
          <w:p w14:paraId="4747EA3D"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83</w:t>
            </w:r>
          </w:p>
        </w:tc>
        <w:tc>
          <w:tcPr>
            <w:tcW w:w="1289" w:type="dxa"/>
            <w:tcBorders>
              <w:top w:val="nil"/>
              <w:left w:val="nil"/>
              <w:bottom w:val="single" w:sz="8" w:space="0" w:color="3379BD"/>
              <w:right w:val="single" w:sz="8" w:space="0" w:color="3379BD"/>
            </w:tcBorders>
            <w:shd w:val="clear" w:color="000000" w:fill="DFE3E5"/>
            <w:vAlign w:val="center"/>
            <w:hideMark/>
          </w:tcPr>
          <w:p w14:paraId="2CF21175"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87</w:t>
            </w:r>
          </w:p>
        </w:tc>
      </w:tr>
      <w:tr w:rsidR="006B0ED0" w:rsidRPr="006B0ED0" w14:paraId="0EC9EB52" w14:textId="77777777" w:rsidTr="0000189C">
        <w:trPr>
          <w:trHeight w:val="315"/>
          <w:jc w:val="center"/>
        </w:trPr>
        <w:tc>
          <w:tcPr>
            <w:tcW w:w="1308" w:type="dxa"/>
            <w:tcBorders>
              <w:top w:val="nil"/>
              <w:left w:val="single" w:sz="8" w:space="0" w:color="3379BD"/>
              <w:bottom w:val="single" w:sz="8" w:space="0" w:color="3379BD"/>
              <w:right w:val="single" w:sz="8" w:space="0" w:color="3379BD"/>
            </w:tcBorders>
            <w:vAlign w:val="center"/>
            <w:hideMark/>
          </w:tcPr>
          <w:p w14:paraId="27ECED66"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23</w:t>
            </w:r>
          </w:p>
        </w:tc>
        <w:tc>
          <w:tcPr>
            <w:tcW w:w="3076" w:type="dxa"/>
            <w:tcBorders>
              <w:top w:val="nil"/>
              <w:left w:val="nil"/>
              <w:bottom w:val="single" w:sz="8" w:space="0" w:color="3379BD"/>
              <w:right w:val="single" w:sz="8" w:space="0" w:color="3379BD"/>
            </w:tcBorders>
            <w:vAlign w:val="center"/>
            <w:hideMark/>
          </w:tcPr>
          <w:p w14:paraId="475C3AD8" w14:textId="77777777" w:rsidR="006B0ED0" w:rsidRPr="006B0ED0" w:rsidRDefault="006B0ED0" w:rsidP="006B0ED0">
            <w:pP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Developed Medium Intensity</w:t>
            </w:r>
          </w:p>
        </w:tc>
        <w:tc>
          <w:tcPr>
            <w:tcW w:w="1289" w:type="dxa"/>
            <w:tcBorders>
              <w:top w:val="nil"/>
              <w:left w:val="nil"/>
              <w:bottom w:val="single" w:sz="8" w:space="0" w:color="3379BD"/>
              <w:right w:val="single" w:sz="8" w:space="0" w:color="3379BD"/>
            </w:tcBorders>
            <w:vAlign w:val="center"/>
            <w:hideMark/>
          </w:tcPr>
          <w:p w14:paraId="384A53AD"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81</w:t>
            </w:r>
          </w:p>
        </w:tc>
        <w:tc>
          <w:tcPr>
            <w:tcW w:w="1289" w:type="dxa"/>
            <w:tcBorders>
              <w:top w:val="nil"/>
              <w:left w:val="nil"/>
              <w:bottom w:val="single" w:sz="8" w:space="0" w:color="3379BD"/>
              <w:right w:val="single" w:sz="8" w:space="0" w:color="3379BD"/>
            </w:tcBorders>
            <w:vAlign w:val="center"/>
            <w:hideMark/>
          </w:tcPr>
          <w:p w14:paraId="1678DA35"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88</w:t>
            </w:r>
          </w:p>
        </w:tc>
        <w:tc>
          <w:tcPr>
            <w:tcW w:w="1289" w:type="dxa"/>
            <w:tcBorders>
              <w:top w:val="nil"/>
              <w:left w:val="nil"/>
              <w:bottom w:val="single" w:sz="8" w:space="0" w:color="3379BD"/>
              <w:right w:val="single" w:sz="8" w:space="0" w:color="3379BD"/>
            </w:tcBorders>
            <w:vAlign w:val="center"/>
            <w:hideMark/>
          </w:tcPr>
          <w:p w14:paraId="3557EC3C"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91</w:t>
            </w:r>
          </w:p>
        </w:tc>
        <w:tc>
          <w:tcPr>
            <w:tcW w:w="1289" w:type="dxa"/>
            <w:tcBorders>
              <w:top w:val="nil"/>
              <w:left w:val="nil"/>
              <w:bottom w:val="single" w:sz="8" w:space="0" w:color="3379BD"/>
              <w:right w:val="single" w:sz="8" w:space="0" w:color="3379BD"/>
            </w:tcBorders>
            <w:vAlign w:val="center"/>
            <w:hideMark/>
          </w:tcPr>
          <w:p w14:paraId="090E907E"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93</w:t>
            </w:r>
          </w:p>
        </w:tc>
      </w:tr>
      <w:tr w:rsidR="006B0ED0" w:rsidRPr="006B0ED0" w14:paraId="7E34726C" w14:textId="77777777" w:rsidTr="0000189C">
        <w:trPr>
          <w:trHeight w:val="315"/>
          <w:jc w:val="center"/>
        </w:trPr>
        <w:tc>
          <w:tcPr>
            <w:tcW w:w="1308" w:type="dxa"/>
            <w:tcBorders>
              <w:top w:val="nil"/>
              <w:left w:val="single" w:sz="8" w:space="0" w:color="3379BD"/>
              <w:bottom w:val="single" w:sz="8" w:space="0" w:color="3379BD"/>
              <w:right w:val="single" w:sz="8" w:space="0" w:color="3379BD"/>
            </w:tcBorders>
            <w:shd w:val="clear" w:color="000000" w:fill="DFE3E5"/>
            <w:vAlign w:val="center"/>
            <w:hideMark/>
          </w:tcPr>
          <w:p w14:paraId="73556F72"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24</w:t>
            </w:r>
          </w:p>
        </w:tc>
        <w:tc>
          <w:tcPr>
            <w:tcW w:w="3076" w:type="dxa"/>
            <w:tcBorders>
              <w:top w:val="nil"/>
              <w:left w:val="nil"/>
              <w:bottom w:val="single" w:sz="8" w:space="0" w:color="3379BD"/>
              <w:right w:val="single" w:sz="8" w:space="0" w:color="3379BD"/>
            </w:tcBorders>
            <w:shd w:val="clear" w:color="000000" w:fill="DFE3E5"/>
            <w:vAlign w:val="center"/>
            <w:hideMark/>
          </w:tcPr>
          <w:p w14:paraId="2FA14D45" w14:textId="77777777" w:rsidR="006B0ED0" w:rsidRPr="006B0ED0" w:rsidRDefault="006B0ED0" w:rsidP="006B0ED0">
            <w:pP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Developed High Intensity</w:t>
            </w:r>
          </w:p>
        </w:tc>
        <w:tc>
          <w:tcPr>
            <w:tcW w:w="1289" w:type="dxa"/>
            <w:tcBorders>
              <w:top w:val="nil"/>
              <w:left w:val="nil"/>
              <w:bottom w:val="single" w:sz="8" w:space="0" w:color="3379BD"/>
              <w:right w:val="single" w:sz="8" w:space="0" w:color="3379BD"/>
            </w:tcBorders>
            <w:shd w:val="clear" w:color="000000" w:fill="DFE3E5"/>
            <w:vAlign w:val="center"/>
            <w:hideMark/>
          </w:tcPr>
          <w:p w14:paraId="5A1E1646"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89</w:t>
            </w:r>
          </w:p>
        </w:tc>
        <w:tc>
          <w:tcPr>
            <w:tcW w:w="1289" w:type="dxa"/>
            <w:tcBorders>
              <w:top w:val="nil"/>
              <w:left w:val="nil"/>
              <w:bottom w:val="single" w:sz="8" w:space="0" w:color="3379BD"/>
              <w:right w:val="single" w:sz="8" w:space="0" w:color="3379BD"/>
            </w:tcBorders>
            <w:shd w:val="clear" w:color="000000" w:fill="DFE3E5"/>
            <w:vAlign w:val="center"/>
            <w:hideMark/>
          </w:tcPr>
          <w:p w14:paraId="4F495CD6"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92</w:t>
            </w:r>
          </w:p>
        </w:tc>
        <w:tc>
          <w:tcPr>
            <w:tcW w:w="1289" w:type="dxa"/>
            <w:tcBorders>
              <w:top w:val="nil"/>
              <w:left w:val="nil"/>
              <w:bottom w:val="single" w:sz="8" w:space="0" w:color="3379BD"/>
              <w:right w:val="single" w:sz="8" w:space="0" w:color="3379BD"/>
            </w:tcBorders>
            <w:shd w:val="clear" w:color="000000" w:fill="DFE3E5"/>
            <w:vAlign w:val="center"/>
            <w:hideMark/>
          </w:tcPr>
          <w:p w14:paraId="4C7B5CAD"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94</w:t>
            </w:r>
          </w:p>
        </w:tc>
        <w:tc>
          <w:tcPr>
            <w:tcW w:w="1289" w:type="dxa"/>
            <w:tcBorders>
              <w:top w:val="nil"/>
              <w:left w:val="nil"/>
              <w:bottom w:val="single" w:sz="8" w:space="0" w:color="3379BD"/>
              <w:right w:val="single" w:sz="8" w:space="0" w:color="3379BD"/>
            </w:tcBorders>
            <w:shd w:val="clear" w:color="000000" w:fill="DFE3E5"/>
            <w:vAlign w:val="center"/>
            <w:hideMark/>
          </w:tcPr>
          <w:p w14:paraId="339F3802"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95</w:t>
            </w:r>
          </w:p>
        </w:tc>
      </w:tr>
      <w:tr w:rsidR="006B0ED0" w:rsidRPr="006B0ED0" w14:paraId="68E1E0C1" w14:textId="77777777" w:rsidTr="0000189C">
        <w:trPr>
          <w:trHeight w:val="315"/>
          <w:jc w:val="center"/>
        </w:trPr>
        <w:tc>
          <w:tcPr>
            <w:tcW w:w="1308" w:type="dxa"/>
            <w:tcBorders>
              <w:top w:val="nil"/>
              <w:left w:val="single" w:sz="8" w:space="0" w:color="3379BD"/>
              <w:bottom w:val="single" w:sz="8" w:space="0" w:color="3379BD"/>
              <w:right w:val="single" w:sz="8" w:space="0" w:color="3379BD"/>
            </w:tcBorders>
            <w:vAlign w:val="center"/>
            <w:hideMark/>
          </w:tcPr>
          <w:p w14:paraId="3D16A74D"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31</w:t>
            </w:r>
          </w:p>
        </w:tc>
        <w:tc>
          <w:tcPr>
            <w:tcW w:w="3076" w:type="dxa"/>
            <w:tcBorders>
              <w:top w:val="nil"/>
              <w:left w:val="nil"/>
              <w:bottom w:val="single" w:sz="8" w:space="0" w:color="3379BD"/>
              <w:right w:val="single" w:sz="8" w:space="0" w:color="3379BD"/>
            </w:tcBorders>
            <w:vAlign w:val="center"/>
            <w:hideMark/>
          </w:tcPr>
          <w:p w14:paraId="291CF770" w14:textId="77777777" w:rsidR="006B0ED0" w:rsidRPr="006B0ED0" w:rsidRDefault="006B0ED0" w:rsidP="006B0ED0">
            <w:pP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Barren Land</w:t>
            </w:r>
          </w:p>
        </w:tc>
        <w:tc>
          <w:tcPr>
            <w:tcW w:w="1289" w:type="dxa"/>
            <w:tcBorders>
              <w:top w:val="nil"/>
              <w:left w:val="nil"/>
              <w:bottom w:val="single" w:sz="8" w:space="0" w:color="3379BD"/>
              <w:right w:val="single" w:sz="8" w:space="0" w:color="3379BD"/>
            </w:tcBorders>
            <w:vAlign w:val="center"/>
            <w:hideMark/>
          </w:tcPr>
          <w:p w14:paraId="574D3B95"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39</w:t>
            </w:r>
          </w:p>
        </w:tc>
        <w:tc>
          <w:tcPr>
            <w:tcW w:w="1289" w:type="dxa"/>
            <w:tcBorders>
              <w:top w:val="nil"/>
              <w:left w:val="nil"/>
              <w:bottom w:val="single" w:sz="8" w:space="0" w:color="3379BD"/>
              <w:right w:val="single" w:sz="8" w:space="0" w:color="3379BD"/>
            </w:tcBorders>
            <w:vAlign w:val="center"/>
            <w:hideMark/>
          </w:tcPr>
          <w:p w14:paraId="48F3B04D"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61</w:t>
            </w:r>
          </w:p>
        </w:tc>
        <w:tc>
          <w:tcPr>
            <w:tcW w:w="1289" w:type="dxa"/>
            <w:tcBorders>
              <w:top w:val="nil"/>
              <w:left w:val="nil"/>
              <w:bottom w:val="single" w:sz="8" w:space="0" w:color="3379BD"/>
              <w:right w:val="single" w:sz="8" w:space="0" w:color="3379BD"/>
            </w:tcBorders>
            <w:vAlign w:val="center"/>
            <w:hideMark/>
          </w:tcPr>
          <w:p w14:paraId="47BF4666"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74</w:t>
            </w:r>
          </w:p>
        </w:tc>
        <w:tc>
          <w:tcPr>
            <w:tcW w:w="1289" w:type="dxa"/>
            <w:tcBorders>
              <w:top w:val="nil"/>
              <w:left w:val="nil"/>
              <w:bottom w:val="single" w:sz="8" w:space="0" w:color="3379BD"/>
              <w:right w:val="single" w:sz="8" w:space="0" w:color="3379BD"/>
            </w:tcBorders>
            <w:vAlign w:val="center"/>
            <w:hideMark/>
          </w:tcPr>
          <w:p w14:paraId="0FFC9B63"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80</w:t>
            </w:r>
          </w:p>
        </w:tc>
      </w:tr>
      <w:tr w:rsidR="006B0ED0" w:rsidRPr="006B0ED0" w14:paraId="7520823B" w14:textId="77777777" w:rsidTr="0000189C">
        <w:trPr>
          <w:trHeight w:val="315"/>
          <w:jc w:val="center"/>
        </w:trPr>
        <w:tc>
          <w:tcPr>
            <w:tcW w:w="1308" w:type="dxa"/>
            <w:tcBorders>
              <w:top w:val="nil"/>
              <w:left w:val="single" w:sz="8" w:space="0" w:color="3379BD"/>
              <w:bottom w:val="single" w:sz="8" w:space="0" w:color="3379BD"/>
              <w:right w:val="single" w:sz="8" w:space="0" w:color="3379BD"/>
            </w:tcBorders>
            <w:shd w:val="clear" w:color="000000" w:fill="DFE3E5"/>
            <w:vAlign w:val="center"/>
            <w:hideMark/>
          </w:tcPr>
          <w:p w14:paraId="3C784A5E"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41</w:t>
            </w:r>
          </w:p>
        </w:tc>
        <w:tc>
          <w:tcPr>
            <w:tcW w:w="3076" w:type="dxa"/>
            <w:tcBorders>
              <w:top w:val="nil"/>
              <w:left w:val="nil"/>
              <w:bottom w:val="single" w:sz="8" w:space="0" w:color="3379BD"/>
              <w:right w:val="single" w:sz="8" w:space="0" w:color="3379BD"/>
            </w:tcBorders>
            <w:shd w:val="clear" w:color="000000" w:fill="DFE3E5"/>
            <w:vAlign w:val="center"/>
            <w:hideMark/>
          </w:tcPr>
          <w:p w14:paraId="6DC9D475" w14:textId="77777777" w:rsidR="006B0ED0" w:rsidRPr="006B0ED0" w:rsidRDefault="006B0ED0" w:rsidP="006B0ED0">
            <w:pP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Deciduous Forest</w:t>
            </w:r>
          </w:p>
        </w:tc>
        <w:tc>
          <w:tcPr>
            <w:tcW w:w="1289" w:type="dxa"/>
            <w:tcBorders>
              <w:top w:val="nil"/>
              <w:left w:val="nil"/>
              <w:bottom w:val="single" w:sz="8" w:space="0" w:color="3379BD"/>
              <w:right w:val="single" w:sz="8" w:space="0" w:color="3379BD"/>
            </w:tcBorders>
            <w:shd w:val="clear" w:color="000000" w:fill="DFE3E5"/>
            <w:vAlign w:val="center"/>
            <w:hideMark/>
          </w:tcPr>
          <w:p w14:paraId="72E88450"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30</w:t>
            </w:r>
          </w:p>
        </w:tc>
        <w:tc>
          <w:tcPr>
            <w:tcW w:w="1289" w:type="dxa"/>
            <w:tcBorders>
              <w:top w:val="nil"/>
              <w:left w:val="nil"/>
              <w:bottom w:val="single" w:sz="8" w:space="0" w:color="3379BD"/>
              <w:right w:val="single" w:sz="8" w:space="0" w:color="3379BD"/>
            </w:tcBorders>
            <w:shd w:val="clear" w:color="000000" w:fill="DFE3E5"/>
            <w:vAlign w:val="center"/>
            <w:hideMark/>
          </w:tcPr>
          <w:p w14:paraId="5D28DBFC"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55</w:t>
            </w:r>
          </w:p>
        </w:tc>
        <w:tc>
          <w:tcPr>
            <w:tcW w:w="1289" w:type="dxa"/>
            <w:tcBorders>
              <w:top w:val="nil"/>
              <w:left w:val="nil"/>
              <w:bottom w:val="single" w:sz="8" w:space="0" w:color="3379BD"/>
              <w:right w:val="single" w:sz="8" w:space="0" w:color="3379BD"/>
            </w:tcBorders>
            <w:shd w:val="clear" w:color="000000" w:fill="DFE3E5"/>
            <w:vAlign w:val="center"/>
            <w:hideMark/>
          </w:tcPr>
          <w:p w14:paraId="038C342F"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70</w:t>
            </w:r>
          </w:p>
        </w:tc>
        <w:tc>
          <w:tcPr>
            <w:tcW w:w="1289" w:type="dxa"/>
            <w:tcBorders>
              <w:top w:val="nil"/>
              <w:left w:val="nil"/>
              <w:bottom w:val="single" w:sz="8" w:space="0" w:color="3379BD"/>
              <w:right w:val="single" w:sz="8" w:space="0" w:color="3379BD"/>
            </w:tcBorders>
            <w:shd w:val="clear" w:color="000000" w:fill="DFE3E5"/>
            <w:vAlign w:val="center"/>
            <w:hideMark/>
          </w:tcPr>
          <w:p w14:paraId="34BA9630"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77</w:t>
            </w:r>
          </w:p>
        </w:tc>
      </w:tr>
      <w:tr w:rsidR="006B0ED0" w:rsidRPr="006B0ED0" w14:paraId="7957B1D3" w14:textId="77777777" w:rsidTr="0000189C">
        <w:trPr>
          <w:trHeight w:val="315"/>
          <w:jc w:val="center"/>
        </w:trPr>
        <w:tc>
          <w:tcPr>
            <w:tcW w:w="1308" w:type="dxa"/>
            <w:tcBorders>
              <w:top w:val="nil"/>
              <w:left w:val="single" w:sz="8" w:space="0" w:color="3379BD"/>
              <w:bottom w:val="single" w:sz="8" w:space="0" w:color="3379BD"/>
              <w:right w:val="single" w:sz="8" w:space="0" w:color="3379BD"/>
            </w:tcBorders>
            <w:vAlign w:val="center"/>
            <w:hideMark/>
          </w:tcPr>
          <w:p w14:paraId="7B31069E"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42</w:t>
            </w:r>
          </w:p>
        </w:tc>
        <w:tc>
          <w:tcPr>
            <w:tcW w:w="3076" w:type="dxa"/>
            <w:tcBorders>
              <w:top w:val="nil"/>
              <w:left w:val="nil"/>
              <w:bottom w:val="single" w:sz="8" w:space="0" w:color="3379BD"/>
              <w:right w:val="single" w:sz="8" w:space="0" w:color="3379BD"/>
            </w:tcBorders>
            <w:vAlign w:val="center"/>
            <w:hideMark/>
          </w:tcPr>
          <w:p w14:paraId="22D7DEE6" w14:textId="77777777" w:rsidR="006B0ED0" w:rsidRPr="006B0ED0" w:rsidRDefault="006B0ED0" w:rsidP="006B0ED0">
            <w:pP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Evergreen Forest</w:t>
            </w:r>
          </w:p>
        </w:tc>
        <w:tc>
          <w:tcPr>
            <w:tcW w:w="1289" w:type="dxa"/>
            <w:tcBorders>
              <w:top w:val="nil"/>
              <w:left w:val="nil"/>
              <w:bottom w:val="single" w:sz="8" w:space="0" w:color="3379BD"/>
              <w:right w:val="single" w:sz="8" w:space="0" w:color="3379BD"/>
            </w:tcBorders>
            <w:vAlign w:val="center"/>
            <w:hideMark/>
          </w:tcPr>
          <w:p w14:paraId="4E8EEF00"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30</w:t>
            </w:r>
          </w:p>
        </w:tc>
        <w:tc>
          <w:tcPr>
            <w:tcW w:w="1289" w:type="dxa"/>
            <w:tcBorders>
              <w:top w:val="nil"/>
              <w:left w:val="nil"/>
              <w:bottom w:val="single" w:sz="8" w:space="0" w:color="3379BD"/>
              <w:right w:val="single" w:sz="8" w:space="0" w:color="3379BD"/>
            </w:tcBorders>
            <w:vAlign w:val="center"/>
            <w:hideMark/>
          </w:tcPr>
          <w:p w14:paraId="5C73BDD9"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55</w:t>
            </w:r>
          </w:p>
        </w:tc>
        <w:tc>
          <w:tcPr>
            <w:tcW w:w="1289" w:type="dxa"/>
            <w:tcBorders>
              <w:top w:val="nil"/>
              <w:left w:val="nil"/>
              <w:bottom w:val="single" w:sz="8" w:space="0" w:color="3379BD"/>
              <w:right w:val="single" w:sz="8" w:space="0" w:color="3379BD"/>
            </w:tcBorders>
            <w:vAlign w:val="center"/>
            <w:hideMark/>
          </w:tcPr>
          <w:p w14:paraId="5F47086B"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70</w:t>
            </w:r>
          </w:p>
        </w:tc>
        <w:tc>
          <w:tcPr>
            <w:tcW w:w="1289" w:type="dxa"/>
            <w:tcBorders>
              <w:top w:val="nil"/>
              <w:left w:val="nil"/>
              <w:bottom w:val="single" w:sz="8" w:space="0" w:color="3379BD"/>
              <w:right w:val="single" w:sz="8" w:space="0" w:color="3379BD"/>
            </w:tcBorders>
            <w:vAlign w:val="center"/>
            <w:hideMark/>
          </w:tcPr>
          <w:p w14:paraId="431AE1DD"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77</w:t>
            </w:r>
          </w:p>
        </w:tc>
      </w:tr>
      <w:tr w:rsidR="006B0ED0" w:rsidRPr="006B0ED0" w14:paraId="169B9A4F" w14:textId="77777777" w:rsidTr="0000189C">
        <w:trPr>
          <w:trHeight w:val="315"/>
          <w:jc w:val="center"/>
        </w:trPr>
        <w:tc>
          <w:tcPr>
            <w:tcW w:w="1308" w:type="dxa"/>
            <w:tcBorders>
              <w:top w:val="nil"/>
              <w:left w:val="single" w:sz="8" w:space="0" w:color="3379BD"/>
              <w:bottom w:val="single" w:sz="8" w:space="0" w:color="3379BD"/>
              <w:right w:val="single" w:sz="8" w:space="0" w:color="3379BD"/>
            </w:tcBorders>
            <w:shd w:val="clear" w:color="000000" w:fill="DFE3E5"/>
            <w:vAlign w:val="center"/>
            <w:hideMark/>
          </w:tcPr>
          <w:p w14:paraId="344DE3FD"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43</w:t>
            </w:r>
          </w:p>
        </w:tc>
        <w:tc>
          <w:tcPr>
            <w:tcW w:w="3076" w:type="dxa"/>
            <w:tcBorders>
              <w:top w:val="nil"/>
              <w:left w:val="nil"/>
              <w:bottom w:val="single" w:sz="8" w:space="0" w:color="3379BD"/>
              <w:right w:val="single" w:sz="8" w:space="0" w:color="3379BD"/>
            </w:tcBorders>
            <w:shd w:val="clear" w:color="000000" w:fill="DFE3E5"/>
            <w:vAlign w:val="center"/>
            <w:hideMark/>
          </w:tcPr>
          <w:p w14:paraId="2B302FD0" w14:textId="77777777" w:rsidR="006B0ED0" w:rsidRPr="006B0ED0" w:rsidRDefault="006B0ED0" w:rsidP="006B0ED0">
            <w:pP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Mixed Forest</w:t>
            </w:r>
          </w:p>
        </w:tc>
        <w:tc>
          <w:tcPr>
            <w:tcW w:w="1289" w:type="dxa"/>
            <w:tcBorders>
              <w:top w:val="nil"/>
              <w:left w:val="nil"/>
              <w:bottom w:val="single" w:sz="8" w:space="0" w:color="3379BD"/>
              <w:right w:val="single" w:sz="8" w:space="0" w:color="3379BD"/>
            </w:tcBorders>
            <w:shd w:val="clear" w:color="000000" w:fill="DFE3E5"/>
            <w:vAlign w:val="center"/>
            <w:hideMark/>
          </w:tcPr>
          <w:p w14:paraId="72A6FC4D"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30</w:t>
            </w:r>
          </w:p>
        </w:tc>
        <w:tc>
          <w:tcPr>
            <w:tcW w:w="1289" w:type="dxa"/>
            <w:tcBorders>
              <w:top w:val="nil"/>
              <w:left w:val="nil"/>
              <w:bottom w:val="single" w:sz="8" w:space="0" w:color="3379BD"/>
              <w:right w:val="single" w:sz="8" w:space="0" w:color="3379BD"/>
            </w:tcBorders>
            <w:shd w:val="clear" w:color="000000" w:fill="DFE3E5"/>
            <w:vAlign w:val="center"/>
            <w:hideMark/>
          </w:tcPr>
          <w:p w14:paraId="0B2A0997"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55</w:t>
            </w:r>
          </w:p>
        </w:tc>
        <w:tc>
          <w:tcPr>
            <w:tcW w:w="1289" w:type="dxa"/>
            <w:tcBorders>
              <w:top w:val="nil"/>
              <w:left w:val="nil"/>
              <w:bottom w:val="single" w:sz="8" w:space="0" w:color="3379BD"/>
              <w:right w:val="single" w:sz="8" w:space="0" w:color="3379BD"/>
            </w:tcBorders>
            <w:shd w:val="clear" w:color="000000" w:fill="DFE3E5"/>
            <w:vAlign w:val="center"/>
            <w:hideMark/>
          </w:tcPr>
          <w:p w14:paraId="66BEA3D2"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70</w:t>
            </w:r>
          </w:p>
        </w:tc>
        <w:tc>
          <w:tcPr>
            <w:tcW w:w="1289" w:type="dxa"/>
            <w:tcBorders>
              <w:top w:val="nil"/>
              <w:left w:val="nil"/>
              <w:bottom w:val="single" w:sz="8" w:space="0" w:color="3379BD"/>
              <w:right w:val="single" w:sz="8" w:space="0" w:color="3379BD"/>
            </w:tcBorders>
            <w:shd w:val="clear" w:color="000000" w:fill="DFE3E5"/>
            <w:vAlign w:val="center"/>
            <w:hideMark/>
          </w:tcPr>
          <w:p w14:paraId="3A9F9172"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77</w:t>
            </w:r>
          </w:p>
        </w:tc>
      </w:tr>
      <w:tr w:rsidR="006B0ED0" w:rsidRPr="006B0ED0" w14:paraId="23D47DD0" w14:textId="77777777" w:rsidTr="0000189C">
        <w:trPr>
          <w:trHeight w:val="315"/>
          <w:jc w:val="center"/>
        </w:trPr>
        <w:tc>
          <w:tcPr>
            <w:tcW w:w="1308" w:type="dxa"/>
            <w:tcBorders>
              <w:top w:val="nil"/>
              <w:left w:val="single" w:sz="8" w:space="0" w:color="3379BD"/>
              <w:bottom w:val="single" w:sz="8" w:space="0" w:color="3379BD"/>
              <w:right w:val="single" w:sz="8" w:space="0" w:color="3379BD"/>
            </w:tcBorders>
            <w:vAlign w:val="center"/>
            <w:hideMark/>
          </w:tcPr>
          <w:p w14:paraId="6A7B7EA5"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52</w:t>
            </w:r>
          </w:p>
        </w:tc>
        <w:tc>
          <w:tcPr>
            <w:tcW w:w="3076" w:type="dxa"/>
            <w:tcBorders>
              <w:top w:val="nil"/>
              <w:left w:val="nil"/>
              <w:bottom w:val="single" w:sz="8" w:space="0" w:color="3379BD"/>
              <w:right w:val="single" w:sz="8" w:space="0" w:color="3379BD"/>
            </w:tcBorders>
            <w:vAlign w:val="center"/>
            <w:hideMark/>
          </w:tcPr>
          <w:p w14:paraId="1EB677C1" w14:textId="77777777" w:rsidR="006B0ED0" w:rsidRPr="006B0ED0" w:rsidRDefault="006B0ED0" w:rsidP="006B0ED0">
            <w:pP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Shrub Scrub</w:t>
            </w:r>
          </w:p>
        </w:tc>
        <w:tc>
          <w:tcPr>
            <w:tcW w:w="1289" w:type="dxa"/>
            <w:tcBorders>
              <w:top w:val="nil"/>
              <w:left w:val="nil"/>
              <w:bottom w:val="single" w:sz="8" w:space="0" w:color="3379BD"/>
              <w:right w:val="single" w:sz="8" w:space="0" w:color="3379BD"/>
            </w:tcBorders>
            <w:vAlign w:val="center"/>
            <w:hideMark/>
          </w:tcPr>
          <w:p w14:paraId="591CEB99"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30</w:t>
            </w:r>
          </w:p>
        </w:tc>
        <w:tc>
          <w:tcPr>
            <w:tcW w:w="1289" w:type="dxa"/>
            <w:tcBorders>
              <w:top w:val="nil"/>
              <w:left w:val="nil"/>
              <w:bottom w:val="single" w:sz="8" w:space="0" w:color="3379BD"/>
              <w:right w:val="single" w:sz="8" w:space="0" w:color="3379BD"/>
            </w:tcBorders>
            <w:vAlign w:val="center"/>
            <w:hideMark/>
          </w:tcPr>
          <w:p w14:paraId="4587272C"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48</w:t>
            </w:r>
          </w:p>
        </w:tc>
        <w:tc>
          <w:tcPr>
            <w:tcW w:w="1289" w:type="dxa"/>
            <w:tcBorders>
              <w:top w:val="nil"/>
              <w:left w:val="nil"/>
              <w:bottom w:val="single" w:sz="8" w:space="0" w:color="3379BD"/>
              <w:right w:val="single" w:sz="8" w:space="0" w:color="3379BD"/>
            </w:tcBorders>
            <w:vAlign w:val="center"/>
            <w:hideMark/>
          </w:tcPr>
          <w:p w14:paraId="6CF68D9C"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65</w:t>
            </w:r>
          </w:p>
        </w:tc>
        <w:tc>
          <w:tcPr>
            <w:tcW w:w="1289" w:type="dxa"/>
            <w:tcBorders>
              <w:top w:val="nil"/>
              <w:left w:val="nil"/>
              <w:bottom w:val="single" w:sz="8" w:space="0" w:color="3379BD"/>
              <w:right w:val="single" w:sz="8" w:space="0" w:color="3379BD"/>
            </w:tcBorders>
            <w:vAlign w:val="center"/>
            <w:hideMark/>
          </w:tcPr>
          <w:p w14:paraId="49A39694"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73</w:t>
            </w:r>
          </w:p>
        </w:tc>
      </w:tr>
      <w:tr w:rsidR="006B0ED0" w:rsidRPr="006B0ED0" w14:paraId="01BBB81F" w14:textId="77777777" w:rsidTr="0000189C">
        <w:trPr>
          <w:trHeight w:val="315"/>
          <w:jc w:val="center"/>
        </w:trPr>
        <w:tc>
          <w:tcPr>
            <w:tcW w:w="1308" w:type="dxa"/>
            <w:tcBorders>
              <w:top w:val="nil"/>
              <w:left w:val="single" w:sz="8" w:space="0" w:color="3379BD"/>
              <w:bottom w:val="single" w:sz="8" w:space="0" w:color="3379BD"/>
              <w:right w:val="single" w:sz="8" w:space="0" w:color="3379BD"/>
            </w:tcBorders>
            <w:shd w:val="clear" w:color="000000" w:fill="DFE3E5"/>
            <w:vAlign w:val="center"/>
            <w:hideMark/>
          </w:tcPr>
          <w:p w14:paraId="29EB6A6F"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71</w:t>
            </w:r>
          </w:p>
        </w:tc>
        <w:tc>
          <w:tcPr>
            <w:tcW w:w="3076" w:type="dxa"/>
            <w:tcBorders>
              <w:top w:val="nil"/>
              <w:left w:val="nil"/>
              <w:bottom w:val="single" w:sz="8" w:space="0" w:color="3379BD"/>
              <w:right w:val="single" w:sz="8" w:space="0" w:color="3379BD"/>
            </w:tcBorders>
            <w:shd w:val="clear" w:color="000000" w:fill="DFE3E5"/>
            <w:vAlign w:val="center"/>
            <w:hideMark/>
          </w:tcPr>
          <w:p w14:paraId="475EDDF2" w14:textId="77777777" w:rsidR="006B0ED0" w:rsidRPr="006B0ED0" w:rsidRDefault="006B0ED0" w:rsidP="006B0ED0">
            <w:pP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Herbaceous</w:t>
            </w:r>
          </w:p>
        </w:tc>
        <w:tc>
          <w:tcPr>
            <w:tcW w:w="1289" w:type="dxa"/>
            <w:tcBorders>
              <w:top w:val="nil"/>
              <w:left w:val="nil"/>
              <w:bottom w:val="single" w:sz="8" w:space="0" w:color="3379BD"/>
              <w:right w:val="single" w:sz="8" w:space="0" w:color="3379BD"/>
            </w:tcBorders>
            <w:shd w:val="clear" w:color="000000" w:fill="DFE3E5"/>
            <w:vAlign w:val="center"/>
            <w:hideMark/>
          </w:tcPr>
          <w:p w14:paraId="1D755A8B"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49</w:t>
            </w:r>
          </w:p>
        </w:tc>
        <w:tc>
          <w:tcPr>
            <w:tcW w:w="1289" w:type="dxa"/>
            <w:tcBorders>
              <w:top w:val="nil"/>
              <w:left w:val="nil"/>
              <w:bottom w:val="single" w:sz="8" w:space="0" w:color="3379BD"/>
              <w:right w:val="single" w:sz="8" w:space="0" w:color="3379BD"/>
            </w:tcBorders>
            <w:shd w:val="clear" w:color="000000" w:fill="DFE3E5"/>
            <w:vAlign w:val="center"/>
            <w:hideMark/>
          </w:tcPr>
          <w:p w14:paraId="3A1F40DE"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62</w:t>
            </w:r>
          </w:p>
        </w:tc>
        <w:tc>
          <w:tcPr>
            <w:tcW w:w="1289" w:type="dxa"/>
            <w:tcBorders>
              <w:top w:val="nil"/>
              <w:left w:val="nil"/>
              <w:bottom w:val="single" w:sz="8" w:space="0" w:color="3379BD"/>
              <w:right w:val="single" w:sz="8" w:space="0" w:color="3379BD"/>
            </w:tcBorders>
            <w:shd w:val="clear" w:color="000000" w:fill="DFE3E5"/>
            <w:vAlign w:val="center"/>
            <w:hideMark/>
          </w:tcPr>
          <w:p w14:paraId="5C084B3B"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74</w:t>
            </w:r>
          </w:p>
        </w:tc>
        <w:tc>
          <w:tcPr>
            <w:tcW w:w="1289" w:type="dxa"/>
            <w:tcBorders>
              <w:top w:val="nil"/>
              <w:left w:val="nil"/>
              <w:bottom w:val="single" w:sz="8" w:space="0" w:color="3379BD"/>
              <w:right w:val="single" w:sz="8" w:space="0" w:color="3379BD"/>
            </w:tcBorders>
            <w:shd w:val="clear" w:color="000000" w:fill="DFE3E5"/>
            <w:vAlign w:val="center"/>
            <w:hideMark/>
          </w:tcPr>
          <w:p w14:paraId="453AF452"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85</w:t>
            </w:r>
          </w:p>
        </w:tc>
      </w:tr>
      <w:tr w:rsidR="006B0ED0" w:rsidRPr="006B0ED0" w14:paraId="39EE19B4" w14:textId="77777777" w:rsidTr="0000189C">
        <w:trPr>
          <w:trHeight w:val="315"/>
          <w:jc w:val="center"/>
        </w:trPr>
        <w:tc>
          <w:tcPr>
            <w:tcW w:w="1308" w:type="dxa"/>
            <w:tcBorders>
              <w:top w:val="nil"/>
              <w:left w:val="single" w:sz="8" w:space="0" w:color="3379BD"/>
              <w:bottom w:val="single" w:sz="8" w:space="0" w:color="3379BD"/>
              <w:right w:val="single" w:sz="8" w:space="0" w:color="3379BD"/>
            </w:tcBorders>
            <w:vAlign w:val="center"/>
            <w:hideMark/>
          </w:tcPr>
          <w:p w14:paraId="199337EF"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81</w:t>
            </w:r>
          </w:p>
        </w:tc>
        <w:tc>
          <w:tcPr>
            <w:tcW w:w="3076" w:type="dxa"/>
            <w:tcBorders>
              <w:top w:val="nil"/>
              <w:left w:val="nil"/>
              <w:bottom w:val="single" w:sz="8" w:space="0" w:color="3379BD"/>
              <w:right w:val="single" w:sz="8" w:space="0" w:color="3379BD"/>
            </w:tcBorders>
            <w:vAlign w:val="center"/>
            <w:hideMark/>
          </w:tcPr>
          <w:p w14:paraId="3FD587EB" w14:textId="77777777" w:rsidR="006B0ED0" w:rsidRPr="006B0ED0" w:rsidRDefault="006B0ED0" w:rsidP="006B0ED0">
            <w:pP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Hay Pasture</w:t>
            </w:r>
          </w:p>
        </w:tc>
        <w:tc>
          <w:tcPr>
            <w:tcW w:w="1289" w:type="dxa"/>
            <w:tcBorders>
              <w:top w:val="nil"/>
              <w:left w:val="nil"/>
              <w:bottom w:val="single" w:sz="8" w:space="0" w:color="3379BD"/>
              <w:right w:val="single" w:sz="8" w:space="0" w:color="3379BD"/>
            </w:tcBorders>
            <w:vAlign w:val="center"/>
            <w:hideMark/>
          </w:tcPr>
          <w:p w14:paraId="7DCC26C6"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39</w:t>
            </w:r>
          </w:p>
        </w:tc>
        <w:tc>
          <w:tcPr>
            <w:tcW w:w="1289" w:type="dxa"/>
            <w:tcBorders>
              <w:top w:val="nil"/>
              <w:left w:val="nil"/>
              <w:bottom w:val="single" w:sz="8" w:space="0" w:color="3379BD"/>
              <w:right w:val="single" w:sz="8" w:space="0" w:color="3379BD"/>
            </w:tcBorders>
            <w:vAlign w:val="center"/>
            <w:hideMark/>
          </w:tcPr>
          <w:p w14:paraId="1BF8630E"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61</w:t>
            </w:r>
          </w:p>
        </w:tc>
        <w:tc>
          <w:tcPr>
            <w:tcW w:w="1289" w:type="dxa"/>
            <w:tcBorders>
              <w:top w:val="nil"/>
              <w:left w:val="nil"/>
              <w:bottom w:val="single" w:sz="8" w:space="0" w:color="3379BD"/>
              <w:right w:val="single" w:sz="8" w:space="0" w:color="3379BD"/>
            </w:tcBorders>
            <w:vAlign w:val="center"/>
            <w:hideMark/>
          </w:tcPr>
          <w:p w14:paraId="22FCE3EF"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74</w:t>
            </w:r>
          </w:p>
        </w:tc>
        <w:tc>
          <w:tcPr>
            <w:tcW w:w="1289" w:type="dxa"/>
            <w:tcBorders>
              <w:top w:val="nil"/>
              <w:left w:val="nil"/>
              <w:bottom w:val="single" w:sz="8" w:space="0" w:color="3379BD"/>
              <w:right w:val="single" w:sz="8" w:space="0" w:color="3379BD"/>
            </w:tcBorders>
            <w:vAlign w:val="center"/>
            <w:hideMark/>
          </w:tcPr>
          <w:p w14:paraId="5AC1051D"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84</w:t>
            </w:r>
          </w:p>
        </w:tc>
      </w:tr>
      <w:tr w:rsidR="006B0ED0" w:rsidRPr="006B0ED0" w14:paraId="04614DBE" w14:textId="77777777" w:rsidTr="0000189C">
        <w:trPr>
          <w:trHeight w:val="315"/>
          <w:jc w:val="center"/>
        </w:trPr>
        <w:tc>
          <w:tcPr>
            <w:tcW w:w="1308" w:type="dxa"/>
            <w:tcBorders>
              <w:top w:val="nil"/>
              <w:left w:val="single" w:sz="8" w:space="0" w:color="3379BD"/>
              <w:bottom w:val="single" w:sz="8" w:space="0" w:color="3379BD"/>
              <w:right w:val="single" w:sz="8" w:space="0" w:color="3379BD"/>
            </w:tcBorders>
            <w:shd w:val="clear" w:color="000000" w:fill="DFE3E5"/>
            <w:vAlign w:val="center"/>
            <w:hideMark/>
          </w:tcPr>
          <w:p w14:paraId="7E5CE501"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82</w:t>
            </w:r>
          </w:p>
        </w:tc>
        <w:tc>
          <w:tcPr>
            <w:tcW w:w="3076" w:type="dxa"/>
            <w:tcBorders>
              <w:top w:val="nil"/>
              <w:left w:val="nil"/>
              <w:bottom w:val="single" w:sz="8" w:space="0" w:color="3379BD"/>
              <w:right w:val="single" w:sz="8" w:space="0" w:color="3379BD"/>
            </w:tcBorders>
            <w:shd w:val="clear" w:color="000000" w:fill="DFE3E5"/>
            <w:vAlign w:val="center"/>
            <w:hideMark/>
          </w:tcPr>
          <w:p w14:paraId="4CCA56AA" w14:textId="77777777" w:rsidR="006B0ED0" w:rsidRPr="006B0ED0" w:rsidRDefault="006B0ED0" w:rsidP="006B0ED0">
            <w:pP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Cultivated Crops</w:t>
            </w:r>
          </w:p>
        </w:tc>
        <w:tc>
          <w:tcPr>
            <w:tcW w:w="1289" w:type="dxa"/>
            <w:tcBorders>
              <w:top w:val="nil"/>
              <w:left w:val="nil"/>
              <w:bottom w:val="single" w:sz="8" w:space="0" w:color="3379BD"/>
              <w:right w:val="single" w:sz="8" w:space="0" w:color="3379BD"/>
            </w:tcBorders>
            <w:shd w:val="clear" w:color="000000" w:fill="DFE3E5"/>
            <w:vAlign w:val="center"/>
            <w:hideMark/>
          </w:tcPr>
          <w:p w14:paraId="096BA8FA"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51</w:t>
            </w:r>
          </w:p>
        </w:tc>
        <w:tc>
          <w:tcPr>
            <w:tcW w:w="1289" w:type="dxa"/>
            <w:tcBorders>
              <w:top w:val="nil"/>
              <w:left w:val="nil"/>
              <w:bottom w:val="single" w:sz="8" w:space="0" w:color="3379BD"/>
              <w:right w:val="single" w:sz="8" w:space="0" w:color="3379BD"/>
            </w:tcBorders>
            <w:shd w:val="clear" w:color="000000" w:fill="DFE3E5"/>
            <w:vAlign w:val="center"/>
            <w:hideMark/>
          </w:tcPr>
          <w:p w14:paraId="023E43E9"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67</w:t>
            </w:r>
          </w:p>
        </w:tc>
        <w:tc>
          <w:tcPr>
            <w:tcW w:w="1289" w:type="dxa"/>
            <w:tcBorders>
              <w:top w:val="nil"/>
              <w:left w:val="nil"/>
              <w:bottom w:val="single" w:sz="8" w:space="0" w:color="3379BD"/>
              <w:right w:val="single" w:sz="8" w:space="0" w:color="3379BD"/>
            </w:tcBorders>
            <w:shd w:val="clear" w:color="000000" w:fill="DFE3E5"/>
            <w:vAlign w:val="center"/>
            <w:hideMark/>
          </w:tcPr>
          <w:p w14:paraId="29BFE0E4"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76</w:t>
            </w:r>
          </w:p>
        </w:tc>
        <w:tc>
          <w:tcPr>
            <w:tcW w:w="1289" w:type="dxa"/>
            <w:tcBorders>
              <w:top w:val="nil"/>
              <w:left w:val="nil"/>
              <w:bottom w:val="single" w:sz="8" w:space="0" w:color="3379BD"/>
              <w:right w:val="single" w:sz="8" w:space="0" w:color="3379BD"/>
            </w:tcBorders>
            <w:shd w:val="clear" w:color="000000" w:fill="DFE3E5"/>
            <w:vAlign w:val="center"/>
            <w:hideMark/>
          </w:tcPr>
          <w:p w14:paraId="41235ADB"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80</w:t>
            </w:r>
          </w:p>
        </w:tc>
      </w:tr>
      <w:tr w:rsidR="006B0ED0" w:rsidRPr="006B0ED0" w14:paraId="02F323D9" w14:textId="77777777" w:rsidTr="0000189C">
        <w:trPr>
          <w:trHeight w:val="315"/>
          <w:jc w:val="center"/>
        </w:trPr>
        <w:tc>
          <w:tcPr>
            <w:tcW w:w="1308" w:type="dxa"/>
            <w:tcBorders>
              <w:top w:val="nil"/>
              <w:left w:val="single" w:sz="8" w:space="0" w:color="3379BD"/>
              <w:bottom w:val="single" w:sz="8" w:space="0" w:color="3379BD"/>
              <w:right w:val="single" w:sz="8" w:space="0" w:color="3379BD"/>
            </w:tcBorders>
            <w:vAlign w:val="center"/>
            <w:hideMark/>
          </w:tcPr>
          <w:p w14:paraId="23F01EC2"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90</w:t>
            </w:r>
          </w:p>
        </w:tc>
        <w:tc>
          <w:tcPr>
            <w:tcW w:w="3076" w:type="dxa"/>
            <w:tcBorders>
              <w:top w:val="nil"/>
              <w:left w:val="nil"/>
              <w:bottom w:val="single" w:sz="8" w:space="0" w:color="3379BD"/>
              <w:right w:val="single" w:sz="8" w:space="0" w:color="3379BD"/>
            </w:tcBorders>
            <w:vAlign w:val="center"/>
            <w:hideMark/>
          </w:tcPr>
          <w:p w14:paraId="4DD8BCD0" w14:textId="77777777" w:rsidR="006B0ED0" w:rsidRPr="006B0ED0" w:rsidRDefault="006B0ED0" w:rsidP="006B0ED0">
            <w:pP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Woody Wetlands</w:t>
            </w:r>
          </w:p>
        </w:tc>
        <w:tc>
          <w:tcPr>
            <w:tcW w:w="1289" w:type="dxa"/>
            <w:tcBorders>
              <w:top w:val="nil"/>
              <w:left w:val="nil"/>
              <w:bottom w:val="single" w:sz="8" w:space="0" w:color="3379BD"/>
              <w:right w:val="single" w:sz="8" w:space="0" w:color="3379BD"/>
            </w:tcBorders>
            <w:vAlign w:val="center"/>
            <w:hideMark/>
          </w:tcPr>
          <w:p w14:paraId="0ED04438"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72</w:t>
            </w:r>
          </w:p>
        </w:tc>
        <w:tc>
          <w:tcPr>
            <w:tcW w:w="1289" w:type="dxa"/>
            <w:tcBorders>
              <w:top w:val="nil"/>
              <w:left w:val="nil"/>
              <w:bottom w:val="single" w:sz="8" w:space="0" w:color="3379BD"/>
              <w:right w:val="single" w:sz="8" w:space="0" w:color="3379BD"/>
            </w:tcBorders>
            <w:vAlign w:val="center"/>
            <w:hideMark/>
          </w:tcPr>
          <w:p w14:paraId="66D5C4D9"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80</w:t>
            </w:r>
          </w:p>
        </w:tc>
        <w:tc>
          <w:tcPr>
            <w:tcW w:w="1289" w:type="dxa"/>
            <w:tcBorders>
              <w:top w:val="nil"/>
              <w:left w:val="nil"/>
              <w:bottom w:val="single" w:sz="8" w:space="0" w:color="3379BD"/>
              <w:right w:val="single" w:sz="8" w:space="0" w:color="3379BD"/>
            </w:tcBorders>
            <w:vAlign w:val="center"/>
            <w:hideMark/>
          </w:tcPr>
          <w:p w14:paraId="31EDB4FD"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87</w:t>
            </w:r>
          </w:p>
        </w:tc>
        <w:tc>
          <w:tcPr>
            <w:tcW w:w="1289" w:type="dxa"/>
            <w:tcBorders>
              <w:top w:val="nil"/>
              <w:left w:val="nil"/>
              <w:bottom w:val="single" w:sz="8" w:space="0" w:color="3379BD"/>
              <w:right w:val="single" w:sz="8" w:space="0" w:color="3379BD"/>
            </w:tcBorders>
            <w:vAlign w:val="center"/>
            <w:hideMark/>
          </w:tcPr>
          <w:p w14:paraId="074526EE"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93</w:t>
            </w:r>
          </w:p>
        </w:tc>
      </w:tr>
      <w:tr w:rsidR="006B0ED0" w:rsidRPr="006B0ED0" w14:paraId="52B72AAE" w14:textId="77777777" w:rsidTr="0000189C">
        <w:trPr>
          <w:trHeight w:val="315"/>
          <w:jc w:val="center"/>
        </w:trPr>
        <w:tc>
          <w:tcPr>
            <w:tcW w:w="1308" w:type="dxa"/>
            <w:tcBorders>
              <w:top w:val="nil"/>
              <w:left w:val="single" w:sz="8" w:space="0" w:color="3379BD"/>
              <w:bottom w:val="single" w:sz="8" w:space="0" w:color="3379BD"/>
              <w:right w:val="single" w:sz="8" w:space="0" w:color="3379BD"/>
            </w:tcBorders>
            <w:shd w:val="clear" w:color="000000" w:fill="DFE3E5"/>
            <w:vAlign w:val="center"/>
            <w:hideMark/>
          </w:tcPr>
          <w:p w14:paraId="44B2F5D4"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95</w:t>
            </w:r>
          </w:p>
        </w:tc>
        <w:tc>
          <w:tcPr>
            <w:tcW w:w="3076" w:type="dxa"/>
            <w:tcBorders>
              <w:top w:val="nil"/>
              <w:left w:val="nil"/>
              <w:bottom w:val="single" w:sz="8" w:space="0" w:color="3379BD"/>
              <w:right w:val="single" w:sz="8" w:space="0" w:color="3379BD"/>
            </w:tcBorders>
            <w:shd w:val="clear" w:color="000000" w:fill="DFE3E5"/>
            <w:vAlign w:val="center"/>
            <w:hideMark/>
          </w:tcPr>
          <w:p w14:paraId="208D9020" w14:textId="77777777" w:rsidR="006B0ED0" w:rsidRPr="006B0ED0" w:rsidRDefault="006B0ED0" w:rsidP="006B0ED0">
            <w:pP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Emergent Herbaceous Wetlands</w:t>
            </w:r>
          </w:p>
        </w:tc>
        <w:tc>
          <w:tcPr>
            <w:tcW w:w="1289" w:type="dxa"/>
            <w:tcBorders>
              <w:top w:val="nil"/>
              <w:left w:val="nil"/>
              <w:bottom w:val="single" w:sz="8" w:space="0" w:color="3379BD"/>
              <w:right w:val="single" w:sz="8" w:space="0" w:color="3379BD"/>
            </w:tcBorders>
            <w:shd w:val="clear" w:color="000000" w:fill="DFE3E5"/>
            <w:vAlign w:val="center"/>
            <w:hideMark/>
          </w:tcPr>
          <w:p w14:paraId="71DED864"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72</w:t>
            </w:r>
          </w:p>
        </w:tc>
        <w:tc>
          <w:tcPr>
            <w:tcW w:w="1289" w:type="dxa"/>
            <w:tcBorders>
              <w:top w:val="nil"/>
              <w:left w:val="nil"/>
              <w:bottom w:val="single" w:sz="8" w:space="0" w:color="3379BD"/>
              <w:right w:val="single" w:sz="8" w:space="0" w:color="3379BD"/>
            </w:tcBorders>
            <w:shd w:val="clear" w:color="000000" w:fill="DFE3E5"/>
            <w:vAlign w:val="center"/>
            <w:hideMark/>
          </w:tcPr>
          <w:p w14:paraId="0D205A16"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80</w:t>
            </w:r>
          </w:p>
        </w:tc>
        <w:tc>
          <w:tcPr>
            <w:tcW w:w="1289" w:type="dxa"/>
            <w:tcBorders>
              <w:top w:val="nil"/>
              <w:left w:val="nil"/>
              <w:bottom w:val="single" w:sz="8" w:space="0" w:color="3379BD"/>
              <w:right w:val="single" w:sz="8" w:space="0" w:color="3379BD"/>
            </w:tcBorders>
            <w:shd w:val="clear" w:color="000000" w:fill="DFE3E5"/>
            <w:vAlign w:val="center"/>
            <w:hideMark/>
          </w:tcPr>
          <w:p w14:paraId="2D2CA4BB"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87</w:t>
            </w:r>
          </w:p>
        </w:tc>
        <w:tc>
          <w:tcPr>
            <w:tcW w:w="1289" w:type="dxa"/>
            <w:tcBorders>
              <w:top w:val="nil"/>
              <w:left w:val="nil"/>
              <w:bottom w:val="single" w:sz="8" w:space="0" w:color="3379BD"/>
              <w:right w:val="single" w:sz="8" w:space="0" w:color="3379BD"/>
            </w:tcBorders>
            <w:shd w:val="clear" w:color="000000" w:fill="DFE3E5"/>
            <w:vAlign w:val="center"/>
            <w:hideMark/>
          </w:tcPr>
          <w:p w14:paraId="24B87041"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93</w:t>
            </w:r>
          </w:p>
        </w:tc>
      </w:tr>
    </w:tbl>
    <w:p w14:paraId="7EBC1C6A" w14:textId="77777777" w:rsidR="00C4776C" w:rsidRDefault="00C4776C" w:rsidP="00E40918">
      <w:pPr>
        <w:pStyle w:val="BodyText"/>
      </w:pPr>
    </w:p>
    <w:p w14:paraId="094B5928" w14:textId="53CBAE61" w:rsidR="00E40918" w:rsidRPr="004D0A69" w:rsidRDefault="00773C8E" w:rsidP="00E40918">
      <w:pPr>
        <w:pStyle w:val="BodyText"/>
      </w:pPr>
      <w:r w:rsidRPr="00773C8E">
        <w:t>In addition to rainfall, the 1-percent plus and minus event estimates were further refined by adjustment of thei</w:t>
      </w:r>
      <w:r>
        <w:t xml:space="preserve">r respective </w:t>
      </w:r>
      <w:r w:rsidR="00175DDF">
        <w:t>CNs</w:t>
      </w:r>
      <w:r>
        <w:t xml:space="preserve">. </w:t>
      </w:r>
      <w:r w:rsidR="00E40918" w:rsidRPr="004D0A69">
        <w:t>A CN can be considered a parameter, exhibiting variability that follows some frequency distribution.</w:t>
      </w:r>
      <w:r w:rsidR="00E40918">
        <w:t xml:space="preserve"> </w:t>
      </w:r>
      <w:r w:rsidR="00E40918" w:rsidRPr="004D0A69">
        <w:t xml:space="preserve"> While Antecedent Runoff Condition (ARC) II CNs were used for a 1</w:t>
      </w:r>
      <w:r w:rsidR="005C72F6">
        <w:t>-percent</w:t>
      </w:r>
      <w:r w:rsidR="00E40918" w:rsidRPr="004D0A69">
        <w:t xml:space="preserve"> event, the range between ARC I and ARC III for the ARC II CN was assumed to correspond to an 80% confidence interval of the ARC II CN.</w:t>
      </w:r>
      <w:r w:rsidR="00E40918">
        <w:t xml:space="preserve"> </w:t>
      </w:r>
      <w:r w:rsidR="00E40918" w:rsidRPr="004D0A69">
        <w:t xml:space="preserve"> The CN </w:t>
      </w:r>
      <w:r w:rsidR="00E40918">
        <w:t>l</w:t>
      </w:r>
      <w:r w:rsidR="00E40918" w:rsidRPr="004D0A69">
        <w:t xml:space="preserve">oss method assumes a maximum potential retention parameter, S, is inversely related to a CN by S = 1000 / CN – 10; this relationship is based on a median value of S determined from plotting a large number of observations. </w:t>
      </w:r>
    </w:p>
    <w:p w14:paraId="2AA80AFB" w14:textId="32D7CE02" w:rsidR="00E40918" w:rsidRPr="004D0A69" w:rsidRDefault="00E40918" w:rsidP="00E40918">
      <w:pPr>
        <w:pStyle w:val="BodyText"/>
      </w:pPr>
      <w:r w:rsidRPr="004D0A69">
        <w:t xml:space="preserve">Chapter 5 of the NRCS </w:t>
      </w:r>
      <w:r>
        <w:t>National Engineering Handbook (</w:t>
      </w:r>
      <w:r w:rsidRPr="004D0A69">
        <w:t>NEH</w:t>
      </w:r>
      <w:r>
        <w:t>)</w:t>
      </w:r>
      <w:r w:rsidRPr="004D0A69">
        <w:t xml:space="preserve"> Part 630 provides an example of computing a CN for a watershed based on annual peak gage observations. </w:t>
      </w:r>
      <w:r>
        <w:t xml:space="preserve"> </w:t>
      </w:r>
      <w:r w:rsidRPr="004D0A69">
        <w:t>The example involves computing a CN and corresponding S value for each event, then taking the logarithms of the S values.</w:t>
      </w:r>
      <w:r>
        <w:t xml:space="preserve"> </w:t>
      </w:r>
      <w:r w:rsidRPr="004D0A69">
        <w:t xml:space="preserve"> Further, the logarithm of S is assumed to vary normally, and the mean of the logarithms corresponds to the arithmetic median.</w:t>
      </w:r>
      <w:r>
        <w:t xml:space="preserve"> </w:t>
      </w:r>
      <w:r w:rsidRPr="004D0A69">
        <w:t xml:space="preserve"> Therefore, 10% (S10) and 90% (S90) extremes of lognormally distributed S values can be assumed to correspond to ARC III and ARC I condition CN values, respectively.</w:t>
      </w:r>
      <w:r>
        <w:t xml:space="preserve"> </w:t>
      </w:r>
      <w:r w:rsidRPr="004D0A69">
        <w:t xml:space="preserve"> This range represents an 80% confidence interval, corresponding to +/- 1.282 standard deviations from the mean. </w:t>
      </w:r>
      <w:r>
        <w:t xml:space="preserve"> </w:t>
      </w:r>
      <w:r w:rsidRPr="004D0A69">
        <w:t>The following procedure was used to estimate one standard deviation of a given CN (in fact, one standard deviation of the logarithm of S) for the purposes of modeling 1</w:t>
      </w:r>
      <w:r w:rsidR="005C72F6">
        <w:t>-percent</w:t>
      </w:r>
      <w:r w:rsidRPr="004D0A69">
        <w:t xml:space="preserve"> plus and minus events.</w:t>
      </w:r>
      <w:r>
        <w:t xml:space="preserve"> </w:t>
      </w:r>
      <w:r w:rsidRPr="004D0A69">
        <w:t xml:space="preserve"> </w:t>
      </w:r>
      <w:r w:rsidRPr="004D0A69">
        <w:lastRenderedPageBreak/>
        <w:t>First, ARC III (corresponding to S10) and ARC I (corresponding to S90) CN values can be estimated from a 1</w:t>
      </w:r>
      <w:r w:rsidR="005C72F6">
        <w:t>-percent</w:t>
      </w:r>
      <w:r w:rsidRPr="004D0A69">
        <w:t xml:space="preserve"> CN (ARC II) by:</w:t>
      </w:r>
    </w:p>
    <w:p w14:paraId="0BBA028C" w14:textId="77777777" w:rsidR="00E40918" w:rsidRPr="004D0A69" w:rsidRDefault="00E40918" w:rsidP="00E40918">
      <w:pPr>
        <w:pStyle w:val="BodyText"/>
        <w:rPr>
          <w:rFonts w:eastAsiaTheme="minorEastAsia"/>
        </w:rPr>
      </w:pPr>
      <m:oMathPara>
        <m:oMath>
          <m:r>
            <m:rPr>
              <m:sty m:val="p"/>
            </m:rPr>
            <w:rPr>
              <w:rFonts w:ascii="Cambria Math" w:hAnsi="Cambria Math"/>
            </w:rPr>
            <m:t>CNI=4.2*</m:t>
          </m:r>
          <m:f>
            <m:fPr>
              <m:type m:val="lin"/>
              <m:ctrlPr>
                <w:rPr>
                  <w:rFonts w:ascii="Cambria Math" w:hAnsi="Cambria Math"/>
                </w:rPr>
              </m:ctrlPr>
            </m:fPr>
            <m:num>
              <m:r>
                <m:rPr>
                  <m:sty m:val="p"/>
                </m:rPr>
                <w:rPr>
                  <w:rFonts w:ascii="Cambria Math" w:hAnsi="Cambria Math"/>
                </w:rPr>
                <m:t xml:space="preserve">CNII </m:t>
              </m:r>
            </m:num>
            <m:den>
              <m:r>
                <m:rPr>
                  <m:sty m:val="p"/>
                </m:rPr>
                <w:rPr>
                  <w:rFonts w:ascii="Cambria Math" w:hAnsi="Cambria Math"/>
                </w:rPr>
                <m:t xml:space="preserve"> (10-0.058*CNII</m:t>
              </m:r>
            </m:den>
          </m:f>
          <m:r>
            <m:rPr>
              <m:sty m:val="p"/>
            </m:rPr>
            <w:rPr>
              <w:rFonts w:ascii="Cambria Math" w:hAnsi="Cambria Math"/>
            </w:rPr>
            <m:t>)</m:t>
          </m:r>
        </m:oMath>
      </m:oMathPara>
    </w:p>
    <w:p w14:paraId="7A0073A5" w14:textId="77777777" w:rsidR="00E40918" w:rsidRPr="00E40918" w:rsidRDefault="00C9792F" w:rsidP="00E40918">
      <w:pPr>
        <w:pStyle w:val="BodyText"/>
        <w:rPr>
          <w:rFonts w:eastAsiaTheme="minorEastAsia"/>
        </w:rPr>
      </w:pPr>
      <m:oMathPara>
        <m:oMath>
          <m:f>
            <m:fPr>
              <m:type m:val="lin"/>
              <m:ctrlPr>
                <w:rPr>
                  <w:rFonts w:ascii="Cambria Math" w:hAnsi="Cambria Math"/>
                </w:rPr>
              </m:ctrlPr>
            </m:fPr>
            <m:num>
              <m:r>
                <m:rPr>
                  <m:sty m:val="p"/>
                </m:rPr>
                <w:rPr>
                  <w:rFonts w:ascii="Cambria Math" w:hAnsi="Cambria Math"/>
                </w:rPr>
                <m:t xml:space="preserve">CNIII = 23 * CNII </m:t>
              </m:r>
            </m:num>
            <m:den>
              <m:r>
                <m:rPr>
                  <m:sty m:val="p"/>
                </m:rPr>
                <w:rPr>
                  <w:rFonts w:ascii="Cambria Math" w:hAnsi="Cambria Math"/>
                </w:rPr>
                <m:t xml:space="preserve"> (10 + 0.13 * CNII)</m:t>
              </m:r>
            </m:den>
          </m:f>
        </m:oMath>
      </m:oMathPara>
    </w:p>
    <w:p w14:paraId="7E618962" w14:textId="77777777" w:rsidR="00E40918" w:rsidRPr="004D0A69" w:rsidRDefault="00E40918" w:rsidP="00E40918">
      <w:pPr>
        <w:pStyle w:val="BodyText"/>
      </w:pPr>
      <w:r w:rsidRPr="004D0A69">
        <w:t>Next, S90 and S10 can be computed by:</w:t>
      </w:r>
    </w:p>
    <w:p w14:paraId="7EE06BF5" w14:textId="77777777" w:rsidR="00E40918" w:rsidRPr="004D0A69" w:rsidRDefault="00E40918" w:rsidP="00E40918">
      <w:pPr>
        <w:pStyle w:val="BodyText"/>
        <w:rPr>
          <w:rFonts w:ascii="Cambria Math" w:hAnsi="Cambria Math"/>
          <w:oMath/>
        </w:rPr>
      </w:pPr>
      <m:oMathPara>
        <m:oMathParaPr>
          <m:jc m:val="center"/>
        </m:oMathParaPr>
        <m:oMath>
          <m:r>
            <m:rPr>
              <m:sty m:val="p"/>
            </m:rPr>
            <w:rPr>
              <w:rFonts w:ascii="Cambria Math" w:hAnsi="Cambria Math"/>
            </w:rPr>
            <m:t>S10 = 1000 / CNIII – 10</m:t>
          </m:r>
        </m:oMath>
      </m:oMathPara>
    </w:p>
    <w:p w14:paraId="029AA3D9" w14:textId="77777777" w:rsidR="00E40918" w:rsidRPr="00E40918" w:rsidRDefault="00E40918" w:rsidP="00E40918">
      <w:pPr>
        <w:pStyle w:val="BodyText"/>
        <w:rPr>
          <w:rFonts w:ascii="Cambria Math" w:hAnsi="Cambria Math"/>
          <w:oMath/>
        </w:rPr>
      </w:pPr>
      <m:oMathPara>
        <m:oMath>
          <m:r>
            <m:rPr>
              <m:sty m:val="p"/>
            </m:rPr>
            <w:rPr>
              <w:rFonts w:ascii="Cambria Math" w:hAnsi="Cambria Math"/>
            </w:rPr>
            <m:t>S90 = 1000 / CNI – 10</m:t>
          </m:r>
        </m:oMath>
      </m:oMathPara>
    </w:p>
    <w:p w14:paraId="018C6978" w14:textId="77777777" w:rsidR="00E40918" w:rsidRPr="004D0A69" w:rsidRDefault="00E40918" w:rsidP="00E40918">
      <w:pPr>
        <w:pStyle w:val="BodyText"/>
      </w:pPr>
      <w:r w:rsidRPr="004D0A69">
        <w:t>The following relationship can then be used to compute one standard deviation of the logarithm of S:</w:t>
      </w:r>
    </w:p>
    <w:p w14:paraId="02B6C577" w14:textId="4BB7EFCD" w:rsidR="00E40918" w:rsidRPr="004D0A69" w:rsidRDefault="00883F2D" w:rsidP="00E40918">
      <w:pPr>
        <w:pStyle w:val="BodyText"/>
      </w:pPr>
      <m:oMathPara>
        <m:oMathParaPr>
          <m:jc m:val="center"/>
        </m:oMathParaPr>
        <m:oMath>
          <m:r>
            <m:rPr>
              <m:sty m:val="p"/>
            </m:rPr>
            <w:rPr>
              <w:rFonts w:ascii="Cambria Math" w:hAnsi="Cambria Math"/>
            </w:rPr>
            <m:t xml:space="preserve">log (S10) = mean </m:t>
          </m:r>
          <m:d>
            <m:dPr>
              <m:ctrlPr>
                <w:rPr>
                  <w:rFonts w:ascii="Cambria Math" w:hAnsi="Cambria Math"/>
                </w:rPr>
              </m:ctrlPr>
            </m:dPr>
            <m:e>
              <m:r>
                <m:rPr>
                  <m:sty m:val="p"/>
                </m:rPr>
                <w:rPr>
                  <w:rFonts w:ascii="Cambria Math" w:hAnsi="Cambria Math"/>
                </w:rPr>
                <m:t>log⁡(S</m:t>
              </m:r>
            </m:e>
          </m:d>
          <m:r>
            <m:rPr>
              <m:sty m:val="p"/>
            </m:rPr>
            <w:rPr>
              <w:rFonts w:ascii="Cambria Math" w:hAnsi="Cambria Math"/>
            </w:rPr>
            <m:t>) + 1.282 std. dev. (log⁡(S))</m:t>
          </m:r>
        </m:oMath>
      </m:oMathPara>
    </w:p>
    <w:p w14:paraId="66E7B39B" w14:textId="77777777" w:rsidR="00883F2D" w:rsidRPr="004D0A69" w:rsidRDefault="00883F2D" w:rsidP="00883F2D">
      <w:pPr>
        <w:pStyle w:val="BodyText"/>
        <w:rPr>
          <w:rFonts w:ascii="Cambria Math" w:hAnsi="Cambria Math"/>
          <w:oMath/>
        </w:rPr>
      </w:pPr>
      <m:oMathPara>
        <m:oMath>
          <m:r>
            <m:rPr>
              <m:sty m:val="p"/>
            </m:rPr>
            <w:rPr>
              <w:rFonts w:ascii="Cambria Math" w:hAnsi="Cambria Math"/>
            </w:rPr>
            <m:t>log (S90) = mean (log⁡(S)) – 1.282 std. dev. (log⁡(S))</m:t>
          </m:r>
        </m:oMath>
      </m:oMathPara>
    </w:p>
    <w:p w14:paraId="092FEF24" w14:textId="77777777" w:rsidR="00E40918" w:rsidRPr="00E40918" w:rsidRDefault="00E40918" w:rsidP="00E40918">
      <w:pPr>
        <w:pStyle w:val="BodyText"/>
        <w:rPr>
          <w:rFonts w:ascii="Cambria Math" w:hAnsi="Cambria Math"/>
          <w:oMath/>
        </w:rPr>
      </w:pPr>
      <m:oMathPara>
        <m:oMath>
          <m:r>
            <m:rPr>
              <m:sty m:val="p"/>
            </m:rPr>
            <w:rPr>
              <w:rFonts w:ascii="Cambria Math" w:hAnsi="Cambria Math"/>
            </w:rPr>
            <m:t>1 std. dev. (logS) = (logS10 – logS90) / 1.282</m:t>
          </m:r>
        </m:oMath>
      </m:oMathPara>
    </w:p>
    <w:p w14:paraId="0EF5F719" w14:textId="50FA9088" w:rsidR="00E40918" w:rsidRPr="004D0A69" w:rsidRDefault="00E40918" w:rsidP="00E40918">
      <w:pPr>
        <w:pStyle w:val="BodyText"/>
      </w:pPr>
      <w:r w:rsidRPr="004D0A69">
        <w:t>Therefore, 1</w:t>
      </w:r>
      <w:r w:rsidR="005C72F6">
        <w:t>-percent</w:t>
      </w:r>
      <w:r w:rsidRPr="004D0A69">
        <w:t xml:space="preserve"> plus and minus S values can be estimated by:</w:t>
      </w:r>
    </w:p>
    <w:p w14:paraId="0D152458" w14:textId="77777777" w:rsidR="00E40918" w:rsidRPr="004D0A69" w:rsidRDefault="00E40918" w:rsidP="00E40918">
      <w:pPr>
        <w:pStyle w:val="BodyText"/>
        <w:rPr>
          <w:rFonts w:ascii="Cambria Math" w:hAnsi="Cambria Math"/>
          <w:oMath/>
        </w:rPr>
      </w:pPr>
      <m:oMathPara>
        <m:oMath>
          <m:r>
            <m:rPr>
              <m:sty m:val="p"/>
            </m:rPr>
            <w:rPr>
              <w:rFonts w:ascii="Cambria Math" w:hAnsi="Cambria Math"/>
            </w:rPr>
            <m:t>log SPlus = logS + [1 std. dev. (logS)]</m:t>
          </m:r>
        </m:oMath>
      </m:oMathPara>
    </w:p>
    <w:p w14:paraId="7F200886" w14:textId="77777777" w:rsidR="00E40918" w:rsidRPr="004D0A69" w:rsidRDefault="00E40918" w:rsidP="00E40918">
      <w:pPr>
        <w:pStyle w:val="BodyText"/>
      </w:pPr>
      <m:oMathPara>
        <m:oMath>
          <m:r>
            <m:rPr>
              <m:sty m:val="p"/>
            </m:rPr>
            <w:rPr>
              <w:rFonts w:ascii="Cambria Math" w:hAnsi="Cambria Math"/>
            </w:rPr>
            <m:t>log SMinus = logS - [1 std. dev. (logS)]</m:t>
          </m:r>
        </m:oMath>
      </m:oMathPara>
    </w:p>
    <w:p w14:paraId="0AF4049A" w14:textId="6665DC83" w:rsidR="00E40918" w:rsidRPr="004D0A69" w:rsidRDefault="00E40918" w:rsidP="00E40918">
      <w:pPr>
        <w:pStyle w:val="BodyText"/>
      </w:pPr>
      <w:r w:rsidRPr="004D0A69">
        <w:t>Finally, 1</w:t>
      </w:r>
      <w:r w:rsidR="005C72F6">
        <w:t>-percent</w:t>
      </w:r>
      <w:r w:rsidRPr="004D0A69">
        <w:t xml:space="preserve"> plus and minus CNs can be computed by:</w:t>
      </w:r>
    </w:p>
    <w:p w14:paraId="4E614E9A" w14:textId="77777777" w:rsidR="00E40918" w:rsidRPr="004D0A69" w:rsidRDefault="00E40918" w:rsidP="00E40918">
      <w:pPr>
        <w:pStyle w:val="BodyText"/>
        <w:rPr>
          <w:rFonts w:ascii="Cambria Math" w:hAnsi="Cambria Math"/>
          <w:oMath/>
        </w:rPr>
      </w:pPr>
      <m:oMathPara>
        <m:oMath>
          <m:r>
            <m:rPr>
              <m:sty m:val="p"/>
            </m:rPr>
            <w:rPr>
              <w:rFonts w:ascii="Cambria Math" w:hAnsi="Cambria Math"/>
            </w:rPr>
            <m:t>CNPlus = 1000 / (SPlus + 10)</m:t>
          </m:r>
        </m:oMath>
      </m:oMathPara>
    </w:p>
    <w:p w14:paraId="06114ECD" w14:textId="77777777" w:rsidR="00E40918" w:rsidRPr="004D0A69" w:rsidRDefault="00E40918" w:rsidP="00E40918">
      <w:pPr>
        <w:pStyle w:val="BodyText"/>
        <w:rPr>
          <w:rFonts w:ascii="Cambria Math" w:hAnsi="Cambria Math"/>
          <w:oMath/>
        </w:rPr>
      </w:pPr>
      <m:oMathPara>
        <m:oMath>
          <m:r>
            <m:rPr>
              <m:sty m:val="p"/>
            </m:rPr>
            <w:rPr>
              <w:rFonts w:ascii="Cambria Math" w:hAnsi="Cambria Math"/>
            </w:rPr>
            <m:t>CNMinus = 1000 / (SMinus + 10)</m:t>
          </m:r>
        </m:oMath>
      </m:oMathPara>
    </w:p>
    <w:p w14:paraId="20F5A456" w14:textId="04063433" w:rsidR="00E40918" w:rsidRDefault="00E40918" w:rsidP="0034474B">
      <w:pPr>
        <w:pStyle w:val="BodyText"/>
      </w:pPr>
      <w:r w:rsidRPr="004D0A69">
        <w:t>Since the 1</w:t>
      </w:r>
      <w:r w:rsidR="005C72F6">
        <w:t>-percent</w:t>
      </w:r>
      <w:r w:rsidRPr="004D0A69">
        <w:t xml:space="preserve"> plus and minus events represent plus and minus one standard deviation of a 1</w:t>
      </w:r>
      <w:r w:rsidR="005C72F6">
        <w:t>-percent</w:t>
      </w:r>
      <w:r w:rsidRPr="004D0A69">
        <w:t xml:space="preserve"> event, CNs used in a rainfall-runoff simulation for modeling 1</w:t>
      </w:r>
      <w:r w:rsidR="005C72F6">
        <w:t>-percent</w:t>
      </w:r>
      <w:r w:rsidRPr="004D0A69">
        <w:t xml:space="preserve"> </w:t>
      </w:r>
      <w:r>
        <w:t>p</w:t>
      </w:r>
      <w:r w:rsidRPr="004D0A69">
        <w:t xml:space="preserve">lus and </w:t>
      </w:r>
      <w:r>
        <w:t>m</w:t>
      </w:r>
      <w:r w:rsidRPr="004D0A69">
        <w:t xml:space="preserve">inus events were developed, as described above. </w:t>
      </w:r>
      <w:r w:rsidR="006137EB">
        <w:t>A single basin</w:t>
      </w:r>
      <w:r w:rsidR="008F036F">
        <w:t xml:space="preserve"> for each work area</w:t>
      </w:r>
      <w:r w:rsidR="006137EB">
        <w:t xml:space="preserve"> was used in HEC-HMS for simulation to estimate excess precipitation. </w:t>
      </w:r>
    </w:p>
    <w:p w14:paraId="0AAE300B" w14:textId="11CAAF55" w:rsidR="001F2D00" w:rsidRDefault="00B908E0" w:rsidP="0048315A">
      <w:pPr>
        <w:pStyle w:val="BodyText"/>
      </w:pPr>
      <w:r>
        <w:t>The table below shows the c</w:t>
      </w:r>
      <w:r w:rsidR="00161A02" w:rsidRPr="00161A02">
        <w:t xml:space="preserve">urve </w:t>
      </w:r>
      <w:r w:rsidR="00D34AA1">
        <w:t>n</w:t>
      </w:r>
      <w:r w:rsidR="00D34AA1" w:rsidRPr="00161A02">
        <w:t>umbers</w:t>
      </w:r>
      <w:r w:rsidR="00161A02" w:rsidRPr="00161A02">
        <w:t xml:space="preserve"> both initially computed and revised</w:t>
      </w:r>
      <w:r w:rsidR="002F15EF">
        <w:t>/verified</w:t>
      </w:r>
      <w:r w:rsidR="00161A02" w:rsidRPr="00161A02">
        <w:t xml:space="preserve"> values based on reasonability check revisions</w:t>
      </w:r>
      <w:r w:rsidR="00161A02">
        <w:t>.</w:t>
      </w:r>
    </w:p>
    <w:p w14:paraId="5775BD55" w14:textId="3D0D6FBF" w:rsidR="00161A02" w:rsidRDefault="00161A02" w:rsidP="00B908E0">
      <w:pPr>
        <w:pStyle w:val="Caption"/>
        <w:jc w:val="center"/>
      </w:pPr>
      <w:bookmarkStart w:id="49" w:name="_Toc112877049"/>
      <w:r>
        <w:t xml:space="preserve">Table </w:t>
      </w:r>
      <w:r w:rsidR="0047146E">
        <w:fldChar w:fldCharType="begin"/>
      </w:r>
      <w:r w:rsidR="0047146E">
        <w:instrText xml:space="preserve"> SEQ Table \* ARABIC </w:instrText>
      </w:r>
      <w:r w:rsidR="0047146E">
        <w:fldChar w:fldCharType="separate"/>
      </w:r>
      <w:r w:rsidR="00C9792F">
        <w:rPr>
          <w:noProof/>
        </w:rPr>
        <w:t>4</w:t>
      </w:r>
      <w:r w:rsidR="0047146E">
        <w:fldChar w:fldCharType="end"/>
      </w:r>
      <w:r>
        <w:t>: Rainfall-Runoff Curve Numbers</w:t>
      </w:r>
      <w:bookmarkEnd w:id="49"/>
    </w:p>
    <w:tbl>
      <w:tblPr>
        <w:tblStyle w:val="CompassTable"/>
        <w:tblW w:w="7869" w:type="dxa"/>
        <w:jc w:val="center"/>
        <w:tblLook w:val="04A0" w:firstRow="1" w:lastRow="0" w:firstColumn="1" w:lastColumn="0" w:noHBand="0" w:noVBand="1"/>
      </w:tblPr>
      <w:tblGrid>
        <w:gridCol w:w="2339"/>
        <w:gridCol w:w="1422"/>
        <w:gridCol w:w="1426"/>
        <w:gridCol w:w="1311"/>
        <w:gridCol w:w="1371"/>
      </w:tblGrid>
      <w:tr w:rsidR="00161A02" w:rsidRPr="00161A02" w14:paraId="1EC16C0B" w14:textId="77777777" w:rsidTr="00870C96">
        <w:trPr>
          <w:cnfStyle w:val="100000000000" w:firstRow="1" w:lastRow="0" w:firstColumn="0" w:lastColumn="0" w:oddVBand="0" w:evenVBand="0" w:oddHBand="0" w:evenHBand="0" w:firstRowFirstColumn="0" w:firstRowLastColumn="0" w:lastRowFirstColumn="0" w:lastRowLastColumn="0"/>
          <w:trHeight w:val="770"/>
          <w:jc w:val="center"/>
        </w:trPr>
        <w:tc>
          <w:tcPr>
            <w:tcW w:w="2339" w:type="dxa"/>
            <w:shd w:val="clear" w:color="auto" w:fill="00B5E2" w:themeFill="accent1"/>
            <w:hideMark/>
          </w:tcPr>
          <w:p w14:paraId="5AED4D94" w14:textId="77777777" w:rsidR="00161A02" w:rsidRPr="00161A02" w:rsidRDefault="00161A02" w:rsidP="00161A02">
            <w:pPr>
              <w:tabs>
                <w:tab w:val="clear" w:pos="284"/>
              </w:tabs>
              <w:spacing w:line="240" w:lineRule="auto"/>
              <w:jc w:val="center"/>
              <w:rPr>
                <w:rFonts w:eastAsia="Times New Roman" w:cs="Times New Roman"/>
                <w:bCs/>
                <w:kern w:val="0"/>
                <w:sz w:val="20"/>
                <w:szCs w:val="20"/>
              </w:rPr>
            </w:pPr>
            <w:r w:rsidRPr="00161A02">
              <w:rPr>
                <w:rFonts w:eastAsia="Times New Roman" w:cs="Times New Roman"/>
                <w:bCs/>
                <w:kern w:val="0"/>
                <w:sz w:val="20"/>
                <w:szCs w:val="20"/>
              </w:rPr>
              <w:t>Sub-basin Description</w:t>
            </w:r>
          </w:p>
        </w:tc>
        <w:tc>
          <w:tcPr>
            <w:tcW w:w="1422" w:type="dxa"/>
            <w:shd w:val="clear" w:color="auto" w:fill="00B5E2" w:themeFill="accent1"/>
          </w:tcPr>
          <w:p w14:paraId="5CC60F97" w14:textId="77777777" w:rsidR="00161A02" w:rsidRPr="00161A02" w:rsidRDefault="00161A02" w:rsidP="00161A02">
            <w:pPr>
              <w:tabs>
                <w:tab w:val="clear" w:pos="284"/>
              </w:tabs>
              <w:spacing w:line="240" w:lineRule="auto"/>
              <w:jc w:val="center"/>
              <w:rPr>
                <w:rFonts w:eastAsia="Times New Roman" w:cs="Times New Roman"/>
                <w:kern w:val="0"/>
                <w:sz w:val="20"/>
                <w:szCs w:val="20"/>
              </w:rPr>
            </w:pPr>
            <w:r w:rsidRPr="00161A02">
              <w:rPr>
                <w:rFonts w:eastAsia="Times New Roman" w:cs="Times New Roman"/>
                <w:kern w:val="0"/>
                <w:sz w:val="20"/>
                <w:szCs w:val="20"/>
              </w:rPr>
              <w:t>CN (initial)</w:t>
            </w:r>
          </w:p>
        </w:tc>
        <w:tc>
          <w:tcPr>
            <w:tcW w:w="1426" w:type="dxa"/>
            <w:shd w:val="clear" w:color="auto" w:fill="00B5E2" w:themeFill="accent1"/>
            <w:hideMark/>
          </w:tcPr>
          <w:p w14:paraId="3550F21E" w14:textId="77777777" w:rsidR="00161A02" w:rsidRPr="00161A02" w:rsidRDefault="00161A02" w:rsidP="00161A02">
            <w:pPr>
              <w:tabs>
                <w:tab w:val="clear" w:pos="284"/>
              </w:tabs>
              <w:spacing w:line="240" w:lineRule="auto"/>
              <w:jc w:val="center"/>
              <w:rPr>
                <w:rFonts w:eastAsia="Times New Roman" w:cs="Times New Roman"/>
                <w:bCs/>
                <w:kern w:val="0"/>
                <w:sz w:val="20"/>
                <w:szCs w:val="20"/>
              </w:rPr>
            </w:pPr>
            <w:r w:rsidRPr="00161A02">
              <w:rPr>
                <w:rFonts w:eastAsia="Times New Roman" w:cs="Times New Roman"/>
                <w:bCs/>
                <w:kern w:val="0"/>
                <w:sz w:val="20"/>
                <w:szCs w:val="20"/>
              </w:rPr>
              <w:t>CN (verified)</w:t>
            </w:r>
          </w:p>
        </w:tc>
        <w:tc>
          <w:tcPr>
            <w:tcW w:w="1311" w:type="dxa"/>
            <w:shd w:val="clear" w:color="auto" w:fill="00B5E2" w:themeFill="accent1"/>
            <w:hideMark/>
          </w:tcPr>
          <w:p w14:paraId="7D652FB4" w14:textId="651B6DA5" w:rsidR="00161A02" w:rsidRPr="00161A02" w:rsidRDefault="00161A02" w:rsidP="005C72F6">
            <w:pPr>
              <w:tabs>
                <w:tab w:val="clear" w:pos="284"/>
              </w:tabs>
              <w:spacing w:line="240" w:lineRule="auto"/>
              <w:jc w:val="center"/>
              <w:rPr>
                <w:rFonts w:eastAsia="Times New Roman" w:cs="Times New Roman"/>
                <w:bCs/>
                <w:kern w:val="0"/>
                <w:sz w:val="20"/>
                <w:szCs w:val="20"/>
              </w:rPr>
            </w:pPr>
            <w:r w:rsidRPr="00161A02">
              <w:rPr>
                <w:rFonts w:eastAsia="Times New Roman" w:cs="Times New Roman"/>
                <w:bCs/>
                <w:kern w:val="0"/>
                <w:sz w:val="20"/>
                <w:szCs w:val="20"/>
              </w:rPr>
              <w:t>CN 1</w:t>
            </w:r>
            <w:r w:rsidR="005C72F6">
              <w:rPr>
                <w:rFonts w:eastAsia="Times New Roman" w:cs="Times New Roman"/>
                <w:bCs/>
                <w:kern w:val="0"/>
                <w:sz w:val="20"/>
                <w:szCs w:val="20"/>
              </w:rPr>
              <w:t>-percent</w:t>
            </w:r>
            <w:r w:rsidRPr="00161A02">
              <w:rPr>
                <w:rFonts w:eastAsia="Times New Roman" w:cs="Times New Roman"/>
                <w:bCs/>
                <w:kern w:val="0"/>
                <w:sz w:val="20"/>
                <w:szCs w:val="20"/>
              </w:rPr>
              <w:t xml:space="preserve"> Minus</w:t>
            </w:r>
          </w:p>
        </w:tc>
        <w:tc>
          <w:tcPr>
            <w:tcW w:w="1371" w:type="dxa"/>
            <w:shd w:val="clear" w:color="auto" w:fill="00B5E2" w:themeFill="accent1"/>
            <w:hideMark/>
          </w:tcPr>
          <w:p w14:paraId="2DE3FF2F" w14:textId="033FA854" w:rsidR="00161A02" w:rsidRPr="00161A02" w:rsidRDefault="00161A02" w:rsidP="005C72F6">
            <w:pPr>
              <w:tabs>
                <w:tab w:val="clear" w:pos="284"/>
              </w:tabs>
              <w:spacing w:line="240" w:lineRule="auto"/>
              <w:jc w:val="center"/>
              <w:rPr>
                <w:rFonts w:eastAsia="Times New Roman" w:cs="Times New Roman"/>
                <w:bCs/>
                <w:kern w:val="0"/>
                <w:sz w:val="20"/>
                <w:szCs w:val="20"/>
              </w:rPr>
            </w:pPr>
            <w:r w:rsidRPr="00161A02">
              <w:rPr>
                <w:rFonts w:eastAsia="Times New Roman" w:cs="Times New Roman"/>
                <w:bCs/>
                <w:kern w:val="0"/>
                <w:sz w:val="20"/>
                <w:szCs w:val="20"/>
              </w:rPr>
              <w:t>CN 1</w:t>
            </w:r>
            <w:r w:rsidR="005C72F6">
              <w:rPr>
                <w:rFonts w:eastAsia="Times New Roman" w:cs="Times New Roman"/>
                <w:bCs/>
                <w:kern w:val="0"/>
                <w:sz w:val="20"/>
                <w:szCs w:val="20"/>
              </w:rPr>
              <w:t>-percent</w:t>
            </w:r>
            <w:r w:rsidRPr="00161A02">
              <w:rPr>
                <w:rFonts w:eastAsia="Times New Roman" w:cs="Times New Roman"/>
                <w:bCs/>
                <w:kern w:val="0"/>
                <w:sz w:val="20"/>
                <w:szCs w:val="20"/>
              </w:rPr>
              <w:t xml:space="preserve"> Plus</w:t>
            </w:r>
          </w:p>
        </w:tc>
      </w:tr>
      <w:tr w:rsidR="002C0A89" w:rsidRPr="00161A02" w14:paraId="28DE84D8" w14:textId="77777777" w:rsidTr="005C72F6">
        <w:trPr>
          <w:cnfStyle w:val="000000100000" w:firstRow="0" w:lastRow="0" w:firstColumn="0" w:lastColumn="0" w:oddVBand="0" w:evenVBand="0" w:oddHBand="1" w:evenHBand="0" w:firstRowFirstColumn="0" w:firstRowLastColumn="0" w:lastRowFirstColumn="0" w:lastRowLastColumn="0"/>
          <w:trHeight w:val="311"/>
          <w:jc w:val="center"/>
        </w:trPr>
        <w:tc>
          <w:tcPr>
            <w:tcW w:w="2339" w:type="dxa"/>
            <w:vAlign w:val="top"/>
          </w:tcPr>
          <w:p w14:paraId="7D5A9DC9" w14:textId="5B9135C9" w:rsidR="002C0A89" w:rsidRPr="007123E3" w:rsidRDefault="00D53292" w:rsidP="00161A02">
            <w:pPr>
              <w:tabs>
                <w:tab w:val="clear" w:pos="284"/>
              </w:tabs>
              <w:spacing w:line="240" w:lineRule="auto"/>
              <w:jc w:val="center"/>
              <w:rPr>
                <w:rFonts w:eastAsia="Times New Roman" w:cs="Times New Roman"/>
                <w:color w:val="auto"/>
                <w:kern w:val="0"/>
                <w:szCs w:val="20"/>
                <w:highlight w:val="yellow"/>
              </w:rPr>
            </w:pPr>
            <w:bookmarkStart w:id="50" w:name="_Hlk109636090"/>
            <w:r>
              <w:rPr>
                <w:color w:val="auto"/>
                <w:szCs w:val="20"/>
              </w:rPr>
              <w:t>YHD1</w:t>
            </w:r>
          </w:p>
        </w:tc>
        <w:tc>
          <w:tcPr>
            <w:tcW w:w="1422" w:type="dxa"/>
            <w:vAlign w:val="top"/>
          </w:tcPr>
          <w:p w14:paraId="18642647" w14:textId="478B400B" w:rsidR="002C0A89" w:rsidRPr="007123E3" w:rsidRDefault="00870C96" w:rsidP="00F05FD6">
            <w:pPr>
              <w:tabs>
                <w:tab w:val="clear" w:pos="284"/>
              </w:tabs>
              <w:spacing w:line="240" w:lineRule="auto"/>
              <w:jc w:val="center"/>
              <w:rPr>
                <w:rFonts w:eastAsia="Times New Roman" w:cs="Times New Roman"/>
                <w:color w:val="auto"/>
                <w:kern w:val="0"/>
                <w:szCs w:val="20"/>
              </w:rPr>
            </w:pPr>
            <w:r>
              <w:rPr>
                <w:color w:val="auto"/>
                <w:szCs w:val="20"/>
              </w:rPr>
              <w:t>58.05</w:t>
            </w:r>
          </w:p>
        </w:tc>
        <w:tc>
          <w:tcPr>
            <w:tcW w:w="1426" w:type="dxa"/>
            <w:vAlign w:val="top"/>
          </w:tcPr>
          <w:p w14:paraId="551D27D1" w14:textId="4A4907B3" w:rsidR="002C0A89" w:rsidRPr="007123E3" w:rsidRDefault="00870C96" w:rsidP="00F05FD6">
            <w:pPr>
              <w:tabs>
                <w:tab w:val="clear" w:pos="284"/>
              </w:tabs>
              <w:spacing w:line="240" w:lineRule="auto"/>
              <w:jc w:val="center"/>
              <w:rPr>
                <w:rFonts w:eastAsia="Times New Roman" w:cs="Times New Roman"/>
                <w:color w:val="auto"/>
                <w:kern w:val="0"/>
                <w:szCs w:val="20"/>
              </w:rPr>
            </w:pPr>
            <w:r>
              <w:rPr>
                <w:color w:val="auto"/>
                <w:szCs w:val="20"/>
              </w:rPr>
              <w:t>78.05</w:t>
            </w:r>
          </w:p>
        </w:tc>
        <w:tc>
          <w:tcPr>
            <w:tcW w:w="1311" w:type="dxa"/>
            <w:vAlign w:val="top"/>
          </w:tcPr>
          <w:p w14:paraId="5A8D5557" w14:textId="0718A06C" w:rsidR="002C0A89" w:rsidRPr="007123E3" w:rsidRDefault="00870C96" w:rsidP="00161A02">
            <w:pPr>
              <w:tabs>
                <w:tab w:val="clear" w:pos="284"/>
              </w:tabs>
              <w:spacing w:line="240" w:lineRule="auto"/>
              <w:jc w:val="center"/>
              <w:rPr>
                <w:rFonts w:eastAsia="Times New Roman" w:cs="Times New Roman"/>
                <w:color w:val="auto"/>
                <w:kern w:val="0"/>
                <w:szCs w:val="20"/>
              </w:rPr>
            </w:pPr>
            <w:r>
              <w:rPr>
                <w:color w:val="auto"/>
                <w:szCs w:val="20"/>
              </w:rPr>
              <w:t>64.6</w:t>
            </w:r>
          </w:p>
        </w:tc>
        <w:tc>
          <w:tcPr>
            <w:tcW w:w="1371" w:type="dxa"/>
            <w:vAlign w:val="top"/>
          </w:tcPr>
          <w:p w14:paraId="7B0FD154" w14:textId="609B3BD9" w:rsidR="002C0A89" w:rsidRPr="007123E3" w:rsidRDefault="00870C96" w:rsidP="00F05FD6">
            <w:pPr>
              <w:tabs>
                <w:tab w:val="clear" w:pos="284"/>
              </w:tabs>
              <w:spacing w:line="240" w:lineRule="auto"/>
              <w:jc w:val="center"/>
              <w:rPr>
                <w:rFonts w:eastAsia="Times New Roman" w:cs="Times New Roman"/>
                <w:color w:val="auto"/>
                <w:kern w:val="0"/>
                <w:szCs w:val="20"/>
              </w:rPr>
            </w:pPr>
            <w:r>
              <w:rPr>
                <w:color w:val="auto"/>
                <w:szCs w:val="20"/>
              </w:rPr>
              <w:t>87.3</w:t>
            </w:r>
          </w:p>
        </w:tc>
      </w:tr>
      <w:tr w:rsidR="002C0A89" w:rsidRPr="00161A02" w14:paraId="1C1F5BCC" w14:textId="77777777" w:rsidTr="005C72F6">
        <w:trPr>
          <w:cnfStyle w:val="000000010000" w:firstRow="0" w:lastRow="0" w:firstColumn="0" w:lastColumn="0" w:oddVBand="0" w:evenVBand="0" w:oddHBand="0" w:evenHBand="1" w:firstRowFirstColumn="0" w:firstRowLastColumn="0" w:lastRowFirstColumn="0" w:lastRowLastColumn="0"/>
          <w:trHeight w:val="311"/>
          <w:jc w:val="center"/>
        </w:trPr>
        <w:tc>
          <w:tcPr>
            <w:tcW w:w="2339" w:type="dxa"/>
            <w:vAlign w:val="top"/>
          </w:tcPr>
          <w:p w14:paraId="4C1D2F02" w14:textId="25B5CE3C" w:rsidR="002C0A89" w:rsidRDefault="00D53292" w:rsidP="00161A02">
            <w:pPr>
              <w:tabs>
                <w:tab w:val="clear" w:pos="284"/>
              </w:tabs>
              <w:spacing w:line="240" w:lineRule="auto"/>
              <w:jc w:val="center"/>
              <w:rPr>
                <w:szCs w:val="20"/>
              </w:rPr>
            </w:pPr>
            <w:r>
              <w:rPr>
                <w:szCs w:val="20"/>
              </w:rPr>
              <w:t>YHD2</w:t>
            </w:r>
          </w:p>
        </w:tc>
        <w:tc>
          <w:tcPr>
            <w:tcW w:w="1422" w:type="dxa"/>
            <w:vAlign w:val="top"/>
          </w:tcPr>
          <w:p w14:paraId="16A136DF" w14:textId="383669DA" w:rsidR="002C0A89" w:rsidRPr="007123E3" w:rsidRDefault="00870C96" w:rsidP="00F05FD6">
            <w:pPr>
              <w:tabs>
                <w:tab w:val="clear" w:pos="284"/>
              </w:tabs>
              <w:spacing w:line="240" w:lineRule="auto"/>
              <w:jc w:val="center"/>
              <w:rPr>
                <w:szCs w:val="20"/>
              </w:rPr>
            </w:pPr>
            <w:r>
              <w:rPr>
                <w:szCs w:val="20"/>
              </w:rPr>
              <w:t>63.71</w:t>
            </w:r>
          </w:p>
        </w:tc>
        <w:tc>
          <w:tcPr>
            <w:tcW w:w="1426" w:type="dxa"/>
            <w:vAlign w:val="top"/>
          </w:tcPr>
          <w:p w14:paraId="41C2C601" w14:textId="139E2D26" w:rsidR="002C0A89" w:rsidRPr="007123E3" w:rsidRDefault="00870C96" w:rsidP="00F05FD6">
            <w:pPr>
              <w:tabs>
                <w:tab w:val="clear" w:pos="284"/>
              </w:tabs>
              <w:spacing w:line="240" w:lineRule="auto"/>
              <w:jc w:val="center"/>
              <w:rPr>
                <w:szCs w:val="20"/>
              </w:rPr>
            </w:pPr>
            <w:r>
              <w:rPr>
                <w:szCs w:val="20"/>
              </w:rPr>
              <w:t>83.71</w:t>
            </w:r>
          </w:p>
        </w:tc>
        <w:tc>
          <w:tcPr>
            <w:tcW w:w="1311" w:type="dxa"/>
            <w:vAlign w:val="top"/>
          </w:tcPr>
          <w:p w14:paraId="6832E8A8" w14:textId="67F8B9A4" w:rsidR="002C0A89" w:rsidRDefault="00870C96" w:rsidP="00161A02">
            <w:pPr>
              <w:tabs>
                <w:tab w:val="clear" w:pos="284"/>
              </w:tabs>
              <w:spacing w:line="240" w:lineRule="auto"/>
              <w:jc w:val="center"/>
              <w:rPr>
                <w:szCs w:val="20"/>
              </w:rPr>
            </w:pPr>
            <w:r>
              <w:rPr>
                <w:szCs w:val="20"/>
              </w:rPr>
              <w:t>73</w:t>
            </w:r>
          </w:p>
        </w:tc>
        <w:tc>
          <w:tcPr>
            <w:tcW w:w="1371" w:type="dxa"/>
            <w:vAlign w:val="top"/>
          </w:tcPr>
          <w:p w14:paraId="04145C23" w14:textId="1C44F304" w:rsidR="002C0A89" w:rsidRPr="007123E3" w:rsidRDefault="00870C96" w:rsidP="00F05FD6">
            <w:pPr>
              <w:tabs>
                <w:tab w:val="clear" w:pos="284"/>
              </w:tabs>
              <w:spacing w:line="240" w:lineRule="auto"/>
              <w:jc w:val="center"/>
              <w:rPr>
                <w:szCs w:val="20"/>
              </w:rPr>
            </w:pPr>
            <w:r>
              <w:rPr>
                <w:szCs w:val="20"/>
              </w:rPr>
              <w:t>91.1</w:t>
            </w:r>
          </w:p>
        </w:tc>
      </w:tr>
      <w:tr w:rsidR="00D53292" w:rsidRPr="00161A02" w14:paraId="0019AA15" w14:textId="77777777" w:rsidTr="005C72F6">
        <w:trPr>
          <w:cnfStyle w:val="000000100000" w:firstRow="0" w:lastRow="0" w:firstColumn="0" w:lastColumn="0" w:oddVBand="0" w:evenVBand="0" w:oddHBand="1" w:evenHBand="0" w:firstRowFirstColumn="0" w:firstRowLastColumn="0" w:lastRowFirstColumn="0" w:lastRowLastColumn="0"/>
          <w:trHeight w:val="311"/>
          <w:jc w:val="center"/>
        </w:trPr>
        <w:tc>
          <w:tcPr>
            <w:tcW w:w="2339" w:type="dxa"/>
            <w:vAlign w:val="top"/>
          </w:tcPr>
          <w:p w14:paraId="243D982D" w14:textId="3D1E393F" w:rsidR="00D53292" w:rsidRDefault="00D53292" w:rsidP="00161A02">
            <w:pPr>
              <w:tabs>
                <w:tab w:val="clear" w:pos="284"/>
              </w:tabs>
              <w:spacing w:line="240" w:lineRule="auto"/>
              <w:jc w:val="center"/>
              <w:rPr>
                <w:szCs w:val="20"/>
              </w:rPr>
            </w:pPr>
            <w:r>
              <w:rPr>
                <w:szCs w:val="20"/>
              </w:rPr>
              <w:t>YHD3</w:t>
            </w:r>
          </w:p>
        </w:tc>
        <w:tc>
          <w:tcPr>
            <w:tcW w:w="1422" w:type="dxa"/>
            <w:vAlign w:val="top"/>
          </w:tcPr>
          <w:p w14:paraId="6A03CDC9" w14:textId="41197070" w:rsidR="00D53292" w:rsidRDefault="00870C96" w:rsidP="00F05FD6">
            <w:pPr>
              <w:tabs>
                <w:tab w:val="clear" w:pos="284"/>
              </w:tabs>
              <w:spacing w:line="240" w:lineRule="auto"/>
              <w:jc w:val="center"/>
              <w:rPr>
                <w:szCs w:val="20"/>
              </w:rPr>
            </w:pPr>
            <w:r>
              <w:rPr>
                <w:szCs w:val="20"/>
              </w:rPr>
              <w:t>62.42</w:t>
            </w:r>
          </w:p>
        </w:tc>
        <w:tc>
          <w:tcPr>
            <w:tcW w:w="1426" w:type="dxa"/>
            <w:vAlign w:val="top"/>
          </w:tcPr>
          <w:p w14:paraId="2EFA9740" w14:textId="6927C504" w:rsidR="00D53292" w:rsidRPr="008209FD" w:rsidRDefault="00870C96" w:rsidP="00F05FD6">
            <w:pPr>
              <w:tabs>
                <w:tab w:val="clear" w:pos="284"/>
              </w:tabs>
              <w:spacing w:line="240" w:lineRule="auto"/>
              <w:jc w:val="center"/>
              <w:rPr>
                <w:szCs w:val="20"/>
              </w:rPr>
            </w:pPr>
            <w:r>
              <w:rPr>
                <w:szCs w:val="20"/>
              </w:rPr>
              <w:t>82.42</w:t>
            </w:r>
          </w:p>
        </w:tc>
        <w:tc>
          <w:tcPr>
            <w:tcW w:w="1311" w:type="dxa"/>
            <w:vAlign w:val="top"/>
          </w:tcPr>
          <w:p w14:paraId="5E89360F" w14:textId="1F19E8DF" w:rsidR="00D53292" w:rsidRPr="008209FD" w:rsidRDefault="00870C96" w:rsidP="00161A02">
            <w:pPr>
              <w:tabs>
                <w:tab w:val="clear" w:pos="284"/>
              </w:tabs>
              <w:spacing w:line="240" w:lineRule="auto"/>
              <w:jc w:val="center"/>
              <w:rPr>
                <w:szCs w:val="20"/>
              </w:rPr>
            </w:pPr>
            <w:r>
              <w:rPr>
                <w:szCs w:val="20"/>
              </w:rPr>
              <w:t>70.1</w:t>
            </w:r>
          </w:p>
        </w:tc>
        <w:tc>
          <w:tcPr>
            <w:tcW w:w="1371" w:type="dxa"/>
            <w:vAlign w:val="top"/>
          </w:tcPr>
          <w:p w14:paraId="50EBC60C" w14:textId="2A40F5A9" w:rsidR="00D53292" w:rsidRPr="008209FD" w:rsidRDefault="00870C96" w:rsidP="00F05FD6">
            <w:pPr>
              <w:tabs>
                <w:tab w:val="clear" w:pos="284"/>
              </w:tabs>
              <w:spacing w:line="240" w:lineRule="auto"/>
              <w:jc w:val="center"/>
              <w:rPr>
                <w:szCs w:val="20"/>
              </w:rPr>
            </w:pPr>
            <w:r>
              <w:rPr>
                <w:szCs w:val="20"/>
              </w:rPr>
              <w:t>89.8</w:t>
            </w:r>
          </w:p>
        </w:tc>
      </w:tr>
      <w:tr w:rsidR="00870C96" w:rsidRPr="00161A02" w14:paraId="2576E83C" w14:textId="77777777" w:rsidTr="005C72F6">
        <w:trPr>
          <w:cnfStyle w:val="000000010000" w:firstRow="0" w:lastRow="0" w:firstColumn="0" w:lastColumn="0" w:oddVBand="0" w:evenVBand="0" w:oddHBand="0" w:evenHBand="1" w:firstRowFirstColumn="0" w:firstRowLastColumn="0" w:lastRowFirstColumn="0" w:lastRowLastColumn="0"/>
          <w:trHeight w:val="311"/>
          <w:jc w:val="center"/>
        </w:trPr>
        <w:tc>
          <w:tcPr>
            <w:tcW w:w="2339" w:type="dxa"/>
            <w:vAlign w:val="top"/>
          </w:tcPr>
          <w:p w14:paraId="13FC1264" w14:textId="7B7A82A9" w:rsidR="00870C96" w:rsidRDefault="00870C96" w:rsidP="00870C96">
            <w:pPr>
              <w:tabs>
                <w:tab w:val="clear" w:pos="284"/>
              </w:tabs>
              <w:spacing w:line="240" w:lineRule="auto"/>
              <w:jc w:val="center"/>
              <w:rPr>
                <w:szCs w:val="20"/>
              </w:rPr>
            </w:pPr>
            <w:r>
              <w:rPr>
                <w:szCs w:val="20"/>
              </w:rPr>
              <w:t>YHD4</w:t>
            </w:r>
          </w:p>
        </w:tc>
        <w:tc>
          <w:tcPr>
            <w:tcW w:w="1422" w:type="dxa"/>
            <w:vAlign w:val="top"/>
          </w:tcPr>
          <w:p w14:paraId="485A3EC0" w14:textId="2EB6CAC5" w:rsidR="00870C96" w:rsidRDefault="00870C96" w:rsidP="00870C96">
            <w:pPr>
              <w:tabs>
                <w:tab w:val="clear" w:pos="284"/>
              </w:tabs>
              <w:spacing w:line="240" w:lineRule="auto"/>
              <w:jc w:val="center"/>
              <w:rPr>
                <w:szCs w:val="20"/>
              </w:rPr>
            </w:pPr>
            <w:r>
              <w:rPr>
                <w:szCs w:val="20"/>
              </w:rPr>
              <w:t>62.31</w:t>
            </w:r>
          </w:p>
        </w:tc>
        <w:tc>
          <w:tcPr>
            <w:tcW w:w="1426" w:type="dxa"/>
            <w:vAlign w:val="top"/>
          </w:tcPr>
          <w:p w14:paraId="49261CF9" w14:textId="5F05C00D" w:rsidR="00870C96" w:rsidRPr="008209FD" w:rsidRDefault="00870C96" w:rsidP="00870C96">
            <w:pPr>
              <w:tabs>
                <w:tab w:val="clear" w:pos="284"/>
              </w:tabs>
              <w:spacing w:line="240" w:lineRule="auto"/>
              <w:jc w:val="center"/>
              <w:rPr>
                <w:szCs w:val="20"/>
              </w:rPr>
            </w:pPr>
            <w:r>
              <w:rPr>
                <w:szCs w:val="20"/>
              </w:rPr>
              <w:t>82.31</w:t>
            </w:r>
          </w:p>
        </w:tc>
        <w:tc>
          <w:tcPr>
            <w:tcW w:w="1311" w:type="dxa"/>
            <w:vAlign w:val="top"/>
          </w:tcPr>
          <w:p w14:paraId="56325266" w14:textId="7475EF7B" w:rsidR="00870C96" w:rsidRPr="008209FD" w:rsidRDefault="00870C96" w:rsidP="00870C96">
            <w:pPr>
              <w:tabs>
                <w:tab w:val="clear" w:pos="284"/>
              </w:tabs>
              <w:spacing w:line="240" w:lineRule="auto"/>
              <w:jc w:val="center"/>
              <w:rPr>
                <w:szCs w:val="20"/>
              </w:rPr>
            </w:pPr>
            <w:r>
              <w:rPr>
                <w:szCs w:val="20"/>
              </w:rPr>
              <w:t>70.1</w:t>
            </w:r>
          </w:p>
        </w:tc>
        <w:tc>
          <w:tcPr>
            <w:tcW w:w="1371" w:type="dxa"/>
            <w:vAlign w:val="top"/>
          </w:tcPr>
          <w:p w14:paraId="638FFA01" w14:textId="6B71397E" w:rsidR="00870C96" w:rsidRPr="008209FD" w:rsidRDefault="00870C96" w:rsidP="00870C96">
            <w:pPr>
              <w:tabs>
                <w:tab w:val="clear" w:pos="284"/>
              </w:tabs>
              <w:spacing w:line="240" w:lineRule="auto"/>
              <w:jc w:val="center"/>
              <w:rPr>
                <w:szCs w:val="20"/>
              </w:rPr>
            </w:pPr>
            <w:r>
              <w:rPr>
                <w:szCs w:val="20"/>
              </w:rPr>
              <w:t>89.8</w:t>
            </w:r>
          </w:p>
        </w:tc>
      </w:tr>
      <w:tr w:rsidR="00870C96" w:rsidRPr="00161A02" w14:paraId="58737382" w14:textId="77777777" w:rsidTr="005C72F6">
        <w:trPr>
          <w:cnfStyle w:val="000000100000" w:firstRow="0" w:lastRow="0" w:firstColumn="0" w:lastColumn="0" w:oddVBand="0" w:evenVBand="0" w:oddHBand="1" w:evenHBand="0" w:firstRowFirstColumn="0" w:firstRowLastColumn="0" w:lastRowFirstColumn="0" w:lastRowLastColumn="0"/>
          <w:trHeight w:val="311"/>
          <w:jc w:val="center"/>
        </w:trPr>
        <w:tc>
          <w:tcPr>
            <w:tcW w:w="2339" w:type="dxa"/>
            <w:vAlign w:val="top"/>
          </w:tcPr>
          <w:p w14:paraId="739E946F" w14:textId="465B1B4C" w:rsidR="00870C96" w:rsidRDefault="00870C96" w:rsidP="00870C96">
            <w:pPr>
              <w:tabs>
                <w:tab w:val="clear" w:pos="284"/>
              </w:tabs>
              <w:spacing w:line="240" w:lineRule="auto"/>
              <w:jc w:val="center"/>
              <w:rPr>
                <w:szCs w:val="20"/>
              </w:rPr>
            </w:pPr>
            <w:r>
              <w:rPr>
                <w:szCs w:val="20"/>
              </w:rPr>
              <w:t>YHD5</w:t>
            </w:r>
          </w:p>
        </w:tc>
        <w:tc>
          <w:tcPr>
            <w:tcW w:w="1422" w:type="dxa"/>
            <w:vAlign w:val="top"/>
          </w:tcPr>
          <w:p w14:paraId="25B157FE" w14:textId="6E4CE876" w:rsidR="00870C96" w:rsidRDefault="00870C96" w:rsidP="00870C96">
            <w:pPr>
              <w:tabs>
                <w:tab w:val="clear" w:pos="284"/>
              </w:tabs>
              <w:spacing w:line="240" w:lineRule="auto"/>
              <w:jc w:val="center"/>
              <w:rPr>
                <w:szCs w:val="20"/>
              </w:rPr>
            </w:pPr>
            <w:r>
              <w:rPr>
                <w:szCs w:val="20"/>
              </w:rPr>
              <w:t>62.48</w:t>
            </w:r>
          </w:p>
        </w:tc>
        <w:tc>
          <w:tcPr>
            <w:tcW w:w="1426" w:type="dxa"/>
            <w:vAlign w:val="top"/>
          </w:tcPr>
          <w:p w14:paraId="1F898185" w14:textId="009E3711" w:rsidR="00870C96" w:rsidRPr="008209FD" w:rsidRDefault="00870C96" w:rsidP="00870C96">
            <w:pPr>
              <w:tabs>
                <w:tab w:val="clear" w:pos="284"/>
              </w:tabs>
              <w:spacing w:line="240" w:lineRule="auto"/>
              <w:jc w:val="center"/>
              <w:rPr>
                <w:szCs w:val="20"/>
              </w:rPr>
            </w:pPr>
            <w:r>
              <w:rPr>
                <w:szCs w:val="20"/>
              </w:rPr>
              <w:t>82.48</w:t>
            </w:r>
          </w:p>
        </w:tc>
        <w:tc>
          <w:tcPr>
            <w:tcW w:w="1311" w:type="dxa"/>
            <w:vAlign w:val="top"/>
          </w:tcPr>
          <w:p w14:paraId="793A8169" w14:textId="4A303CC4" w:rsidR="00870C96" w:rsidRPr="008209FD" w:rsidRDefault="00870C96" w:rsidP="00870C96">
            <w:pPr>
              <w:tabs>
                <w:tab w:val="clear" w:pos="284"/>
              </w:tabs>
              <w:spacing w:line="240" w:lineRule="auto"/>
              <w:jc w:val="center"/>
              <w:rPr>
                <w:szCs w:val="20"/>
              </w:rPr>
            </w:pPr>
            <w:r>
              <w:rPr>
                <w:szCs w:val="20"/>
              </w:rPr>
              <w:t>70.1</w:t>
            </w:r>
          </w:p>
        </w:tc>
        <w:tc>
          <w:tcPr>
            <w:tcW w:w="1371" w:type="dxa"/>
            <w:vAlign w:val="top"/>
          </w:tcPr>
          <w:p w14:paraId="54839EE4" w14:textId="3798196C" w:rsidR="00870C96" w:rsidRPr="008209FD" w:rsidRDefault="00870C96" w:rsidP="00870C96">
            <w:pPr>
              <w:tabs>
                <w:tab w:val="clear" w:pos="284"/>
              </w:tabs>
              <w:spacing w:line="240" w:lineRule="auto"/>
              <w:jc w:val="center"/>
              <w:rPr>
                <w:szCs w:val="20"/>
              </w:rPr>
            </w:pPr>
            <w:r>
              <w:rPr>
                <w:szCs w:val="20"/>
              </w:rPr>
              <w:t>89.8</w:t>
            </w:r>
          </w:p>
        </w:tc>
      </w:tr>
      <w:bookmarkEnd w:id="50"/>
    </w:tbl>
    <w:p w14:paraId="7B9B19B9" w14:textId="77777777" w:rsidR="00161A02" w:rsidRDefault="00161A02" w:rsidP="0048315A">
      <w:pPr>
        <w:pStyle w:val="BodyText"/>
      </w:pPr>
    </w:p>
    <w:p w14:paraId="0836C473" w14:textId="4B4A6D7D" w:rsidR="00146EA2" w:rsidRDefault="00146EA2" w:rsidP="00146EA2">
      <w:r w:rsidRPr="004D0A69">
        <w:t xml:space="preserve">NRCS rainfall-runoff methods were used to define excess precipitation applied to the 2D mesh, including </w:t>
      </w:r>
      <w:r w:rsidR="00175DDF">
        <w:t>CNs</w:t>
      </w:r>
      <w:r w:rsidRPr="004D0A69">
        <w:t xml:space="preserve"> </w:t>
      </w:r>
      <w:r w:rsidR="00A15879">
        <w:t>for defining rainfall losses</w:t>
      </w:r>
      <w:r w:rsidRPr="004D0A69">
        <w:t>.</w:t>
      </w:r>
      <w:r>
        <w:t xml:space="preserve"> </w:t>
      </w:r>
      <w:r w:rsidRPr="004D0A69">
        <w:t>No routing was considered in the rainfall-runoff modeling</w:t>
      </w:r>
      <w:r w:rsidRPr="0004147B">
        <w:t xml:space="preserve">. </w:t>
      </w:r>
      <w:r w:rsidR="006228F2" w:rsidRPr="0004147B">
        <w:t>Frequency-</w:t>
      </w:r>
      <w:r w:rsidR="00010C39" w:rsidRPr="0004147B">
        <w:t>based storm with 50% storm centering were used</w:t>
      </w:r>
      <w:r w:rsidR="00010C39">
        <w:t xml:space="preserve"> </w:t>
      </w:r>
      <w:r w:rsidRPr="0004147B">
        <w:t>for</w:t>
      </w:r>
      <w:r w:rsidRPr="00010C39">
        <w:rPr>
          <w:strike/>
        </w:rPr>
        <w:t xml:space="preserve"> </w:t>
      </w:r>
      <w:r w:rsidRPr="004D0A69">
        <w:t>defining temporal distributions of point rainfall totals.</w:t>
      </w:r>
      <w:r>
        <w:t xml:space="preserve"> </w:t>
      </w:r>
      <w:r>
        <w:fldChar w:fldCharType="begin"/>
      </w:r>
      <w:r>
        <w:instrText xml:space="preserve"> REF _Ref61506489 \h </w:instrText>
      </w:r>
      <w:r>
        <w:fldChar w:fldCharType="separate"/>
      </w:r>
      <w:r w:rsidR="00C9792F">
        <w:t xml:space="preserve">Table </w:t>
      </w:r>
      <w:r w:rsidR="00C9792F">
        <w:rPr>
          <w:noProof/>
        </w:rPr>
        <w:t>5</w:t>
      </w:r>
      <w:r>
        <w:fldChar w:fldCharType="end"/>
      </w:r>
      <w:r>
        <w:t xml:space="preserve"> </w:t>
      </w:r>
      <w:r w:rsidRPr="004D0A69">
        <w:t xml:space="preserve">provides the precipitation totals </w:t>
      </w:r>
      <w:r w:rsidR="006228F2">
        <w:t>applied to the model including areal reduction</w:t>
      </w:r>
      <w:r w:rsidR="00D208FA">
        <w:t xml:space="preserve"> factor (ARF)</w:t>
      </w:r>
      <w:r w:rsidR="006228F2">
        <w:t xml:space="preserve">. </w:t>
      </w:r>
    </w:p>
    <w:p w14:paraId="381B152B" w14:textId="77777777" w:rsidR="00146EA2" w:rsidRPr="004D0A69" w:rsidRDefault="00146EA2" w:rsidP="00146EA2"/>
    <w:p w14:paraId="0207DE9A" w14:textId="2338AEA7" w:rsidR="00161A02" w:rsidRDefault="00161A02" w:rsidP="00B908E0">
      <w:pPr>
        <w:pStyle w:val="Caption"/>
        <w:jc w:val="center"/>
      </w:pPr>
      <w:bookmarkStart w:id="51" w:name="_Ref61506489"/>
      <w:bookmarkStart w:id="52" w:name="_Toc112877050"/>
      <w:r>
        <w:lastRenderedPageBreak/>
        <w:t xml:space="preserve">Table </w:t>
      </w:r>
      <w:r w:rsidR="0047146E">
        <w:fldChar w:fldCharType="begin"/>
      </w:r>
      <w:r w:rsidR="0047146E">
        <w:instrText xml:space="preserve"> SEQ Table \* ARABIC </w:instrText>
      </w:r>
      <w:r w:rsidR="0047146E">
        <w:fldChar w:fldCharType="separate"/>
      </w:r>
      <w:r w:rsidR="00C9792F">
        <w:rPr>
          <w:noProof/>
        </w:rPr>
        <w:t>5</w:t>
      </w:r>
      <w:r w:rsidR="0047146E">
        <w:fldChar w:fldCharType="end"/>
      </w:r>
      <w:bookmarkEnd w:id="51"/>
      <w:r>
        <w:t xml:space="preserve">: </w:t>
      </w:r>
      <w:r w:rsidR="00146EA2" w:rsidRPr="00146EA2">
        <w:t xml:space="preserve">Precipitation Totals </w:t>
      </w:r>
      <w:r w:rsidR="00681A1C">
        <w:t xml:space="preserve">estimated in </w:t>
      </w:r>
      <w:r w:rsidR="0004147B">
        <w:t>HEC-HMS</w:t>
      </w:r>
      <w:r w:rsidR="00681A1C">
        <w:t xml:space="preserve"> </w:t>
      </w:r>
      <w:r w:rsidR="00146EA2" w:rsidRPr="00146EA2">
        <w:t>(post ARF)</w:t>
      </w:r>
      <w:bookmarkEnd w:id="52"/>
    </w:p>
    <w:tbl>
      <w:tblPr>
        <w:tblStyle w:val="CompassTable"/>
        <w:tblpPr w:leftFromText="180" w:rightFromText="180" w:vertAnchor="text" w:tblpXSpec="center" w:tblpY="1"/>
        <w:tblOverlap w:val="never"/>
        <w:tblW w:w="8539" w:type="dxa"/>
        <w:tblLook w:val="04A0" w:firstRow="1" w:lastRow="0" w:firstColumn="1" w:lastColumn="0" w:noHBand="0" w:noVBand="1"/>
      </w:tblPr>
      <w:tblGrid>
        <w:gridCol w:w="1168"/>
        <w:gridCol w:w="857"/>
        <w:gridCol w:w="857"/>
        <w:gridCol w:w="857"/>
        <w:gridCol w:w="857"/>
        <w:gridCol w:w="857"/>
        <w:gridCol w:w="1495"/>
        <w:gridCol w:w="1591"/>
      </w:tblGrid>
      <w:tr w:rsidR="004D335D" w:rsidRPr="00161A02" w14:paraId="7D971C2D" w14:textId="77777777" w:rsidTr="009B5454">
        <w:trPr>
          <w:cnfStyle w:val="100000000000" w:firstRow="1" w:lastRow="0" w:firstColumn="0" w:lastColumn="0" w:oddVBand="0" w:evenVBand="0" w:oddHBand="0" w:evenHBand="0" w:firstRowFirstColumn="0" w:firstRowLastColumn="0" w:lastRowFirstColumn="0" w:lastRowLastColumn="0"/>
        </w:trPr>
        <w:tc>
          <w:tcPr>
            <w:tcW w:w="8539" w:type="dxa"/>
            <w:gridSpan w:val="8"/>
            <w:shd w:val="clear" w:color="auto" w:fill="00B5E2" w:themeFill="accent1"/>
          </w:tcPr>
          <w:p w14:paraId="6F392040" w14:textId="7D8BDB47" w:rsidR="004D335D" w:rsidRPr="000A3B6D" w:rsidRDefault="004D335D" w:rsidP="000C4CEF">
            <w:pPr>
              <w:tabs>
                <w:tab w:val="clear" w:pos="284"/>
              </w:tabs>
              <w:spacing w:before="60" w:after="60" w:line="240" w:lineRule="auto"/>
              <w:jc w:val="center"/>
              <w:rPr>
                <w:rFonts w:eastAsia="Times New Roman" w:cs="Times New Roman"/>
                <w:b w:val="0"/>
                <w:kern w:val="0"/>
                <w:szCs w:val="20"/>
              </w:rPr>
            </w:pPr>
            <w:r w:rsidRPr="00B42A55">
              <w:rPr>
                <w:rFonts w:eastAsia="Times New Roman" w:cs="Times New Roman"/>
                <w:kern w:val="0"/>
                <w:szCs w:val="20"/>
              </w:rPr>
              <w:t>Percent Annual Chance Precipitation Depths (in.)</w:t>
            </w:r>
          </w:p>
        </w:tc>
      </w:tr>
      <w:tr w:rsidR="00821AC6" w:rsidRPr="00161A02" w14:paraId="642233DB" w14:textId="77777777" w:rsidTr="009B5454">
        <w:trPr>
          <w:cnfStyle w:val="000000100000" w:firstRow="0" w:lastRow="0" w:firstColumn="0" w:lastColumn="0" w:oddVBand="0" w:evenVBand="0" w:oddHBand="1" w:evenHBand="0" w:firstRowFirstColumn="0" w:firstRowLastColumn="0" w:lastRowFirstColumn="0" w:lastRowLastColumn="0"/>
        </w:trPr>
        <w:tc>
          <w:tcPr>
            <w:tcW w:w="1168" w:type="dxa"/>
            <w:shd w:val="clear" w:color="auto" w:fill="00B5E2" w:themeFill="accent1"/>
          </w:tcPr>
          <w:p w14:paraId="1C2D2B65" w14:textId="77777777" w:rsidR="0047146E" w:rsidRPr="000A3B6D" w:rsidRDefault="0047146E">
            <w:pPr>
              <w:tabs>
                <w:tab w:val="clear" w:pos="284"/>
              </w:tabs>
              <w:spacing w:before="60" w:after="60" w:line="240" w:lineRule="auto"/>
              <w:jc w:val="center"/>
              <w:rPr>
                <w:rFonts w:eastAsia="Times New Roman" w:cs="Times New Roman"/>
                <w:b/>
                <w:color w:val="FFFFFF"/>
                <w:kern w:val="0"/>
                <w:szCs w:val="20"/>
              </w:rPr>
            </w:pPr>
            <w:r w:rsidRPr="000A3B6D">
              <w:rPr>
                <w:rFonts w:eastAsia="Times New Roman" w:cs="Times New Roman"/>
                <w:b/>
                <w:color w:val="FFFFFF"/>
                <w:kern w:val="0"/>
                <w:szCs w:val="20"/>
              </w:rPr>
              <w:t xml:space="preserve">Sub-Basin Description </w:t>
            </w:r>
          </w:p>
        </w:tc>
        <w:tc>
          <w:tcPr>
            <w:tcW w:w="857" w:type="dxa"/>
            <w:shd w:val="clear" w:color="auto" w:fill="00B5E2" w:themeFill="accent1"/>
          </w:tcPr>
          <w:p w14:paraId="0BE67C10" w14:textId="189D0A8E" w:rsidR="0047146E" w:rsidRPr="000A3B6D" w:rsidRDefault="0047146E">
            <w:pPr>
              <w:tabs>
                <w:tab w:val="clear" w:pos="284"/>
              </w:tabs>
              <w:spacing w:before="60" w:after="60" w:line="240" w:lineRule="auto"/>
              <w:jc w:val="center"/>
              <w:rPr>
                <w:rFonts w:eastAsia="Times New Roman" w:cs="Times New Roman"/>
                <w:b/>
                <w:color w:val="FFFFFF"/>
                <w:kern w:val="0"/>
                <w:szCs w:val="20"/>
              </w:rPr>
            </w:pPr>
            <w:r w:rsidRPr="000A3B6D">
              <w:rPr>
                <w:rFonts w:eastAsia="Times New Roman" w:cs="Times New Roman"/>
                <w:b/>
                <w:color w:val="FFFFFF"/>
                <w:kern w:val="0"/>
                <w:szCs w:val="20"/>
              </w:rPr>
              <w:t>1</w:t>
            </w:r>
            <w:r w:rsidR="005C72F6">
              <w:rPr>
                <w:rFonts w:eastAsia="Times New Roman" w:cs="Times New Roman"/>
                <w:b/>
                <w:color w:val="FFFFFF"/>
                <w:kern w:val="0"/>
                <w:szCs w:val="20"/>
              </w:rPr>
              <w:t>-percent</w:t>
            </w:r>
          </w:p>
        </w:tc>
        <w:tc>
          <w:tcPr>
            <w:tcW w:w="857" w:type="dxa"/>
            <w:shd w:val="clear" w:color="auto" w:fill="00B5E2" w:themeFill="accent1"/>
          </w:tcPr>
          <w:p w14:paraId="24323866" w14:textId="3AF964C1" w:rsidR="0047146E" w:rsidRPr="000A3B6D" w:rsidRDefault="0047146E">
            <w:pPr>
              <w:tabs>
                <w:tab w:val="clear" w:pos="284"/>
              </w:tabs>
              <w:spacing w:before="60" w:after="60" w:line="240" w:lineRule="auto"/>
              <w:jc w:val="center"/>
              <w:rPr>
                <w:rFonts w:eastAsia="Times New Roman" w:cs="Times New Roman"/>
                <w:b/>
                <w:color w:val="FFFFFF"/>
                <w:kern w:val="0"/>
                <w:szCs w:val="20"/>
              </w:rPr>
            </w:pPr>
            <w:r w:rsidRPr="000A3B6D">
              <w:rPr>
                <w:rFonts w:eastAsia="Times New Roman" w:cs="Times New Roman"/>
                <w:b/>
                <w:color w:val="FFFFFF"/>
                <w:kern w:val="0"/>
                <w:szCs w:val="20"/>
              </w:rPr>
              <w:t>0.2</w:t>
            </w:r>
            <w:r w:rsidR="005C72F6" w:rsidRPr="005C72F6">
              <w:rPr>
                <w:rFonts w:eastAsia="Times New Roman" w:cs="Times New Roman"/>
                <w:b/>
                <w:color w:val="FFFFFF"/>
                <w:kern w:val="0"/>
                <w:szCs w:val="20"/>
              </w:rPr>
              <w:t>-percent</w:t>
            </w:r>
          </w:p>
        </w:tc>
        <w:tc>
          <w:tcPr>
            <w:tcW w:w="857" w:type="dxa"/>
            <w:shd w:val="clear" w:color="auto" w:fill="00B5E2" w:themeFill="accent1"/>
          </w:tcPr>
          <w:p w14:paraId="35AA5894" w14:textId="32907639" w:rsidR="0047146E" w:rsidRPr="000A3B6D" w:rsidRDefault="0047146E">
            <w:pPr>
              <w:tabs>
                <w:tab w:val="clear" w:pos="284"/>
              </w:tabs>
              <w:spacing w:before="60" w:after="60" w:line="240" w:lineRule="auto"/>
              <w:jc w:val="center"/>
              <w:rPr>
                <w:rFonts w:eastAsia="Times New Roman" w:cs="Times New Roman"/>
                <w:b/>
                <w:color w:val="FFFFFF"/>
                <w:kern w:val="0"/>
                <w:szCs w:val="20"/>
              </w:rPr>
            </w:pPr>
            <w:r w:rsidRPr="000A3B6D">
              <w:rPr>
                <w:rFonts w:eastAsia="Times New Roman" w:cs="Times New Roman"/>
                <w:b/>
                <w:color w:val="FFFFFF"/>
                <w:kern w:val="0"/>
                <w:szCs w:val="20"/>
              </w:rPr>
              <w:t>2</w:t>
            </w:r>
            <w:r w:rsidR="005C72F6" w:rsidRPr="005C72F6">
              <w:rPr>
                <w:rFonts w:eastAsia="Times New Roman" w:cs="Times New Roman"/>
                <w:b/>
                <w:color w:val="FFFFFF"/>
                <w:kern w:val="0"/>
                <w:szCs w:val="20"/>
              </w:rPr>
              <w:t>-percent</w:t>
            </w:r>
          </w:p>
        </w:tc>
        <w:tc>
          <w:tcPr>
            <w:tcW w:w="857" w:type="dxa"/>
            <w:shd w:val="clear" w:color="auto" w:fill="00B5E2" w:themeFill="accent1"/>
          </w:tcPr>
          <w:p w14:paraId="6314F018" w14:textId="01587CE9" w:rsidR="0047146E" w:rsidRPr="000A3B6D" w:rsidRDefault="0047146E">
            <w:pPr>
              <w:tabs>
                <w:tab w:val="clear" w:pos="284"/>
              </w:tabs>
              <w:spacing w:before="60" w:after="60" w:line="240" w:lineRule="auto"/>
              <w:jc w:val="center"/>
              <w:rPr>
                <w:rFonts w:eastAsia="Times New Roman" w:cs="Times New Roman"/>
                <w:b/>
                <w:color w:val="FFFFFF"/>
                <w:kern w:val="0"/>
                <w:szCs w:val="20"/>
              </w:rPr>
            </w:pPr>
            <w:r w:rsidRPr="000A3B6D">
              <w:rPr>
                <w:rFonts w:eastAsia="Times New Roman" w:cs="Times New Roman"/>
                <w:b/>
                <w:color w:val="FFFFFF"/>
                <w:kern w:val="0"/>
                <w:szCs w:val="20"/>
              </w:rPr>
              <w:t>4</w:t>
            </w:r>
            <w:r w:rsidR="005C72F6" w:rsidRPr="005C72F6">
              <w:rPr>
                <w:rFonts w:eastAsia="Times New Roman" w:cs="Times New Roman"/>
                <w:b/>
                <w:color w:val="FFFFFF"/>
                <w:kern w:val="0"/>
                <w:szCs w:val="20"/>
              </w:rPr>
              <w:t>-percent</w:t>
            </w:r>
          </w:p>
        </w:tc>
        <w:tc>
          <w:tcPr>
            <w:tcW w:w="857" w:type="dxa"/>
            <w:shd w:val="clear" w:color="auto" w:fill="00B5E2" w:themeFill="accent1"/>
          </w:tcPr>
          <w:p w14:paraId="354BA9C0" w14:textId="70649520" w:rsidR="0047146E" w:rsidRPr="000A3B6D" w:rsidRDefault="0047146E">
            <w:pPr>
              <w:tabs>
                <w:tab w:val="clear" w:pos="284"/>
              </w:tabs>
              <w:spacing w:before="60" w:after="60" w:line="240" w:lineRule="auto"/>
              <w:jc w:val="center"/>
              <w:rPr>
                <w:rFonts w:eastAsia="Times New Roman" w:cs="Times New Roman"/>
                <w:b/>
                <w:color w:val="FFFFFF"/>
                <w:kern w:val="0"/>
                <w:szCs w:val="20"/>
              </w:rPr>
            </w:pPr>
            <w:r w:rsidRPr="000A3B6D">
              <w:rPr>
                <w:rFonts w:eastAsia="Times New Roman" w:cs="Times New Roman"/>
                <w:b/>
                <w:color w:val="FFFFFF"/>
                <w:kern w:val="0"/>
                <w:szCs w:val="20"/>
              </w:rPr>
              <w:t>10</w:t>
            </w:r>
            <w:r w:rsidR="005C72F6" w:rsidRPr="005C72F6">
              <w:rPr>
                <w:rFonts w:eastAsia="Times New Roman" w:cs="Times New Roman"/>
                <w:b/>
                <w:color w:val="FFFFFF"/>
                <w:kern w:val="0"/>
                <w:szCs w:val="20"/>
              </w:rPr>
              <w:t>-percent</w:t>
            </w:r>
          </w:p>
        </w:tc>
        <w:tc>
          <w:tcPr>
            <w:tcW w:w="1495" w:type="dxa"/>
            <w:shd w:val="clear" w:color="auto" w:fill="00B5E2" w:themeFill="accent1"/>
          </w:tcPr>
          <w:p w14:paraId="32BC0D35" w14:textId="3F0D4637" w:rsidR="0047146E" w:rsidRPr="000A3B6D" w:rsidRDefault="0047146E">
            <w:pPr>
              <w:tabs>
                <w:tab w:val="clear" w:pos="284"/>
              </w:tabs>
              <w:spacing w:before="60" w:after="60" w:line="240" w:lineRule="auto"/>
              <w:jc w:val="center"/>
              <w:rPr>
                <w:rFonts w:eastAsia="Times New Roman" w:cs="Times New Roman"/>
                <w:b/>
                <w:color w:val="FFFFFF"/>
                <w:kern w:val="0"/>
                <w:szCs w:val="20"/>
              </w:rPr>
            </w:pPr>
            <w:r w:rsidRPr="000A3B6D">
              <w:rPr>
                <w:rFonts w:eastAsia="Times New Roman" w:cs="Times New Roman"/>
                <w:b/>
                <w:color w:val="FFFFFF"/>
                <w:kern w:val="0"/>
                <w:szCs w:val="20"/>
              </w:rPr>
              <w:t>1</w:t>
            </w:r>
            <w:r w:rsidR="005C72F6" w:rsidRPr="005C72F6">
              <w:rPr>
                <w:rFonts w:eastAsia="Times New Roman" w:cs="Times New Roman"/>
                <w:b/>
                <w:color w:val="FFFFFF"/>
                <w:kern w:val="0"/>
                <w:szCs w:val="20"/>
              </w:rPr>
              <w:t xml:space="preserve">-percent </w:t>
            </w:r>
            <w:r w:rsidRPr="000A3B6D">
              <w:rPr>
                <w:rFonts w:eastAsia="Times New Roman" w:cs="Times New Roman"/>
                <w:b/>
                <w:color w:val="FFFFFF"/>
                <w:kern w:val="0"/>
                <w:szCs w:val="20"/>
              </w:rPr>
              <w:t>Plus</w:t>
            </w:r>
          </w:p>
        </w:tc>
        <w:tc>
          <w:tcPr>
            <w:tcW w:w="1591" w:type="dxa"/>
            <w:shd w:val="clear" w:color="auto" w:fill="00B5E2" w:themeFill="accent1"/>
          </w:tcPr>
          <w:p w14:paraId="735377A7" w14:textId="1C8D2D20" w:rsidR="0047146E" w:rsidRPr="000A3B6D" w:rsidRDefault="0047146E">
            <w:pPr>
              <w:tabs>
                <w:tab w:val="clear" w:pos="284"/>
              </w:tabs>
              <w:spacing w:before="60" w:after="60" w:line="240" w:lineRule="auto"/>
              <w:jc w:val="center"/>
              <w:rPr>
                <w:rFonts w:eastAsia="Times New Roman" w:cs="Times New Roman"/>
                <w:b/>
                <w:color w:val="FFFFFF"/>
                <w:kern w:val="0"/>
                <w:szCs w:val="20"/>
              </w:rPr>
            </w:pPr>
            <w:r w:rsidRPr="000A3B6D">
              <w:rPr>
                <w:rFonts w:eastAsia="Times New Roman" w:cs="Times New Roman"/>
                <w:b/>
                <w:color w:val="FFFFFF"/>
                <w:kern w:val="0"/>
                <w:szCs w:val="20"/>
              </w:rPr>
              <w:t>1</w:t>
            </w:r>
            <w:r w:rsidR="005C72F6" w:rsidRPr="005C72F6">
              <w:rPr>
                <w:rFonts w:eastAsia="Times New Roman" w:cs="Times New Roman"/>
                <w:b/>
                <w:color w:val="FFFFFF"/>
                <w:kern w:val="0"/>
                <w:szCs w:val="20"/>
              </w:rPr>
              <w:t>-percent</w:t>
            </w:r>
            <w:r w:rsidRPr="000A3B6D">
              <w:rPr>
                <w:rFonts w:eastAsia="Times New Roman" w:cs="Times New Roman"/>
                <w:b/>
                <w:color w:val="FFFFFF"/>
                <w:kern w:val="0"/>
                <w:szCs w:val="20"/>
              </w:rPr>
              <w:t xml:space="preserve"> Minus</w:t>
            </w:r>
          </w:p>
        </w:tc>
      </w:tr>
      <w:tr w:rsidR="00D53292" w:rsidRPr="00161A02" w14:paraId="1B3B89AA" w14:textId="77777777" w:rsidTr="009B5454">
        <w:trPr>
          <w:cnfStyle w:val="000000010000" w:firstRow="0" w:lastRow="0" w:firstColumn="0" w:lastColumn="0" w:oddVBand="0" w:evenVBand="0" w:oddHBand="0" w:evenHBand="1" w:firstRowFirstColumn="0" w:firstRowLastColumn="0" w:lastRowFirstColumn="0" w:lastRowLastColumn="0"/>
          <w:trHeight w:val="288"/>
        </w:trPr>
        <w:tc>
          <w:tcPr>
            <w:tcW w:w="1168" w:type="dxa"/>
            <w:vAlign w:val="top"/>
          </w:tcPr>
          <w:p w14:paraId="0F2C51DF" w14:textId="6D15AB5A" w:rsidR="00D53292" w:rsidRPr="007123E3" w:rsidRDefault="00D53292">
            <w:pPr>
              <w:tabs>
                <w:tab w:val="clear" w:pos="284"/>
              </w:tabs>
              <w:spacing w:before="20" w:after="20" w:line="240" w:lineRule="auto"/>
              <w:jc w:val="center"/>
              <w:rPr>
                <w:rFonts w:eastAsia="Times New Roman" w:cs="Times New Roman"/>
                <w:color w:val="auto"/>
                <w:kern w:val="0"/>
                <w:szCs w:val="20"/>
              </w:rPr>
            </w:pPr>
            <w:r>
              <w:rPr>
                <w:color w:val="auto"/>
                <w:szCs w:val="20"/>
              </w:rPr>
              <w:t>YHD1</w:t>
            </w:r>
          </w:p>
        </w:tc>
        <w:tc>
          <w:tcPr>
            <w:tcW w:w="857" w:type="dxa"/>
            <w:vAlign w:val="top"/>
          </w:tcPr>
          <w:p w14:paraId="324D8E69" w14:textId="594DCDF8" w:rsidR="00D53292" w:rsidRPr="007123E3" w:rsidRDefault="009459A9">
            <w:pPr>
              <w:tabs>
                <w:tab w:val="clear" w:pos="284"/>
              </w:tabs>
              <w:spacing w:before="40" w:after="20" w:line="240" w:lineRule="auto"/>
              <w:ind w:left="29" w:right="-43"/>
              <w:jc w:val="center"/>
              <w:rPr>
                <w:rFonts w:eastAsia="Calibri" w:cs="Times New Roman"/>
                <w:color w:val="auto"/>
                <w:kern w:val="0"/>
                <w:szCs w:val="20"/>
              </w:rPr>
            </w:pPr>
            <w:r>
              <w:rPr>
                <w:rFonts w:eastAsia="Calibri" w:cs="Times New Roman"/>
                <w:color w:val="auto"/>
                <w:kern w:val="0"/>
                <w:szCs w:val="20"/>
              </w:rPr>
              <w:t>5.83</w:t>
            </w:r>
          </w:p>
        </w:tc>
        <w:tc>
          <w:tcPr>
            <w:tcW w:w="857" w:type="dxa"/>
            <w:vAlign w:val="top"/>
          </w:tcPr>
          <w:p w14:paraId="645D2709" w14:textId="6E994C80" w:rsidR="00D53292" w:rsidRPr="007123E3" w:rsidRDefault="009459A9">
            <w:pPr>
              <w:tabs>
                <w:tab w:val="clear" w:pos="284"/>
              </w:tabs>
              <w:spacing w:before="40" w:after="20" w:line="240" w:lineRule="auto"/>
              <w:ind w:left="29" w:right="-43"/>
              <w:jc w:val="center"/>
              <w:rPr>
                <w:rFonts w:eastAsia="Calibri" w:cs="Times New Roman"/>
                <w:color w:val="auto"/>
                <w:kern w:val="0"/>
                <w:szCs w:val="20"/>
              </w:rPr>
            </w:pPr>
            <w:r>
              <w:rPr>
                <w:rFonts w:eastAsia="Calibri" w:cs="Times New Roman"/>
                <w:color w:val="auto"/>
                <w:kern w:val="0"/>
                <w:szCs w:val="20"/>
              </w:rPr>
              <w:t>7.69</w:t>
            </w:r>
          </w:p>
        </w:tc>
        <w:tc>
          <w:tcPr>
            <w:tcW w:w="857" w:type="dxa"/>
            <w:vAlign w:val="top"/>
          </w:tcPr>
          <w:p w14:paraId="64AF7CC1" w14:textId="1C7C87B1" w:rsidR="00D53292" w:rsidRPr="007123E3" w:rsidRDefault="009459A9">
            <w:pPr>
              <w:tabs>
                <w:tab w:val="clear" w:pos="284"/>
              </w:tabs>
              <w:spacing w:before="40" w:after="20" w:line="240" w:lineRule="auto"/>
              <w:ind w:left="29" w:right="-43"/>
              <w:jc w:val="center"/>
              <w:rPr>
                <w:rFonts w:eastAsia="Calibri" w:cs="Times New Roman"/>
                <w:color w:val="auto"/>
                <w:kern w:val="0"/>
                <w:szCs w:val="20"/>
              </w:rPr>
            </w:pPr>
            <w:r>
              <w:rPr>
                <w:rFonts w:eastAsia="Calibri" w:cs="Times New Roman"/>
                <w:color w:val="auto"/>
                <w:kern w:val="0"/>
                <w:szCs w:val="20"/>
              </w:rPr>
              <w:t>5.14</w:t>
            </w:r>
          </w:p>
        </w:tc>
        <w:tc>
          <w:tcPr>
            <w:tcW w:w="857" w:type="dxa"/>
            <w:vAlign w:val="top"/>
          </w:tcPr>
          <w:p w14:paraId="3B51D4F3" w14:textId="6F14464B" w:rsidR="00D53292" w:rsidRPr="007123E3" w:rsidRDefault="009459A9">
            <w:pPr>
              <w:tabs>
                <w:tab w:val="clear" w:pos="284"/>
              </w:tabs>
              <w:spacing w:before="40" w:after="20" w:line="240" w:lineRule="auto"/>
              <w:ind w:left="29" w:right="-43"/>
              <w:jc w:val="center"/>
              <w:rPr>
                <w:rFonts w:eastAsia="Calibri" w:cs="Times New Roman"/>
                <w:color w:val="auto"/>
                <w:kern w:val="0"/>
                <w:szCs w:val="20"/>
              </w:rPr>
            </w:pPr>
            <w:r>
              <w:rPr>
                <w:rFonts w:eastAsia="Calibri" w:cs="Times New Roman"/>
                <w:color w:val="auto"/>
                <w:kern w:val="0"/>
                <w:szCs w:val="20"/>
              </w:rPr>
              <w:t>4.51</w:t>
            </w:r>
          </w:p>
        </w:tc>
        <w:tc>
          <w:tcPr>
            <w:tcW w:w="857" w:type="dxa"/>
            <w:vAlign w:val="top"/>
          </w:tcPr>
          <w:p w14:paraId="4D634A24" w14:textId="114ECA28" w:rsidR="00D53292" w:rsidRPr="007123E3" w:rsidRDefault="009459A9">
            <w:pPr>
              <w:tabs>
                <w:tab w:val="clear" w:pos="284"/>
              </w:tabs>
              <w:spacing w:before="40" w:after="20" w:line="240" w:lineRule="auto"/>
              <w:ind w:left="29" w:right="-43"/>
              <w:jc w:val="center"/>
              <w:rPr>
                <w:rFonts w:eastAsia="Calibri" w:cs="Times New Roman"/>
                <w:color w:val="auto"/>
                <w:kern w:val="0"/>
                <w:szCs w:val="20"/>
              </w:rPr>
            </w:pPr>
            <w:r>
              <w:rPr>
                <w:rFonts w:eastAsia="Calibri" w:cs="Times New Roman"/>
                <w:color w:val="auto"/>
                <w:kern w:val="0"/>
                <w:szCs w:val="20"/>
              </w:rPr>
              <w:t>3.69</w:t>
            </w:r>
          </w:p>
        </w:tc>
        <w:tc>
          <w:tcPr>
            <w:tcW w:w="1495" w:type="dxa"/>
            <w:vAlign w:val="top"/>
          </w:tcPr>
          <w:p w14:paraId="75201513" w14:textId="5A41C67F" w:rsidR="00D53292" w:rsidRPr="007123E3" w:rsidRDefault="009459A9">
            <w:pPr>
              <w:tabs>
                <w:tab w:val="clear" w:pos="284"/>
              </w:tabs>
              <w:spacing w:before="40" w:after="20" w:line="240" w:lineRule="auto"/>
              <w:ind w:left="29" w:right="-43"/>
              <w:jc w:val="center"/>
              <w:rPr>
                <w:rFonts w:eastAsia="Calibri" w:cs="Times New Roman"/>
                <w:color w:val="auto"/>
                <w:kern w:val="0"/>
                <w:szCs w:val="20"/>
              </w:rPr>
            </w:pPr>
            <w:r>
              <w:rPr>
                <w:rFonts w:eastAsia="Calibri" w:cs="Times New Roman"/>
                <w:color w:val="auto"/>
                <w:kern w:val="0"/>
                <w:szCs w:val="20"/>
              </w:rPr>
              <w:t>6.93</w:t>
            </w:r>
          </w:p>
        </w:tc>
        <w:tc>
          <w:tcPr>
            <w:tcW w:w="1591" w:type="dxa"/>
            <w:vAlign w:val="top"/>
          </w:tcPr>
          <w:p w14:paraId="6AD57D79" w14:textId="44A7D85C" w:rsidR="00D53292" w:rsidRPr="007123E3" w:rsidRDefault="009459A9">
            <w:pPr>
              <w:tabs>
                <w:tab w:val="clear" w:pos="284"/>
              </w:tabs>
              <w:spacing w:before="40" w:after="20" w:line="240" w:lineRule="auto"/>
              <w:ind w:left="29" w:right="-43"/>
              <w:jc w:val="center"/>
              <w:rPr>
                <w:rFonts w:eastAsia="Calibri" w:cs="Times New Roman"/>
                <w:color w:val="auto"/>
                <w:kern w:val="0"/>
                <w:szCs w:val="20"/>
              </w:rPr>
            </w:pPr>
            <w:r>
              <w:rPr>
                <w:rFonts w:eastAsia="Calibri" w:cs="Times New Roman"/>
                <w:color w:val="auto"/>
                <w:kern w:val="0"/>
                <w:szCs w:val="20"/>
              </w:rPr>
              <w:t>4.73</w:t>
            </w:r>
          </w:p>
        </w:tc>
      </w:tr>
      <w:tr w:rsidR="009459A9" w:rsidRPr="00161A02" w14:paraId="02C5F5A2" w14:textId="77777777" w:rsidTr="009B5454">
        <w:trPr>
          <w:cnfStyle w:val="000000100000" w:firstRow="0" w:lastRow="0" w:firstColumn="0" w:lastColumn="0" w:oddVBand="0" w:evenVBand="0" w:oddHBand="1" w:evenHBand="0" w:firstRowFirstColumn="0" w:firstRowLastColumn="0" w:lastRowFirstColumn="0" w:lastRowLastColumn="0"/>
          <w:trHeight w:val="288"/>
        </w:trPr>
        <w:tc>
          <w:tcPr>
            <w:tcW w:w="1168" w:type="dxa"/>
            <w:vAlign w:val="top"/>
          </w:tcPr>
          <w:p w14:paraId="68DB9CEA" w14:textId="1BA6D8BF" w:rsidR="009459A9" w:rsidRDefault="009459A9">
            <w:pPr>
              <w:tabs>
                <w:tab w:val="clear" w:pos="284"/>
              </w:tabs>
              <w:spacing w:before="20" w:after="20" w:line="240" w:lineRule="auto"/>
              <w:jc w:val="center"/>
            </w:pPr>
            <w:r>
              <w:rPr>
                <w:szCs w:val="20"/>
              </w:rPr>
              <w:t>YHD2</w:t>
            </w:r>
          </w:p>
        </w:tc>
        <w:tc>
          <w:tcPr>
            <w:tcW w:w="857" w:type="dxa"/>
            <w:vAlign w:val="top"/>
          </w:tcPr>
          <w:p w14:paraId="4C1FA4A2" w14:textId="31E0C451" w:rsidR="009459A9" w:rsidRDefault="009459A9">
            <w:pPr>
              <w:tabs>
                <w:tab w:val="clear" w:pos="284"/>
              </w:tabs>
              <w:spacing w:before="40" w:after="20" w:line="240" w:lineRule="auto"/>
              <w:ind w:left="29" w:right="-43"/>
              <w:jc w:val="center"/>
            </w:pPr>
            <w:r>
              <w:t>5.92</w:t>
            </w:r>
          </w:p>
        </w:tc>
        <w:tc>
          <w:tcPr>
            <w:tcW w:w="857" w:type="dxa"/>
            <w:vAlign w:val="top"/>
          </w:tcPr>
          <w:p w14:paraId="74FBBCB4" w14:textId="16D83670" w:rsidR="009459A9" w:rsidRDefault="009459A9">
            <w:pPr>
              <w:tabs>
                <w:tab w:val="clear" w:pos="284"/>
              </w:tabs>
              <w:spacing w:before="40" w:after="20" w:line="240" w:lineRule="auto"/>
              <w:ind w:left="29" w:right="-43"/>
              <w:jc w:val="center"/>
            </w:pPr>
            <w:r>
              <w:t>7.87</w:t>
            </w:r>
          </w:p>
        </w:tc>
        <w:tc>
          <w:tcPr>
            <w:tcW w:w="857" w:type="dxa"/>
            <w:vAlign w:val="top"/>
          </w:tcPr>
          <w:p w14:paraId="78834E22" w14:textId="7FAD2673" w:rsidR="009459A9" w:rsidRDefault="009459A9">
            <w:pPr>
              <w:tabs>
                <w:tab w:val="clear" w:pos="284"/>
              </w:tabs>
              <w:spacing w:before="40" w:after="20" w:line="240" w:lineRule="auto"/>
              <w:ind w:left="29" w:right="-43"/>
              <w:jc w:val="center"/>
            </w:pPr>
            <w:r>
              <w:t>5.22</w:t>
            </w:r>
          </w:p>
        </w:tc>
        <w:tc>
          <w:tcPr>
            <w:tcW w:w="857" w:type="dxa"/>
            <w:vAlign w:val="top"/>
          </w:tcPr>
          <w:p w14:paraId="60595B39" w14:textId="30A8F9B9" w:rsidR="009459A9" w:rsidRDefault="009459A9">
            <w:pPr>
              <w:tabs>
                <w:tab w:val="clear" w:pos="284"/>
              </w:tabs>
              <w:spacing w:before="40" w:after="20" w:line="240" w:lineRule="auto"/>
              <w:ind w:left="29" w:right="-43"/>
              <w:jc w:val="center"/>
            </w:pPr>
            <w:r>
              <w:t>4.57</w:t>
            </w:r>
          </w:p>
        </w:tc>
        <w:tc>
          <w:tcPr>
            <w:tcW w:w="857" w:type="dxa"/>
            <w:vAlign w:val="top"/>
          </w:tcPr>
          <w:p w14:paraId="5F0D70B2" w14:textId="5D80F011" w:rsidR="009459A9" w:rsidRDefault="009459A9">
            <w:pPr>
              <w:tabs>
                <w:tab w:val="clear" w:pos="284"/>
              </w:tabs>
              <w:spacing w:before="40" w:after="20" w:line="240" w:lineRule="auto"/>
              <w:ind w:left="29" w:right="-43"/>
              <w:jc w:val="center"/>
            </w:pPr>
            <w:r>
              <w:t>3.74</w:t>
            </w:r>
          </w:p>
        </w:tc>
        <w:tc>
          <w:tcPr>
            <w:tcW w:w="1495" w:type="dxa"/>
            <w:vAlign w:val="top"/>
          </w:tcPr>
          <w:p w14:paraId="21A95873" w14:textId="3686AF6B" w:rsidR="009459A9" w:rsidRDefault="009459A9">
            <w:pPr>
              <w:tabs>
                <w:tab w:val="clear" w:pos="284"/>
              </w:tabs>
              <w:spacing w:before="40" w:after="20" w:line="240" w:lineRule="auto"/>
              <w:ind w:left="29" w:right="-43"/>
              <w:jc w:val="center"/>
            </w:pPr>
            <w:r>
              <w:t>7.05</w:t>
            </w:r>
          </w:p>
        </w:tc>
        <w:tc>
          <w:tcPr>
            <w:tcW w:w="1591" w:type="dxa"/>
            <w:vAlign w:val="top"/>
          </w:tcPr>
          <w:p w14:paraId="78B2E9F3" w14:textId="68045D48" w:rsidR="009459A9" w:rsidRDefault="009459A9">
            <w:pPr>
              <w:tabs>
                <w:tab w:val="clear" w:pos="284"/>
              </w:tabs>
              <w:spacing w:before="40" w:after="20" w:line="240" w:lineRule="auto"/>
              <w:ind w:left="29" w:right="-43"/>
              <w:jc w:val="center"/>
            </w:pPr>
            <w:r>
              <w:t>4.79</w:t>
            </w:r>
          </w:p>
        </w:tc>
      </w:tr>
      <w:tr w:rsidR="00D53292" w:rsidRPr="00161A02" w14:paraId="34747DB2" w14:textId="77777777" w:rsidTr="009B5454">
        <w:trPr>
          <w:cnfStyle w:val="000000010000" w:firstRow="0" w:lastRow="0" w:firstColumn="0" w:lastColumn="0" w:oddVBand="0" w:evenVBand="0" w:oddHBand="0" w:evenHBand="1" w:firstRowFirstColumn="0" w:firstRowLastColumn="0" w:lastRowFirstColumn="0" w:lastRowLastColumn="0"/>
          <w:trHeight w:val="288"/>
        </w:trPr>
        <w:tc>
          <w:tcPr>
            <w:tcW w:w="1168" w:type="dxa"/>
            <w:vAlign w:val="top"/>
          </w:tcPr>
          <w:p w14:paraId="457D8102" w14:textId="6AD5E8AE" w:rsidR="00D53292" w:rsidRDefault="00D53292">
            <w:pPr>
              <w:tabs>
                <w:tab w:val="clear" w:pos="284"/>
              </w:tabs>
              <w:spacing w:before="20" w:after="20" w:line="240" w:lineRule="auto"/>
              <w:jc w:val="center"/>
            </w:pPr>
            <w:r>
              <w:rPr>
                <w:szCs w:val="20"/>
              </w:rPr>
              <w:t>YHD3</w:t>
            </w:r>
          </w:p>
        </w:tc>
        <w:tc>
          <w:tcPr>
            <w:tcW w:w="857" w:type="dxa"/>
            <w:vAlign w:val="top"/>
          </w:tcPr>
          <w:p w14:paraId="7ACB1505" w14:textId="21D1BFCD" w:rsidR="00D53292" w:rsidRPr="00586962" w:rsidRDefault="00335D3C">
            <w:pPr>
              <w:tabs>
                <w:tab w:val="clear" w:pos="284"/>
              </w:tabs>
              <w:spacing w:before="40" w:after="20" w:line="240" w:lineRule="auto"/>
              <w:ind w:left="29" w:right="-43"/>
              <w:jc w:val="center"/>
            </w:pPr>
            <w:r>
              <w:t>6.0</w:t>
            </w:r>
          </w:p>
        </w:tc>
        <w:tc>
          <w:tcPr>
            <w:tcW w:w="857" w:type="dxa"/>
            <w:vAlign w:val="top"/>
          </w:tcPr>
          <w:p w14:paraId="5BF26537" w14:textId="078F70AD" w:rsidR="00D53292" w:rsidRPr="00586962" w:rsidRDefault="00335D3C">
            <w:pPr>
              <w:tabs>
                <w:tab w:val="clear" w:pos="284"/>
              </w:tabs>
              <w:spacing w:before="40" w:after="20" w:line="240" w:lineRule="auto"/>
              <w:ind w:left="29" w:right="-43"/>
              <w:jc w:val="center"/>
            </w:pPr>
            <w:r>
              <w:t>7.99</w:t>
            </w:r>
          </w:p>
        </w:tc>
        <w:tc>
          <w:tcPr>
            <w:tcW w:w="857" w:type="dxa"/>
            <w:vAlign w:val="top"/>
          </w:tcPr>
          <w:p w14:paraId="7D21C751" w14:textId="5161B680" w:rsidR="00D53292" w:rsidRPr="00586962" w:rsidRDefault="00335D3C">
            <w:pPr>
              <w:tabs>
                <w:tab w:val="clear" w:pos="284"/>
              </w:tabs>
              <w:spacing w:before="40" w:after="20" w:line="240" w:lineRule="auto"/>
              <w:ind w:left="29" w:right="-43"/>
              <w:jc w:val="center"/>
            </w:pPr>
            <w:r>
              <w:t>5.3</w:t>
            </w:r>
          </w:p>
        </w:tc>
        <w:tc>
          <w:tcPr>
            <w:tcW w:w="857" w:type="dxa"/>
            <w:vAlign w:val="top"/>
          </w:tcPr>
          <w:p w14:paraId="13E8748D" w14:textId="1FB0EC58" w:rsidR="00D53292" w:rsidRPr="00586962" w:rsidRDefault="00335D3C">
            <w:pPr>
              <w:tabs>
                <w:tab w:val="clear" w:pos="284"/>
              </w:tabs>
              <w:spacing w:before="40" w:after="20" w:line="240" w:lineRule="auto"/>
              <w:ind w:left="29" w:right="-43"/>
              <w:jc w:val="center"/>
            </w:pPr>
            <w:r>
              <w:t>4.65</w:t>
            </w:r>
          </w:p>
        </w:tc>
        <w:tc>
          <w:tcPr>
            <w:tcW w:w="857" w:type="dxa"/>
            <w:vAlign w:val="top"/>
          </w:tcPr>
          <w:p w14:paraId="57CBFE18" w14:textId="4E90EB9E" w:rsidR="00D53292" w:rsidRPr="00586962" w:rsidRDefault="00335D3C">
            <w:pPr>
              <w:tabs>
                <w:tab w:val="clear" w:pos="284"/>
              </w:tabs>
              <w:spacing w:before="40" w:after="20" w:line="240" w:lineRule="auto"/>
              <w:ind w:left="29" w:right="-43"/>
              <w:jc w:val="center"/>
            </w:pPr>
            <w:r>
              <w:t>3.8</w:t>
            </w:r>
          </w:p>
        </w:tc>
        <w:tc>
          <w:tcPr>
            <w:tcW w:w="1495" w:type="dxa"/>
            <w:vAlign w:val="top"/>
          </w:tcPr>
          <w:p w14:paraId="47DFB363" w14:textId="57C06099" w:rsidR="00D53292" w:rsidRPr="00586962" w:rsidRDefault="00335D3C">
            <w:pPr>
              <w:tabs>
                <w:tab w:val="clear" w:pos="284"/>
              </w:tabs>
              <w:spacing w:before="40" w:after="20" w:line="240" w:lineRule="auto"/>
              <w:ind w:left="29" w:right="-43"/>
              <w:jc w:val="center"/>
            </w:pPr>
            <w:r>
              <w:t>7.14</w:t>
            </w:r>
          </w:p>
        </w:tc>
        <w:tc>
          <w:tcPr>
            <w:tcW w:w="1591" w:type="dxa"/>
            <w:vAlign w:val="top"/>
          </w:tcPr>
          <w:p w14:paraId="6BF1C08B" w14:textId="40C2A679" w:rsidR="00D53292" w:rsidRPr="00586962" w:rsidRDefault="00335D3C">
            <w:pPr>
              <w:tabs>
                <w:tab w:val="clear" w:pos="284"/>
              </w:tabs>
              <w:spacing w:before="40" w:after="20" w:line="240" w:lineRule="auto"/>
              <w:ind w:left="29" w:right="-43"/>
              <w:jc w:val="center"/>
            </w:pPr>
            <w:r>
              <w:t>4.86</w:t>
            </w:r>
          </w:p>
        </w:tc>
      </w:tr>
      <w:tr w:rsidR="00D53292" w:rsidRPr="00161A02" w14:paraId="4121E698" w14:textId="77777777" w:rsidTr="009B5454">
        <w:trPr>
          <w:cnfStyle w:val="000000100000" w:firstRow="0" w:lastRow="0" w:firstColumn="0" w:lastColumn="0" w:oddVBand="0" w:evenVBand="0" w:oddHBand="1" w:evenHBand="0" w:firstRowFirstColumn="0" w:firstRowLastColumn="0" w:lastRowFirstColumn="0" w:lastRowLastColumn="0"/>
          <w:trHeight w:val="288"/>
        </w:trPr>
        <w:tc>
          <w:tcPr>
            <w:tcW w:w="1168" w:type="dxa"/>
            <w:vAlign w:val="top"/>
          </w:tcPr>
          <w:p w14:paraId="00B182C4" w14:textId="2B4C5E7D" w:rsidR="00D53292" w:rsidRDefault="00D53292">
            <w:pPr>
              <w:tabs>
                <w:tab w:val="clear" w:pos="284"/>
              </w:tabs>
              <w:spacing w:before="20" w:after="20" w:line="240" w:lineRule="auto"/>
              <w:jc w:val="center"/>
            </w:pPr>
            <w:r>
              <w:rPr>
                <w:szCs w:val="20"/>
              </w:rPr>
              <w:t>YHD4</w:t>
            </w:r>
          </w:p>
        </w:tc>
        <w:tc>
          <w:tcPr>
            <w:tcW w:w="857" w:type="dxa"/>
            <w:vAlign w:val="top"/>
          </w:tcPr>
          <w:p w14:paraId="34F2475C" w14:textId="73E72329" w:rsidR="00D53292" w:rsidRPr="00586962" w:rsidRDefault="0057682E">
            <w:pPr>
              <w:tabs>
                <w:tab w:val="clear" w:pos="284"/>
              </w:tabs>
              <w:spacing w:before="40" w:after="20" w:line="240" w:lineRule="auto"/>
              <w:ind w:left="29" w:right="-43"/>
              <w:jc w:val="center"/>
            </w:pPr>
            <w:r>
              <w:t>5.99</w:t>
            </w:r>
          </w:p>
        </w:tc>
        <w:tc>
          <w:tcPr>
            <w:tcW w:w="857" w:type="dxa"/>
            <w:vAlign w:val="top"/>
          </w:tcPr>
          <w:p w14:paraId="4DA86A11" w14:textId="75432FED" w:rsidR="00D53292" w:rsidRPr="00586962" w:rsidRDefault="0057682E">
            <w:pPr>
              <w:tabs>
                <w:tab w:val="clear" w:pos="284"/>
              </w:tabs>
              <w:spacing w:before="40" w:after="20" w:line="240" w:lineRule="auto"/>
              <w:ind w:left="29" w:right="-43"/>
              <w:jc w:val="center"/>
            </w:pPr>
            <w:r>
              <w:t>7.99</w:t>
            </w:r>
          </w:p>
        </w:tc>
        <w:tc>
          <w:tcPr>
            <w:tcW w:w="857" w:type="dxa"/>
            <w:vAlign w:val="top"/>
          </w:tcPr>
          <w:p w14:paraId="50F9E4C1" w14:textId="48843A78" w:rsidR="00D53292" w:rsidRPr="00586962" w:rsidRDefault="0057682E">
            <w:pPr>
              <w:tabs>
                <w:tab w:val="clear" w:pos="284"/>
              </w:tabs>
              <w:spacing w:before="40" w:after="20" w:line="240" w:lineRule="auto"/>
              <w:ind w:left="29" w:right="-43"/>
              <w:jc w:val="center"/>
            </w:pPr>
            <w:r>
              <w:t>5.29</w:t>
            </w:r>
          </w:p>
        </w:tc>
        <w:tc>
          <w:tcPr>
            <w:tcW w:w="857" w:type="dxa"/>
            <w:vAlign w:val="top"/>
          </w:tcPr>
          <w:p w14:paraId="1DC9A8B7" w14:textId="71195D59" w:rsidR="00D53292" w:rsidRPr="00586962" w:rsidRDefault="0057682E">
            <w:pPr>
              <w:tabs>
                <w:tab w:val="clear" w:pos="284"/>
              </w:tabs>
              <w:spacing w:before="40" w:after="20" w:line="240" w:lineRule="auto"/>
              <w:ind w:left="29" w:right="-43"/>
              <w:jc w:val="center"/>
            </w:pPr>
            <w:r>
              <w:t>4.64</w:t>
            </w:r>
          </w:p>
        </w:tc>
        <w:tc>
          <w:tcPr>
            <w:tcW w:w="857" w:type="dxa"/>
            <w:vAlign w:val="top"/>
          </w:tcPr>
          <w:p w14:paraId="5C5A3DD5" w14:textId="0919FD3B" w:rsidR="00D53292" w:rsidRPr="00586962" w:rsidRDefault="0057682E">
            <w:pPr>
              <w:tabs>
                <w:tab w:val="clear" w:pos="284"/>
              </w:tabs>
              <w:spacing w:before="40" w:after="20" w:line="240" w:lineRule="auto"/>
              <w:ind w:left="29" w:right="-43"/>
              <w:jc w:val="center"/>
            </w:pPr>
            <w:r>
              <w:t>3.8</w:t>
            </w:r>
          </w:p>
        </w:tc>
        <w:tc>
          <w:tcPr>
            <w:tcW w:w="1495" w:type="dxa"/>
            <w:vAlign w:val="top"/>
          </w:tcPr>
          <w:p w14:paraId="0D030DEB" w14:textId="7BA49775" w:rsidR="00D53292" w:rsidRPr="00586962" w:rsidRDefault="0057682E">
            <w:pPr>
              <w:tabs>
                <w:tab w:val="clear" w:pos="284"/>
              </w:tabs>
              <w:spacing w:before="40" w:after="20" w:line="240" w:lineRule="auto"/>
              <w:ind w:left="29" w:right="-43"/>
              <w:jc w:val="center"/>
            </w:pPr>
            <w:r>
              <w:t>6.24</w:t>
            </w:r>
          </w:p>
        </w:tc>
        <w:tc>
          <w:tcPr>
            <w:tcW w:w="1591" w:type="dxa"/>
            <w:vAlign w:val="top"/>
          </w:tcPr>
          <w:p w14:paraId="4939954F" w14:textId="0B493591" w:rsidR="00D53292" w:rsidRPr="00586962" w:rsidRDefault="0057682E">
            <w:pPr>
              <w:tabs>
                <w:tab w:val="clear" w:pos="284"/>
              </w:tabs>
              <w:spacing w:before="40" w:after="20" w:line="240" w:lineRule="auto"/>
              <w:ind w:left="29" w:right="-43"/>
              <w:jc w:val="center"/>
            </w:pPr>
            <w:r>
              <w:t>5.42</w:t>
            </w:r>
          </w:p>
        </w:tc>
      </w:tr>
      <w:tr w:rsidR="00D53292" w:rsidRPr="00161A02" w14:paraId="349577D5" w14:textId="77777777" w:rsidTr="009B5454">
        <w:trPr>
          <w:cnfStyle w:val="000000010000" w:firstRow="0" w:lastRow="0" w:firstColumn="0" w:lastColumn="0" w:oddVBand="0" w:evenVBand="0" w:oddHBand="0" w:evenHBand="1" w:firstRowFirstColumn="0" w:firstRowLastColumn="0" w:lastRowFirstColumn="0" w:lastRowLastColumn="0"/>
          <w:trHeight w:val="288"/>
        </w:trPr>
        <w:tc>
          <w:tcPr>
            <w:tcW w:w="1168" w:type="dxa"/>
            <w:vAlign w:val="top"/>
          </w:tcPr>
          <w:p w14:paraId="0A16CE7F" w14:textId="2BD19DE1" w:rsidR="00D53292" w:rsidRDefault="00D53292">
            <w:pPr>
              <w:tabs>
                <w:tab w:val="clear" w:pos="284"/>
              </w:tabs>
              <w:spacing w:before="20" w:after="20" w:line="240" w:lineRule="auto"/>
              <w:jc w:val="center"/>
            </w:pPr>
            <w:r>
              <w:rPr>
                <w:szCs w:val="20"/>
              </w:rPr>
              <w:t>YHD5</w:t>
            </w:r>
          </w:p>
        </w:tc>
        <w:tc>
          <w:tcPr>
            <w:tcW w:w="857" w:type="dxa"/>
            <w:vAlign w:val="top"/>
          </w:tcPr>
          <w:p w14:paraId="27FCA492" w14:textId="6835C30A" w:rsidR="00D53292" w:rsidRPr="00586962" w:rsidRDefault="00DB288E">
            <w:pPr>
              <w:tabs>
                <w:tab w:val="clear" w:pos="284"/>
              </w:tabs>
              <w:spacing w:before="40" w:after="20" w:line="240" w:lineRule="auto"/>
              <w:ind w:left="29" w:right="-43"/>
              <w:jc w:val="center"/>
            </w:pPr>
            <w:r>
              <w:t>6.58</w:t>
            </w:r>
          </w:p>
        </w:tc>
        <w:tc>
          <w:tcPr>
            <w:tcW w:w="857" w:type="dxa"/>
            <w:vAlign w:val="top"/>
          </w:tcPr>
          <w:p w14:paraId="224244FD" w14:textId="22E520BE" w:rsidR="00D53292" w:rsidRPr="00586962" w:rsidRDefault="00DB288E">
            <w:pPr>
              <w:tabs>
                <w:tab w:val="clear" w:pos="284"/>
              </w:tabs>
              <w:spacing w:before="40" w:after="20" w:line="240" w:lineRule="auto"/>
              <w:ind w:left="29" w:right="-43"/>
              <w:jc w:val="center"/>
            </w:pPr>
            <w:r>
              <w:t>8.73</w:t>
            </w:r>
          </w:p>
        </w:tc>
        <w:tc>
          <w:tcPr>
            <w:tcW w:w="857" w:type="dxa"/>
            <w:vAlign w:val="top"/>
          </w:tcPr>
          <w:p w14:paraId="635D707B" w14:textId="2B97A462" w:rsidR="00D53292" w:rsidRPr="00586962" w:rsidRDefault="00DB288E">
            <w:pPr>
              <w:tabs>
                <w:tab w:val="clear" w:pos="284"/>
              </w:tabs>
              <w:spacing w:before="40" w:after="20" w:line="240" w:lineRule="auto"/>
              <w:ind w:left="29" w:right="-43"/>
              <w:jc w:val="center"/>
            </w:pPr>
            <w:r>
              <w:t>5.77</w:t>
            </w:r>
          </w:p>
        </w:tc>
        <w:tc>
          <w:tcPr>
            <w:tcW w:w="857" w:type="dxa"/>
            <w:vAlign w:val="top"/>
          </w:tcPr>
          <w:p w14:paraId="12B0FEF8" w14:textId="3C064747" w:rsidR="00D53292" w:rsidRPr="00586962" w:rsidRDefault="00DB288E">
            <w:pPr>
              <w:tabs>
                <w:tab w:val="clear" w:pos="284"/>
              </w:tabs>
              <w:spacing w:before="40" w:after="20" w:line="240" w:lineRule="auto"/>
              <w:ind w:left="29" w:right="-43"/>
              <w:jc w:val="center"/>
            </w:pPr>
            <w:r>
              <w:t>5.02</w:t>
            </w:r>
          </w:p>
        </w:tc>
        <w:tc>
          <w:tcPr>
            <w:tcW w:w="857" w:type="dxa"/>
            <w:vAlign w:val="top"/>
          </w:tcPr>
          <w:p w14:paraId="2B32333B" w14:textId="6C99848B" w:rsidR="00D53292" w:rsidRPr="00586962" w:rsidRDefault="00DB288E">
            <w:pPr>
              <w:tabs>
                <w:tab w:val="clear" w:pos="284"/>
              </w:tabs>
              <w:spacing w:before="40" w:after="20" w:line="240" w:lineRule="auto"/>
              <w:ind w:left="29" w:right="-43"/>
              <w:jc w:val="center"/>
            </w:pPr>
            <w:r>
              <w:t>4.06</w:t>
            </w:r>
          </w:p>
        </w:tc>
        <w:tc>
          <w:tcPr>
            <w:tcW w:w="1495" w:type="dxa"/>
            <w:vAlign w:val="top"/>
          </w:tcPr>
          <w:p w14:paraId="3FE42EAF" w14:textId="47B4B2FF" w:rsidR="00D53292" w:rsidRPr="00586962" w:rsidRDefault="00DB288E">
            <w:pPr>
              <w:tabs>
                <w:tab w:val="clear" w:pos="284"/>
              </w:tabs>
              <w:spacing w:before="40" w:after="20" w:line="240" w:lineRule="auto"/>
              <w:ind w:left="29" w:right="-43"/>
              <w:jc w:val="center"/>
            </w:pPr>
            <w:r>
              <w:t>6.24</w:t>
            </w:r>
          </w:p>
        </w:tc>
        <w:tc>
          <w:tcPr>
            <w:tcW w:w="1591" w:type="dxa"/>
            <w:vAlign w:val="top"/>
          </w:tcPr>
          <w:p w14:paraId="2FDFB7A8" w14:textId="2F81D8F7" w:rsidR="00D53292" w:rsidRPr="00586962" w:rsidRDefault="00DB288E">
            <w:pPr>
              <w:tabs>
                <w:tab w:val="clear" w:pos="284"/>
              </w:tabs>
              <w:spacing w:before="40" w:after="20" w:line="240" w:lineRule="auto"/>
              <w:ind w:left="29" w:right="-43"/>
              <w:jc w:val="center"/>
            </w:pPr>
            <w:r>
              <w:t>5.42</w:t>
            </w:r>
          </w:p>
        </w:tc>
      </w:tr>
    </w:tbl>
    <w:p w14:paraId="5F2C24E9" w14:textId="4D8D3EC2" w:rsidR="00320CAA" w:rsidRDefault="005C72F6" w:rsidP="00627679">
      <w:pPr>
        <w:pStyle w:val="BodyText"/>
      </w:pPr>
      <w:r w:rsidRPr="00627679">
        <w:br/>
      </w:r>
      <w:r w:rsidR="00B36576">
        <w:fldChar w:fldCharType="begin"/>
      </w:r>
      <w:r w:rsidR="00B36576">
        <w:instrText xml:space="preserve"> REF _Ref61261277 \h </w:instrText>
      </w:r>
      <w:r w:rsidR="00B36576">
        <w:fldChar w:fldCharType="separate"/>
      </w:r>
      <w:r w:rsidR="00C9792F">
        <w:t xml:space="preserve">Table </w:t>
      </w:r>
      <w:r w:rsidR="00C9792F">
        <w:rPr>
          <w:noProof/>
        </w:rPr>
        <w:t>6</w:t>
      </w:r>
      <w:r w:rsidR="00B36576">
        <w:fldChar w:fldCharType="end"/>
      </w:r>
      <w:r w:rsidR="00B36576">
        <w:t xml:space="preserve"> </w:t>
      </w:r>
      <w:r w:rsidR="00AC5D58">
        <w:t xml:space="preserve">shows the excess precipitation totals determined from the HMS model. These values are a factor of the average </w:t>
      </w:r>
      <w:r w:rsidR="00175DDF">
        <w:t>CN</w:t>
      </w:r>
      <w:r w:rsidR="00AC5D58">
        <w:t xml:space="preserve"> and precipitation depths for each model area.</w:t>
      </w:r>
      <w:r w:rsidR="00161A02" w:rsidRPr="00161A02">
        <w:t xml:space="preserve"> Note that CNs</w:t>
      </w:r>
      <w:r w:rsidR="00AC5D58">
        <w:t xml:space="preserve"> </w:t>
      </w:r>
      <w:r w:rsidR="00161A02" w:rsidRPr="00161A02">
        <w:t xml:space="preserve">were modified during the calibration process and the excess precipitation </w:t>
      </w:r>
      <w:r w:rsidR="00AC5D58">
        <w:t>depths were recalculated to install confidence in the final model results.</w:t>
      </w:r>
    </w:p>
    <w:p w14:paraId="2E2A213D" w14:textId="7B9320B6" w:rsidR="0047146E" w:rsidRDefault="0047146E" w:rsidP="000A3B6D">
      <w:pPr>
        <w:pStyle w:val="Caption"/>
        <w:jc w:val="center"/>
      </w:pPr>
      <w:bookmarkStart w:id="53" w:name="_Ref61261277"/>
      <w:bookmarkStart w:id="54" w:name="_Toc112877051"/>
      <w:r>
        <w:t xml:space="preserve">Table </w:t>
      </w:r>
      <w:r>
        <w:fldChar w:fldCharType="begin"/>
      </w:r>
      <w:r>
        <w:instrText xml:space="preserve"> SEQ Table \* ARABIC </w:instrText>
      </w:r>
      <w:r>
        <w:fldChar w:fldCharType="separate"/>
      </w:r>
      <w:r w:rsidR="00C9792F">
        <w:rPr>
          <w:noProof/>
        </w:rPr>
        <w:t>6</w:t>
      </w:r>
      <w:r>
        <w:fldChar w:fldCharType="end"/>
      </w:r>
      <w:bookmarkEnd w:id="53"/>
      <w:r>
        <w:t>: Total Excess Precipitation Applied to 2D Mesh</w:t>
      </w:r>
      <w:bookmarkEnd w:id="54"/>
    </w:p>
    <w:tbl>
      <w:tblPr>
        <w:tblStyle w:val="CompassTable"/>
        <w:tblW w:w="9602" w:type="dxa"/>
        <w:jc w:val="center"/>
        <w:tblLook w:val="04A0" w:firstRow="1" w:lastRow="0" w:firstColumn="1" w:lastColumn="0" w:noHBand="0" w:noVBand="1"/>
      </w:tblPr>
      <w:tblGrid>
        <w:gridCol w:w="2821"/>
        <w:gridCol w:w="900"/>
        <w:gridCol w:w="995"/>
        <w:gridCol w:w="990"/>
        <w:gridCol w:w="990"/>
        <w:gridCol w:w="990"/>
        <w:gridCol w:w="900"/>
        <w:gridCol w:w="1016"/>
      </w:tblGrid>
      <w:tr w:rsidR="0047146E" w:rsidRPr="00161A02" w14:paraId="2B2F8334" w14:textId="77777777" w:rsidTr="00D53292">
        <w:trPr>
          <w:cnfStyle w:val="100000000000" w:firstRow="1" w:lastRow="0" w:firstColumn="0" w:lastColumn="0" w:oddVBand="0" w:evenVBand="0" w:oddHBand="0" w:evenHBand="0" w:firstRowFirstColumn="0" w:firstRowLastColumn="0" w:lastRowFirstColumn="0" w:lastRowLastColumn="0"/>
          <w:jc w:val="center"/>
        </w:trPr>
        <w:tc>
          <w:tcPr>
            <w:tcW w:w="9602" w:type="dxa"/>
            <w:gridSpan w:val="8"/>
            <w:shd w:val="clear" w:color="auto" w:fill="00B5E2" w:themeFill="accent1"/>
          </w:tcPr>
          <w:p w14:paraId="2149E6FF" w14:textId="77777777" w:rsidR="0047146E" w:rsidRDefault="0047146E" w:rsidP="00CA2514">
            <w:pPr>
              <w:tabs>
                <w:tab w:val="clear" w:pos="284"/>
              </w:tabs>
              <w:spacing w:before="60" w:after="60" w:line="240" w:lineRule="auto"/>
              <w:jc w:val="center"/>
              <w:rPr>
                <w:rFonts w:eastAsia="Times New Roman" w:cs="Times New Roman"/>
                <w:kern w:val="0"/>
                <w:sz w:val="20"/>
                <w:szCs w:val="20"/>
              </w:rPr>
            </w:pPr>
            <w:r>
              <w:rPr>
                <w:rFonts w:eastAsia="Times New Roman" w:cs="Times New Roman"/>
                <w:kern w:val="0"/>
                <w:sz w:val="20"/>
                <w:szCs w:val="20"/>
              </w:rPr>
              <w:t>Percent Annual Chance Precipitation Depths (in.)</w:t>
            </w:r>
          </w:p>
        </w:tc>
      </w:tr>
      <w:tr w:rsidR="005C72F6" w:rsidRPr="00FB0559" w14:paraId="62AE6932" w14:textId="77777777" w:rsidTr="005C72F6">
        <w:trPr>
          <w:cnfStyle w:val="000000100000" w:firstRow="0" w:lastRow="0" w:firstColumn="0" w:lastColumn="0" w:oddVBand="0" w:evenVBand="0" w:oddHBand="1" w:evenHBand="0" w:firstRowFirstColumn="0" w:firstRowLastColumn="0" w:lastRowFirstColumn="0" w:lastRowLastColumn="0"/>
          <w:jc w:val="center"/>
        </w:trPr>
        <w:tc>
          <w:tcPr>
            <w:tcW w:w="2821" w:type="dxa"/>
            <w:shd w:val="clear" w:color="auto" w:fill="00B5E2" w:themeFill="accent1"/>
          </w:tcPr>
          <w:p w14:paraId="58C92F11" w14:textId="77777777" w:rsidR="005C72F6" w:rsidRPr="000A3B6D" w:rsidRDefault="005C72F6" w:rsidP="00CA2514">
            <w:pPr>
              <w:tabs>
                <w:tab w:val="clear" w:pos="284"/>
              </w:tabs>
              <w:spacing w:before="60" w:after="60" w:line="240" w:lineRule="auto"/>
              <w:jc w:val="center"/>
              <w:rPr>
                <w:rFonts w:eastAsia="Times New Roman" w:cs="Times New Roman"/>
                <w:b/>
                <w:color w:val="FFFFFF" w:themeColor="background2"/>
                <w:kern w:val="0"/>
                <w:szCs w:val="20"/>
              </w:rPr>
            </w:pPr>
            <w:r w:rsidRPr="000A3B6D">
              <w:rPr>
                <w:rFonts w:eastAsia="Times New Roman" w:cs="Times New Roman"/>
                <w:b/>
                <w:color w:val="FFFFFF" w:themeColor="background2"/>
                <w:kern w:val="0"/>
                <w:szCs w:val="20"/>
              </w:rPr>
              <w:t xml:space="preserve">Sub-Basin Description </w:t>
            </w:r>
          </w:p>
        </w:tc>
        <w:tc>
          <w:tcPr>
            <w:tcW w:w="900" w:type="dxa"/>
            <w:shd w:val="clear" w:color="auto" w:fill="00B5E2" w:themeFill="accent1"/>
          </w:tcPr>
          <w:p w14:paraId="391F7C76" w14:textId="1E52A87C" w:rsidR="005C72F6" w:rsidRPr="000A3B6D" w:rsidRDefault="005C72F6" w:rsidP="00CA2514">
            <w:pPr>
              <w:tabs>
                <w:tab w:val="clear" w:pos="284"/>
              </w:tabs>
              <w:spacing w:before="60" w:after="60" w:line="240" w:lineRule="auto"/>
              <w:jc w:val="center"/>
              <w:rPr>
                <w:rFonts w:eastAsia="Times New Roman" w:cs="Times New Roman"/>
                <w:b/>
                <w:color w:val="FFFFFF" w:themeColor="background2"/>
                <w:kern w:val="0"/>
                <w:szCs w:val="20"/>
              </w:rPr>
            </w:pPr>
            <w:r w:rsidRPr="000A3B6D">
              <w:rPr>
                <w:rFonts w:eastAsia="Times New Roman" w:cs="Times New Roman"/>
                <w:b/>
                <w:color w:val="FFFFFF"/>
                <w:kern w:val="0"/>
                <w:szCs w:val="20"/>
              </w:rPr>
              <w:t>1</w:t>
            </w:r>
            <w:r>
              <w:rPr>
                <w:rFonts w:eastAsia="Times New Roman" w:cs="Times New Roman"/>
                <w:b/>
                <w:color w:val="FFFFFF"/>
                <w:kern w:val="0"/>
                <w:szCs w:val="20"/>
              </w:rPr>
              <w:t>-percent</w:t>
            </w:r>
          </w:p>
        </w:tc>
        <w:tc>
          <w:tcPr>
            <w:tcW w:w="995" w:type="dxa"/>
            <w:shd w:val="clear" w:color="auto" w:fill="00B5E2" w:themeFill="accent1"/>
          </w:tcPr>
          <w:p w14:paraId="07F69A2E" w14:textId="4A4F317E" w:rsidR="005C72F6" w:rsidRPr="000A3B6D" w:rsidRDefault="005C72F6" w:rsidP="00CA2514">
            <w:pPr>
              <w:tabs>
                <w:tab w:val="clear" w:pos="284"/>
              </w:tabs>
              <w:spacing w:before="60" w:after="60" w:line="240" w:lineRule="auto"/>
              <w:jc w:val="center"/>
              <w:rPr>
                <w:rFonts w:eastAsia="Times New Roman" w:cs="Times New Roman"/>
                <w:b/>
                <w:color w:val="FFFFFF" w:themeColor="background2"/>
                <w:kern w:val="0"/>
                <w:szCs w:val="20"/>
              </w:rPr>
            </w:pPr>
            <w:r w:rsidRPr="000A3B6D">
              <w:rPr>
                <w:rFonts w:eastAsia="Times New Roman" w:cs="Times New Roman"/>
                <w:b/>
                <w:color w:val="FFFFFF"/>
                <w:kern w:val="0"/>
                <w:szCs w:val="20"/>
              </w:rPr>
              <w:t>0.2</w:t>
            </w:r>
            <w:r w:rsidRPr="005C72F6">
              <w:rPr>
                <w:rFonts w:eastAsia="Times New Roman" w:cs="Times New Roman"/>
                <w:b/>
                <w:color w:val="FFFFFF"/>
                <w:kern w:val="0"/>
                <w:szCs w:val="20"/>
              </w:rPr>
              <w:t>-percent</w:t>
            </w:r>
          </w:p>
        </w:tc>
        <w:tc>
          <w:tcPr>
            <w:tcW w:w="990" w:type="dxa"/>
            <w:shd w:val="clear" w:color="auto" w:fill="00B5E2" w:themeFill="accent1"/>
          </w:tcPr>
          <w:p w14:paraId="1A858BFD" w14:textId="0BECC802" w:rsidR="005C72F6" w:rsidRPr="000A3B6D" w:rsidRDefault="005C72F6" w:rsidP="00CA2514">
            <w:pPr>
              <w:tabs>
                <w:tab w:val="clear" w:pos="284"/>
              </w:tabs>
              <w:spacing w:before="60" w:after="60" w:line="240" w:lineRule="auto"/>
              <w:jc w:val="center"/>
              <w:rPr>
                <w:rFonts w:eastAsia="Times New Roman" w:cs="Times New Roman"/>
                <w:b/>
                <w:color w:val="FFFFFF" w:themeColor="background2"/>
                <w:kern w:val="0"/>
                <w:szCs w:val="20"/>
              </w:rPr>
            </w:pPr>
            <w:r w:rsidRPr="000A3B6D">
              <w:rPr>
                <w:rFonts w:eastAsia="Times New Roman" w:cs="Times New Roman"/>
                <w:b/>
                <w:color w:val="FFFFFF"/>
                <w:kern w:val="0"/>
                <w:szCs w:val="20"/>
              </w:rPr>
              <w:t>2</w:t>
            </w:r>
            <w:r w:rsidRPr="005C72F6">
              <w:rPr>
                <w:rFonts w:eastAsia="Times New Roman" w:cs="Times New Roman"/>
                <w:b/>
                <w:color w:val="FFFFFF"/>
                <w:kern w:val="0"/>
                <w:szCs w:val="20"/>
              </w:rPr>
              <w:t>-percent</w:t>
            </w:r>
          </w:p>
        </w:tc>
        <w:tc>
          <w:tcPr>
            <w:tcW w:w="990" w:type="dxa"/>
            <w:shd w:val="clear" w:color="auto" w:fill="00B5E2" w:themeFill="accent1"/>
          </w:tcPr>
          <w:p w14:paraId="10582202" w14:textId="44136565" w:rsidR="005C72F6" w:rsidRPr="000A3B6D" w:rsidRDefault="005C72F6" w:rsidP="00CA2514">
            <w:pPr>
              <w:tabs>
                <w:tab w:val="clear" w:pos="284"/>
              </w:tabs>
              <w:spacing w:before="60" w:after="60" w:line="240" w:lineRule="auto"/>
              <w:jc w:val="center"/>
              <w:rPr>
                <w:rFonts w:eastAsia="Times New Roman" w:cs="Times New Roman"/>
                <w:b/>
                <w:color w:val="FFFFFF" w:themeColor="background2"/>
                <w:kern w:val="0"/>
                <w:szCs w:val="20"/>
              </w:rPr>
            </w:pPr>
            <w:r w:rsidRPr="000A3B6D">
              <w:rPr>
                <w:rFonts w:eastAsia="Times New Roman" w:cs="Times New Roman"/>
                <w:b/>
                <w:color w:val="FFFFFF"/>
                <w:kern w:val="0"/>
                <w:szCs w:val="20"/>
              </w:rPr>
              <w:t>4</w:t>
            </w:r>
            <w:r w:rsidRPr="005C72F6">
              <w:rPr>
                <w:rFonts w:eastAsia="Times New Roman" w:cs="Times New Roman"/>
                <w:b/>
                <w:color w:val="FFFFFF"/>
                <w:kern w:val="0"/>
                <w:szCs w:val="20"/>
              </w:rPr>
              <w:t>-percent</w:t>
            </w:r>
          </w:p>
        </w:tc>
        <w:tc>
          <w:tcPr>
            <w:tcW w:w="990" w:type="dxa"/>
            <w:shd w:val="clear" w:color="auto" w:fill="00B5E2" w:themeFill="accent1"/>
          </w:tcPr>
          <w:p w14:paraId="201D69F1" w14:textId="3C11A57C" w:rsidR="005C72F6" w:rsidRPr="000A3B6D" w:rsidRDefault="005C72F6" w:rsidP="00CA2514">
            <w:pPr>
              <w:tabs>
                <w:tab w:val="clear" w:pos="284"/>
              </w:tabs>
              <w:spacing w:before="60" w:after="60" w:line="240" w:lineRule="auto"/>
              <w:jc w:val="center"/>
              <w:rPr>
                <w:rFonts w:eastAsia="Times New Roman" w:cs="Times New Roman"/>
                <w:b/>
                <w:color w:val="FFFFFF" w:themeColor="background2"/>
                <w:kern w:val="0"/>
                <w:szCs w:val="20"/>
              </w:rPr>
            </w:pPr>
            <w:r w:rsidRPr="000A3B6D">
              <w:rPr>
                <w:rFonts w:eastAsia="Times New Roman" w:cs="Times New Roman"/>
                <w:b/>
                <w:color w:val="FFFFFF"/>
                <w:kern w:val="0"/>
                <w:szCs w:val="20"/>
              </w:rPr>
              <w:t>10</w:t>
            </w:r>
            <w:r w:rsidRPr="005C72F6">
              <w:rPr>
                <w:rFonts w:eastAsia="Times New Roman" w:cs="Times New Roman"/>
                <w:b/>
                <w:color w:val="FFFFFF"/>
                <w:kern w:val="0"/>
                <w:szCs w:val="20"/>
              </w:rPr>
              <w:t>-percent</w:t>
            </w:r>
          </w:p>
        </w:tc>
        <w:tc>
          <w:tcPr>
            <w:tcW w:w="900" w:type="dxa"/>
            <w:shd w:val="clear" w:color="auto" w:fill="00B5E2" w:themeFill="accent1"/>
          </w:tcPr>
          <w:p w14:paraId="2375F368" w14:textId="68C7D998" w:rsidR="005C72F6" w:rsidRPr="000A3B6D" w:rsidRDefault="005C72F6" w:rsidP="00CA2514">
            <w:pPr>
              <w:tabs>
                <w:tab w:val="clear" w:pos="284"/>
              </w:tabs>
              <w:spacing w:before="60" w:after="60" w:line="240" w:lineRule="auto"/>
              <w:jc w:val="center"/>
              <w:rPr>
                <w:rFonts w:eastAsia="Times New Roman" w:cs="Times New Roman"/>
                <w:b/>
                <w:color w:val="FFFFFF" w:themeColor="background2"/>
                <w:kern w:val="0"/>
                <w:szCs w:val="20"/>
              </w:rPr>
            </w:pPr>
            <w:r w:rsidRPr="000A3B6D">
              <w:rPr>
                <w:rFonts w:eastAsia="Times New Roman" w:cs="Times New Roman"/>
                <w:b/>
                <w:color w:val="FFFFFF"/>
                <w:kern w:val="0"/>
                <w:szCs w:val="20"/>
              </w:rPr>
              <w:t>1</w:t>
            </w:r>
            <w:r w:rsidRPr="005C72F6">
              <w:rPr>
                <w:rFonts w:eastAsia="Times New Roman" w:cs="Times New Roman"/>
                <w:b/>
                <w:color w:val="FFFFFF"/>
                <w:kern w:val="0"/>
                <w:szCs w:val="20"/>
              </w:rPr>
              <w:t xml:space="preserve">-percent </w:t>
            </w:r>
            <w:r w:rsidRPr="000A3B6D">
              <w:rPr>
                <w:rFonts w:eastAsia="Times New Roman" w:cs="Times New Roman"/>
                <w:b/>
                <w:color w:val="FFFFFF"/>
                <w:kern w:val="0"/>
                <w:szCs w:val="20"/>
              </w:rPr>
              <w:t>Plus</w:t>
            </w:r>
          </w:p>
        </w:tc>
        <w:tc>
          <w:tcPr>
            <w:tcW w:w="1016" w:type="dxa"/>
            <w:shd w:val="clear" w:color="auto" w:fill="00B5E2" w:themeFill="accent1"/>
          </w:tcPr>
          <w:p w14:paraId="7F07A0BD" w14:textId="7D7CD023" w:rsidR="005C72F6" w:rsidRPr="000A3B6D" w:rsidRDefault="005C72F6" w:rsidP="00CA2514">
            <w:pPr>
              <w:tabs>
                <w:tab w:val="clear" w:pos="284"/>
              </w:tabs>
              <w:spacing w:before="60" w:after="60" w:line="240" w:lineRule="auto"/>
              <w:jc w:val="center"/>
              <w:rPr>
                <w:rFonts w:eastAsia="Times New Roman" w:cs="Times New Roman"/>
                <w:b/>
                <w:color w:val="FFFFFF" w:themeColor="background2"/>
                <w:kern w:val="0"/>
                <w:szCs w:val="20"/>
              </w:rPr>
            </w:pPr>
            <w:r w:rsidRPr="000A3B6D">
              <w:rPr>
                <w:rFonts w:eastAsia="Times New Roman" w:cs="Times New Roman"/>
                <w:b/>
                <w:color w:val="FFFFFF"/>
                <w:kern w:val="0"/>
                <w:szCs w:val="20"/>
              </w:rPr>
              <w:t>1</w:t>
            </w:r>
            <w:r w:rsidRPr="005C72F6">
              <w:rPr>
                <w:rFonts w:eastAsia="Times New Roman" w:cs="Times New Roman"/>
                <w:b/>
                <w:color w:val="FFFFFF"/>
                <w:kern w:val="0"/>
                <w:szCs w:val="20"/>
              </w:rPr>
              <w:t>-percent</w:t>
            </w:r>
            <w:r w:rsidRPr="000A3B6D">
              <w:rPr>
                <w:rFonts w:eastAsia="Times New Roman" w:cs="Times New Roman"/>
                <w:b/>
                <w:color w:val="FFFFFF"/>
                <w:kern w:val="0"/>
                <w:szCs w:val="20"/>
              </w:rPr>
              <w:t xml:space="preserve"> Minus</w:t>
            </w:r>
          </w:p>
        </w:tc>
      </w:tr>
      <w:tr w:rsidR="00D53292" w:rsidRPr="00161A02" w14:paraId="5AB664DA" w14:textId="77777777" w:rsidTr="005C72F6">
        <w:trPr>
          <w:cnfStyle w:val="000000010000" w:firstRow="0" w:lastRow="0" w:firstColumn="0" w:lastColumn="0" w:oddVBand="0" w:evenVBand="0" w:oddHBand="0" w:evenHBand="1" w:firstRowFirstColumn="0" w:firstRowLastColumn="0" w:lastRowFirstColumn="0" w:lastRowLastColumn="0"/>
          <w:trHeight w:val="288"/>
          <w:jc w:val="center"/>
        </w:trPr>
        <w:tc>
          <w:tcPr>
            <w:tcW w:w="2821" w:type="dxa"/>
            <w:vAlign w:val="top"/>
          </w:tcPr>
          <w:p w14:paraId="58068ACA" w14:textId="031F00BA" w:rsidR="00D53292" w:rsidRPr="007123E3" w:rsidRDefault="00D53292" w:rsidP="00D53292">
            <w:pPr>
              <w:tabs>
                <w:tab w:val="clear" w:pos="284"/>
              </w:tabs>
              <w:spacing w:before="20" w:after="20" w:line="240" w:lineRule="auto"/>
              <w:jc w:val="center"/>
              <w:rPr>
                <w:rFonts w:eastAsia="Times New Roman" w:cs="Times New Roman"/>
                <w:color w:val="auto"/>
                <w:kern w:val="0"/>
                <w:szCs w:val="20"/>
              </w:rPr>
            </w:pPr>
            <w:r>
              <w:rPr>
                <w:color w:val="auto"/>
                <w:szCs w:val="20"/>
              </w:rPr>
              <w:t>YHD1</w:t>
            </w:r>
          </w:p>
        </w:tc>
        <w:tc>
          <w:tcPr>
            <w:tcW w:w="900" w:type="dxa"/>
            <w:vAlign w:val="top"/>
          </w:tcPr>
          <w:p w14:paraId="0E07493E" w14:textId="3E4A4557" w:rsidR="00D53292" w:rsidRPr="007123E3" w:rsidRDefault="009459A9" w:rsidP="00D53292">
            <w:pPr>
              <w:tabs>
                <w:tab w:val="clear" w:pos="284"/>
              </w:tabs>
              <w:spacing w:before="40" w:after="20" w:line="240" w:lineRule="auto"/>
              <w:ind w:left="29" w:right="-43"/>
              <w:jc w:val="center"/>
              <w:rPr>
                <w:rFonts w:eastAsia="Calibri" w:cs="Times New Roman"/>
                <w:color w:val="auto"/>
                <w:kern w:val="0"/>
                <w:szCs w:val="20"/>
              </w:rPr>
            </w:pPr>
            <w:r>
              <w:rPr>
                <w:rFonts w:eastAsia="Calibri" w:cs="Times New Roman"/>
                <w:color w:val="auto"/>
                <w:kern w:val="0"/>
                <w:szCs w:val="20"/>
              </w:rPr>
              <w:t>3.0</w:t>
            </w:r>
          </w:p>
        </w:tc>
        <w:tc>
          <w:tcPr>
            <w:tcW w:w="995" w:type="dxa"/>
            <w:vAlign w:val="top"/>
          </w:tcPr>
          <w:p w14:paraId="48918B8A" w14:textId="20487FD6" w:rsidR="00D53292" w:rsidRPr="007123E3" w:rsidRDefault="009459A9" w:rsidP="00D53292">
            <w:pPr>
              <w:tabs>
                <w:tab w:val="clear" w:pos="284"/>
              </w:tabs>
              <w:spacing w:before="40" w:after="20" w:line="240" w:lineRule="auto"/>
              <w:ind w:left="29" w:right="-43"/>
              <w:jc w:val="center"/>
              <w:rPr>
                <w:rFonts w:eastAsia="Calibri" w:cs="Times New Roman"/>
                <w:color w:val="auto"/>
                <w:kern w:val="0"/>
                <w:szCs w:val="20"/>
              </w:rPr>
            </w:pPr>
            <w:r>
              <w:rPr>
                <w:rFonts w:eastAsia="Calibri" w:cs="Times New Roman"/>
                <w:color w:val="auto"/>
                <w:kern w:val="0"/>
                <w:szCs w:val="20"/>
              </w:rPr>
              <w:t>4.5</w:t>
            </w:r>
          </w:p>
        </w:tc>
        <w:tc>
          <w:tcPr>
            <w:tcW w:w="990" w:type="dxa"/>
            <w:vAlign w:val="top"/>
          </w:tcPr>
          <w:p w14:paraId="12A319EF" w14:textId="116A3CB0" w:rsidR="00D53292" w:rsidRPr="007123E3" w:rsidRDefault="009459A9" w:rsidP="00D53292">
            <w:pPr>
              <w:tabs>
                <w:tab w:val="clear" w:pos="284"/>
              </w:tabs>
              <w:spacing w:before="40" w:after="20" w:line="240" w:lineRule="auto"/>
              <w:ind w:left="29" w:right="-43"/>
              <w:jc w:val="center"/>
              <w:rPr>
                <w:rFonts w:eastAsia="Calibri" w:cs="Times New Roman"/>
                <w:color w:val="auto"/>
                <w:kern w:val="0"/>
                <w:szCs w:val="20"/>
              </w:rPr>
            </w:pPr>
            <w:r>
              <w:rPr>
                <w:rFonts w:eastAsia="Calibri" w:cs="Times New Roman"/>
                <w:color w:val="auto"/>
                <w:kern w:val="0"/>
                <w:szCs w:val="20"/>
              </w:rPr>
              <w:t>2.46</w:t>
            </w:r>
          </w:p>
        </w:tc>
        <w:tc>
          <w:tcPr>
            <w:tcW w:w="990" w:type="dxa"/>
            <w:vAlign w:val="top"/>
          </w:tcPr>
          <w:p w14:paraId="16268F6A" w14:textId="7AEAF6D5" w:rsidR="00D53292" w:rsidRPr="007123E3" w:rsidRDefault="009459A9" w:rsidP="00D53292">
            <w:pPr>
              <w:tabs>
                <w:tab w:val="clear" w:pos="284"/>
              </w:tabs>
              <w:spacing w:before="40" w:after="20" w:line="240" w:lineRule="auto"/>
              <w:ind w:left="29" w:right="-43"/>
              <w:jc w:val="center"/>
              <w:rPr>
                <w:rFonts w:eastAsia="Calibri" w:cs="Times New Roman"/>
                <w:color w:val="auto"/>
                <w:kern w:val="0"/>
                <w:szCs w:val="20"/>
              </w:rPr>
            </w:pPr>
            <w:r>
              <w:rPr>
                <w:rFonts w:eastAsia="Calibri" w:cs="Times New Roman"/>
                <w:color w:val="auto"/>
                <w:kern w:val="0"/>
                <w:szCs w:val="20"/>
              </w:rPr>
              <w:t>1.99</w:t>
            </w:r>
          </w:p>
        </w:tc>
        <w:tc>
          <w:tcPr>
            <w:tcW w:w="990" w:type="dxa"/>
            <w:vAlign w:val="top"/>
          </w:tcPr>
          <w:p w14:paraId="605881B7" w14:textId="2E667B90" w:rsidR="00D53292" w:rsidRPr="007123E3" w:rsidRDefault="009459A9" w:rsidP="00D53292">
            <w:pPr>
              <w:tabs>
                <w:tab w:val="clear" w:pos="284"/>
              </w:tabs>
              <w:spacing w:before="40" w:after="20" w:line="240" w:lineRule="auto"/>
              <w:ind w:left="29" w:right="-43"/>
              <w:jc w:val="center"/>
              <w:rPr>
                <w:rFonts w:eastAsia="Calibri" w:cs="Times New Roman"/>
                <w:color w:val="auto"/>
                <w:kern w:val="0"/>
                <w:szCs w:val="20"/>
              </w:rPr>
            </w:pPr>
            <w:r>
              <w:rPr>
                <w:rFonts w:eastAsia="Calibri" w:cs="Times New Roman"/>
                <w:color w:val="auto"/>
                <w:kern w:val="0"/>
                <w:szCs w:val="20"/>
              </w:rPr>
              <w:t>1.4</w:t>
            </w:r>
          </w:p>
        </w:tc>
        <w:tc>
          <w:tcPr>
            <w:tcW w:w="900" w:type="dxa"/>
            <w:vAlign w:val="top"/>
          </w:tcPr>
          <w:p w14:paraId="3E7529C4" w14:textId="47ACB104" w:rsidR="00D53292" w:rsidRPr="007123E3" w:rsidRDefault="009459A9" w:rsidP="00D53292">
            <w:pPr>
              <w:tabs>
                <w:tab w:val="clear" w:pos="284"/>
              </w:tabs>
              <w:spacing w:before="40" w:after="20" w:line="240" w:lineRule="auto"/>
              <w:ind w:left="29" w:right="-43"/>
              <w:jc w:val="center"/>
              <w:rPr>
                <w:rFonts w:eastAsia="Calibri" w:cs="Times New Roman"/>
                <w:color w:val="auto"/>
                <w:kern w:val="0"/>
                <w:szCs w:val="20"/>
              </w:rPr>
            </w:pPr>
            <w:r>
              <w:rPr>
                <w:rFonts w:eastAsia="Calibri" w:cs="Times New Roman"/>
                <w:color w:val="auto"/>
                <w:kern w:val="0"/>
                <w:szCs w:val="20"/>
              </w:rPr>
              <w:t>4.87</w:t>
            </w:r>
          </w:p>
        </w:tc>
        <w:tc>
          <w:tcPr>
            <w:tcW w:w="1016" w:type="dxa"/>
            <w:vAlign w:val="top"/>
          </w:tcPr>
          <w:p w14:paraId="2FD00757" w14:textId="4A82D512" w:rsidR="00D53292" w:rsidRPr="007123E3" w:rsidRDefault="009459A9" w:rsidP="00D53292">
            <w:pPr>
              <w:tabs>
                <w:tab w:val="clear" w:pos="284"/>
              </w:tabs>
              <w:spacing w:before="40" w:after="20" w:line="240" w:lineRule="auto"/>
              <w:ind w:left="29" w:right="-43"/>
              <w:jc w:val="center"/>
              <w:rPr>
                <w:rFonts w:eastAsia="Calibri" w:cs="Times New Roman"/>
                <w:color w:val="auto"/>
                <w:kern w:val="0"/>
                <w:szCs w:val="20"/>
              </w:rPr>
            </w:pPr>
            <w:r>
              <w:rPr>
                <w:rFonts w:eastAsia="Calibri" w:cs="Times New Roman"/>
                <w:color w:val="auto"/>
                <w:kern w:val="0"/>
                <w:szCs w:val="20"/>
              </w:rPr>
              <w:t>1.2</w:t>
            </w:r>
          </w:p>
        </w:tc>
      </w:tr>
      <w:tr w:rsidR="00D53292" w:rsidRPr="00161A02" w14:paraId="4728C5A4" w14:textId="77777777" w:rsidTr="005C72F6">
        <w:trPr>
          <w:cnfStyle w:val="000000100000" w:firstRow="0" w:lastRow="0" w:firstColumn="0" w:lastColumn="0" w:oddVBand="0" w:evenVBand="0" w:oddHBand="1" w:evenHBand="0" w:firstRowFirstColumn="0" w:firstRowLastColumn="0" w:lastRowFirstColumn="0" w:lastRowLastColumn="0"/>
          <w:trHeight w:val="288"/>
          <w:jc w:val="center"/>
        </w:trPr>
        <w:tc>
          <w:tcPr>
            <w:tcW w:w="2821" w:type="dxa"/>
            <w:vAlign w:val="top"/>
          </w:tcPr>
          <w:p w14:paraId="4DF6FE38" w14:textId="55F7B965" w:rsidR="00D53292" w:rsidRDefault="00D53292" w:rsidP="00D53292">
            <w:pPr>
              <w:tabs>
                <w:tab w:val="clear" w:pos="284"/>
              </w:tabs>
              <w:spacing w:before="20" w:after="20" w:line="240" w:lineRule="auto"/>
              <w:jc w:val="center"/>
            </w:pPr>
            <w:r>
              <w:rPr>
                <w:szCs w:val="20"/>
              </w:rPr>
              <w:t>YHD2</w:t>
            </w:r>
          </w:p>
        </w:tc>
        <w:tc>
          <w:tcPr>
            <w:tcW w:w="900" w:type="dxa"/>
            <w:vAlign w:val="top"/>
          </w:tcPr>
          <w:p w14:paraId="1783781F" w14:textId="3A0B9893" w:rsidR="00D53292" w:rsidRDefault="009459A9" w:rsidP="00D53292">
            <w:pPr>
              <w:tabs>
                <w:tab w:val="clear" w:pos="284"/>
              </w:tabs>
              <w:spacing w:before="40" w:after="20" w:line="240" w:lineRule="auto"/>
              <w:ind w:left="29" w:right="-43"/>
              <w:jc w:val="center"/>
            </w:pPr>
            <w:r>
              <w:t>3.65</w:t>
            </w:r>
          </w:p>
        </w:tc>
        <w:tc>
          <w:tcPr>
            <w:tcW w:w="995" w:type="dxa"/>
            <w:vAlign w:val="top"/>
          </w:tcPr>
          <w:p w14:paraId="29A40592" w14:textId="3BBE6A77" w:rsidR="00D53292" w:rsidRDefault="009459A9" w:rsidP="00D53292">
            <w:pPr>
              <w:tabs>
                <w:tab w:val="clear" w:pos="284"/>
              </w:tabs>
              <w:spacing w:before="40" w:after="20" w:line="240" w:lineRule="auto"/>
              <w:ind w:left="29" w:right="-43"/>
              <w:jc w:val="center"/>
            </w:pPr>
            <w:r>
              <w:t>5.33</w:t>
            </w:r>
          </w:p>
        </w:tc>
        <w:tc>
          <w:tcPr>
            <w:tcW w:w="990" w:type="dxa"/>
            <w:vAlign w:val="top"/>
          </w:tcPr>
          <w:p w14:paraId="14767062" w14:textId="6C18667D" w:rsidR="00D53292" w:rsidRDefault="009459A9" w:rsidP="00D53292">
            <w:pPr>
              <w:tabs>
                <w:tab w:val="clear" w:pos="284"/>
              </w:tabs>
              <w:spacing w:before="40" w:after="20" w:line="240" w:lineRule="auto"/>
              <w:ind w:left="29" w:right="-43"/>
              <w:jc w:val="center"/>
            </w:pPr>
            <w:r>
              <w:t>3.06</w:t>
            </w:r>
          </w:p>
        </w:tc>
        <w:tc>
          <w:tcPr>
            <w:tcW w:w="990" w:type="dxa"/>
            <w:vAlign w:val="top"/>
          </w:tcPr>
          <w:p w14:paraId="1EC217E0" w14:textId="1B14AE1B" w:rsidR="00D53292" w:rsidRDefault="009459A9" w:rsidP="00D53292">
            <w:pPr>
              <w:tabs>
                <w:tab w:val="clear" w:pos="284"/>
              </w:tabs>
              <w:spacing w:before="40" w:after="20" w:line="240" w:lineRule="auto"/>
              <w:ind w:left="29" w:right="-43"/>
              <w:jc w:val="center"/>
            </w:pPr>
            <w:r>
              <w:t>2.53</w:t>
            </w:r>
          </w:p>
        </w:tc>
        <w:tc>
          <w:tcPr>
            <w:tcW w:w="990" w:type="dxa"/>
            <w:vAlign w:val="top"/>
          </w:tcPr>
          <w:p w14:paraId="171AAFAA" w14:textId="47EE9063" w:rsidR="00D53292" w:rsidRDefault="009459A9" w:rsidP="00D53292">
            <w:pPr>
              <w:tabs>
                <w:tab w:val="clear" w:pos="284"/>
              </w:tabs>
              <w:spacing w:before="40" w:after="20" w:line="240" w:lineRule="auto"/>
              <w:ind w:left="29" w:right="-43"/>
              <w:jc w:val="center"/>
            </w:pPr>
            <w:r>
              <w:t>1.86</w:t>
            </w:r>
          </w:p>
        </w:tc>
        <w:tc>
          <w:tcPr>
            <w:tcW w:w="900" w:type="dxa"/>
            <w:vAlign w:val="top"/>
          </w:tcPr>
          <w:p w14:paraId="75D1C494" w14:textId="0E2A69C6" w:rsidR="00D53292" w:rsidRDefault="009459A9" w:rsidP="00D53292">
            <w:pPr>
              <w:tabs>
                <w:tab w:val="clear" w:pos="284"/>
              </w:tabs>
              <w:spacing w:before="40" w:after="20" w:line="240" w:lineRule="auto"/>
              <w:ind w:left="29" w:right="-43"/>
              <w:jc w:val="center"/>
            </w:pPr>
            <w:r>
              <w:t>5.44</w:t>
            </w:r>
          </w:p>
        </w:tc>
        <w:tc>
          <w:tcPr>
            <w:tcW w:w="1016" w:type="dxa"/>
            <w:vAlign w:val="top"/>
          </w:tcPr>
          <w:p w14:paraId="0B6F47F9" w14:textId="1B48CA05" w:rsidR="00D53292" w:rsidRDefault="009459A9" w:rsidP="00D53292">
            <w:pPr>
              <w:tabs>
                <w:tab w:val="clear" w:pos="284"/>
              </w:tabs>
              <w:spacing w:before="40" w:after="20" w:line="240" w:lineRule="auto"/>
              <w:ind w:left="29" w:right="-43"/>
              <w:jc w:val="center"/>
            </w:pPr>
            <w:r>
              <w:t>1.83</w:t>
            </w:r>
          </w:p>
        </w:tc>
      </w:tr>
      <w:tr w:rsidR="00D53292" w:rsidRPr="00161A02" w14:paraId="5B32E81A" w14:textId="77777777" w:rsidTr="005C72F6">
        <w:trPr>
          <w:cnfStyle w:val="000000010000" w:firstRow="0" w:lastRow="0" w:firstColumn="0" w:lastColumn="0" w:oddVBand="0" w:evenVBand="0" w:oddHBand="0" w:evenHBand="1" w:firstRowFirstColumn="0" w:firstRowLastColumn="0" w:lastRowFirstColumn="0" w:lastRowLastColumn="0"/>
          <w:trHeight w:val="288"/>
          <w:jc w:val="center"/>
        </w:trPr>
        <w:tc>
          <w:tcPr>
            <w:tcW w:w="2821" w:type="dxa"/>
            <w:vAlign w:val="top"/>
          </w:tcPr>
          <w:p w14:paraId="2F68B75C" w14:textId="1B902E76" w:rsidR="00D53292" w:rsidRDefault="00D53292" w:rsidP="00D53292">
            <w:pPr>
              <w:tabs>
                <w:tab w:val="clear" w:pos="284"/>
              </w:tabs>
              <w:spacing w:before="20" w:after="20" w:line="240" w:lineRule="auto"/>
              <w:jc w:val="center"/>
            </w:pPr>
            <w:r>
              <w:rPr>
                <w:szCs w:val="20"/>
              </w:rPr>
              <w:t>YHD3</w:t>
            </w:r>
          </w:p>
        </w:tc>
        <w:tc>
          <w:tcPr>
            <w:tcW w:w="900" w:type="dxa"/>
            <w:vAlign w:val="top"/>
          </w:tcPr>
          <w:p w14:paraId="5F4F17F7" w14:textId="0EF51535" w:rsidR="00D53292" w:rsidRPr="008C1654" w:rsidRDefault="00335D3C" w:rsidP="00D53292">
            <w:pPr>
              <w:tabs>
                <w:tab w:val="clear" w:pos="284"/>
              </w:tabs>
              <w:spacing w:before="40" w:after="20" w:line="240" w:lineRule="auto"/>
              <w:ind w:left="29" w:right="-43"/>
              <w:jc w:val="center"/>
            </w:pPr>
            <w:r>
              <w:t>3.54</w:t>
            </w:r>
          </w:p>
        </w:tc>
        <w:tc>
          <w:tcPr>
            <w:tcW w:w="995" w:type="dxa"/>
            <w:vAlign w:val="top"/>
          </w:tcPr>
          <w:p w14:paraId="78574CDF" w14:textId="201CD6E2" w:rsidR="00D53292" w:rsidRPr="008C1654" w:rsidRDefault="00335D3C" w:rsidP="00D53292">
            <w:pPr>
              <w:tabs>
                <w:tab w:val="clear" w:pos="284"/>
              </w:tabs>
              <w:spacing w:before="40" w:after="20" w:line="240" w:lineRule="auto"/>
              <w:ind w:left="29" w:right="-43"/>
              <w:jc w:val="center"/>
            </w:pPr>
            <w:r>
              <w:t>5.22</w:t>
            </w:r>
          </w:p>
        </w:tc>
        <w:tc>
          <w:tcPr>
            <w:tcW w:w="990" w:type="dxa"/>
            <w:vAlign w:val="top"/>
          </w:tcPr>
          <w:p w14:paraId="482D07AA" w14:textId="6C38A6D1" w:rsidR="00D53292" w:rsidRPr="008C1654" w:rsidRDefault="00335D3C" w:rsidP="00D53292">
            <w:pPr>
              <w:tabs>
                <w:tab w:val="clear" w:pos="284"/>
              </w:tabs>
              <w:spacing w:before="40" w:after="20" w:line="240" w:lineRule="auto"/>
              <w:ind w:left="29" w:right="-43"/>
              <w:jc w:val="center"/>
            </w:pPr>
            <w:r>
              <w:t>2.96</w:t>
            </w:r>
          </w:p>
        </w:tc>
        <w:tc>
          <w:tcPr>
            <w:tcW w:w="990" w:type="dxa"/>
            <w:vAlign w:val="top"/>
          </w:tcPr>
          <w:p w14:paraId="028BD9F5" w14:textId="7D4068C4" w:rsidR="00D53292" w:rsidRPr="008C1654" w:rsidRDefault="00335D3C" w:rsidP="00D53292">
            <w:pPr>
              <w:tabs>
                <w:tab w:val="clear" w:pos="284"/>
              </w:tabs>
              <w:spacing w:before="40" w:after="20" w:line="240" w:lineRule="auto"/>
              <w:ind w:left="29" w:right="-43"/>
              <w:jc w:val="center"/>
            </w:pPr>
            <w:r>
              <w:t>2.44</w:t>
            </w:r>
          </w:p>
        </w:tc>
        <w:tc>
          <w:tcPr>
            <w:tcW w:w="990" w:type="dxa"/>
            <w:vAlign w:val="top"/>
          </w:tcPr>
          <w:p w14:paraId="4A352D46" w14:textId="377B5071" w:rsidR="00D53292" w:rsidRPr="008C1654" w:rsidRDefault="00335D3C" w:rsidP="00D53292">
            <w:pPr>
              <w:tabs>
                <w:tab w:val="clear" w:pos="284"/>
              </w:tabs>
              <w:spacing w:before="40" w:after="20" w:line="240" w:lineRule="auto"/>
              <w:ind w:left="29" w:right="-43"/>
              <w:jc w:val="center"/>
            </w:pPr>
            <w:r>
              <w:t>1.78</w:t>
            </w:r>
          </w:p>
        </w:tc>
        <w:tc>
          <w:tcPr>
            <w:tcW w:w="900" w:type="dxa"/>
            <w:vAlign w:val="top"/>
          </w:tcPr>
          <w:p w14:paraId="7516A2C8" w14:textId="6FDBD55E" w:rsidR="00D53292" w:rsidRPr="008C1654" w:rsidRDefault="00335D3C" w:rsidP="00D53292">
            <w:pPr>
              <w:tabs>
                <w:tab w:val="clear" w:pos="284"/>
              </w:tabs>
              <w:spacing w:before="40" w:after="20" w:line="240" w:lineRule="auto"/>
              <w:ind w:left="29" w:right="-43"/>
              <w:jc w:val="center"/>
            </w:pPr>
            <w:r>
              <w:t>5.31</w:t>
            </w:r>
          </w:p>
        </w:tc>
        <w:tc>
          <w:tcPr>
            <w:tcW w:w="1016" w:type="dxa"/>
            <w:vAlign w:val="top"/>
          </w:tcPr>
          <w:p w14:paraId="006FC706" w14:textId="16C86281" w:rsidR="00D53292" w:rsidRPr="008C1654" w:rsidRDefault="00335D3C" w:rsidP="00D53292">
            <w:pPr>
              <w:tabs>
                <w:tab w:val="clear" w:pos="284"/>
              </w:tabs>
              <w:spacing w:before="40" w:after="20" w:line="240" w:lineRule="auto"/>
              <w:ind w:left="29" w:right="-43"/>
              <w:jc w:val="center"/>
            </w:pPr>
            <w:r>
              <w:t>1.63</w:t>
            </w:r>
          </w:p>
        </w:tc>
      </w:tr>
      <w:tr w:rsidR="00D53292" w:rsidRPr="00161A02" w14:paraId="74D0D1CF" w14:textId="77777777" w:rsidTr="005C72F6">
        <w:trPr>
          <w:cnfStyle w:val="000000100000" w:firstRow="0" w:lastRow="0" w:firstColumn="0" w:lastColumn="0" w:oddVBand="0" w:evenVBand="0" w:oddHBand="1" w:evenHBand="0" w:firstRowFirstColumn="0" w:firstRowLastColumn="0" w:lastRowFirstColumn="0" w:lastRowLastColumn="0"/>
          <w:trHeight w:val="288"/>
          <w:jc w:val="center"/>
        </w:trPr>
        <w:tc>
          <w:tcPr>
            <w:tcW w:w="2821" w:type="dxa"/>
            <w:vAlign w:val="top"/>
          </w:tcPr>
          <w:p w14:paraId="4AFF0CC1" w14:textId="05532562" w:rsidR="00D53292" w:rsidRDefault="00D53292" w:rsidP="00D53292">
            <w:pPr>
              <w:tabs>
                <w:tab w:val="clear" w:pos="284"/>
              </w:tabs>
              <w:spacing w:before="20" w:after="20" w:line="240" w:lineRule="auto"/>
              <w:jc w:val="center"/>
            </w:pPr>
            <w:r>
              <w:rPr>
                <w:szCs w:val="20"/>
              </w:rPr>
              <w:t>YHD4</w:t>
            </w:r>
          </w:p>
        </w:tc>
        <w:tc>
          <w:tcPr>
            <w:tcW w:w="900" w:type="dxa"/>
            <w:vAlign w:val="top"/>
          </w:tcPr>
          <w:p w14:paraId="35992F37" w14:textId="4FAB0034" w:rsidR="00D53292" w:rsidRPr="008C1654" w:rsidRDefault="0057682E" w:rsidP="00D53292">
            <w:pPr>
              <w:tabs>
                <w:tab w:val="clear" w:pos="284"/>
              </w:tabs>
              <w:spacing w:before="40" w:after="20" w:line="240" w:lineRule="auto"/>
              <w:ind w:left="29" w:right="-43"/>
              <w:jc w:val="center"/>
            </w:pPr>
            <w:r>
              <w:t>3.52</w:t>
            </w:r>
          </w:p>
        </w:tc>
        <w:tc>
          <w:tcPr>
            <w:tcW w:w="995" w:type="dxa"/>
            <w:vAlign w:val="top"/>
          </w:tcPr>
          <w:p w14:paraId="50B5286C" w14:textId="68B338F5" w:rsidR="00D53292" w:rsidRPr="008C1654" w:rsidRDefault="0057682E" w:rsidP="00D53292">
            <w:pPr>
              <w:tabs>
                <w:tab w:val="clear" w:pos="284"/>
              </w:tabs>
              <w:spacing w:before="40" w:after="20" w:line="240" w:lineRule="auto"/>
              <w:ind w:left="29" w:right="-43"/>
              <w:jc w:val="center"/>
            </w:pPr>
            <w:r>
              <w:t>5.21</w:t>
            </w:r>
          </w:p>
        </w:tc>
        <w:tc>
          <w:tcPr>
            <w:tcW w:w="990" w:type="dxa"/>
            <w:vAlign w:val="top"/>
          </w:tcPr>
          <w:p w14:paraId="50DC9019" w14:textId="5E9E7CC3" w:rsidR="00D53292" w:rsidRPr="008C1654" w:rsidRDefault="0057682E" w:rsidP="00D53292">
            <w:pPr>
              <w:tabs>
                <w:tab w:val="clear" w:pos="284"/>
              </w:tabs>
              <w:spacing w:before="40" w:after="20" w:line="240" w:lineRule="auto"/>
              <w:ind w:left="29" w:right="-43"/>
              <w:jc w:val="center"/>
            </w:pPr>
            <w:r>
              <w:t>2.94</w:t>
            </w:r>
          </w:p>
        </w:tc>
        <w:tc>
          <w:tcPr>
            <w:tcW w:w="990" w:type="dxa"/>
            <w:vAlign w:val="top"/>
          </w:tcPr>
          <w:p w14:paraId="3890F942" w14:textId="33F8984A" w:rsidR="00D53292" w:rsidRPr="008C1654" w:rsidRDefault="0057682E" w:rsidP="00D53292">
            <w:pPr>
              <w:tabs>
                <w:tab w:val="clear" w:pos="284"/>
              </w:tabs>
              <w:spacing w:before="40" w:after="20" w:line="240" w:lineRule="auto"/>
              <w:ind w:left="29" w:right="-43"/>
              <w:jc w:val="center"/>
            </w:pPr>
            <w:r>
              <w:t>2.42</w:t>
            </w:r>
          </w:p>
        </w:tc>
        <w:tc>
          <w:tcPr>
            <w:tcW w:w="990" w:type="dxa"/>
            <w:vAlign w:val="top"/>
          </w:tcPr>
          <w:p w14:paraId="2CB71B37" w14:textId="3A80F6DB" w:rsidR="00D53292" w:rsidRPr="008C1654" w:rsidRDefault="0057682E" w:rsidP="00D53292">
            <w:pPr>
              <w:tabs>
                <w:tab w:val="clear" w:pos="284"/>
              </w:tabs>
              <w:spacing w:before="40" w:after="20" w:line="240" w:lineRule="auto"/>
              <w:ind w:left="29" w:right="-43"/>
              <w:jc w:val="center"/>
            </w:pPr>
            <w:r>
              <w:t>1.77</w:t>
            </w:r>
          </w:p>
        </w:tc>
        <w:tc>
          <w:tcPr>
            <w:tcW w:w="900" w:type="dxa"/>
            <w:vAlign w:val="top"/>
          </w:tcPr>
          <w:p w14:paraId="079BD657" w14:textId="452C4558" w:rsidR="00D53292" w:rsidRPr="008C1654" w:rsidRDefault="0057682E" w:rsidP="00D53292">
            <w:pPr>
              <w:tabs>
                <w:tab w:val="clear" w:pos="284"/>
              </w:tabs>
              <w:spacing w:before="40" w:after="20" w:line="240" w:lineRule="auto"/>
              <w:ind w:left="29" w:right="-43"/>
              <w:jc w:val="center"/>
            </w:pPr>
            <w:r>
              <w:t>4.51</w:t>
            </w:r>
          </w:p>
        </w:tc>
        <w:tc>
          <w:tcPr>
            <w:tcW w:w="1016" w:type="dxa"/>
            <w:vAlign w:val="top"/>
          </w:tcPr>
          <w:p w14:paraId="007A746B" w14:textId="4AD22C83" w:rsidR="00D53292" w:rsidRPr="008C1654" w:rsidRDefault="0057682E" w:rsidP="00D53292">
            <w:pPr>
              <w:tabs>
                <w:tab w:val="clear" w:pos="284"/>
              </w:tabs>
              <w:spacing w:before="40" w:after="20" w:line="240" w:lineRule="auto"/>
              <w:ind w:left="29" w:right="-43"/>
              <w:jc w:val="center"/>
            </w:pPr>
            <w:r>
              <w:t>1.99</w:t>
            </w:r>
          </w:p>
        </w:tc>
      </w:tr>
      <w:tr w:rsidR="00D53292" w:rsidRPr="00161A02" w14:paraId="63CDE5F5" w14:textId="77777777" w:rsidTr="005C72F6">
        <w:trPr>
          <w:cnfStyle w:val="000000010000" w:firstRow="0" w:lastRow="0" w:firstColumn="0" w:lastColumn="0" w:oddVBand="0" w:evenVBand="0" w:oddHBand="0" w:evenHBand="1" w:firstRowFirstColumn="0" w:firstRowLastColumn="0" w:lastRowFirstColumn="0" w:lastRowLastColumn="0"/>
          <w:trHeight w:val="288"/>
          <w:jc w:val="center"/>
        </w:trPr>
        <w:tc>
          <w:tcPr>
            <w:tcW w:w="2821" w:type="dxa"/>
            <w:vAlign w:val="top"/>
          </w:tcPr>
          <w:p w14:paraId="77715F5F" w14:textId="61CDE323" w:rsidR="00D53292" w:rsidRDefault="00D53292" w:rsidP="00D53292">
            <w:pPr>
              <w:tabs>
                <w:tab w:val="clear" w:pos="284"/>
              </w:tabs>
              <w:spacing w:before="20" w:after="20" w:line="240" w:lineRule="auto"/>
              <w:jc w:val="center"/>
            </w:pPr>
            <w:r>
              <w:rPr>
                <w:szCs w:val="20"/>
              </w:rPr>
              <w:t>YHD5</w:t>
            </w:r>
          </w:p>
        </w:tc>
        <w:tc>
          <w:tcPr>
            <w:tcW w:w="900" w:type="dxa"/>
            <w:vAlign w:val="top"/>
          </w:tcPr>
          <w:p w14:paraId="5364C6FB" w14:textId="1BA2967A" w:rsidR="00D53292" w:rsidRPr="008C1654" w:rsidRDefault="00DB288E" w:rsidP="00D53292">
            <w:pPr>
              <w:tabs>
                <w:tab w:val="clear" w:pos="284"/>
              </w:tabs>
              <w:spacing w:before="40" w:after="20" w:line="240" w:lineRule="auto"/>
              <w:ind w:left="29" w:right="-43"/>
              <w:jc w:val="center"/>
            </w:pPr>
            <w:r>
              <w:t>4.03</w:t>
            </w:r>
          </w:p>
        </w:tc>
        <w:tc>
          <w:tcPr>
            <w:tcW w:w="995" w:type="dxa"/>
            <w:vAlign w:val="top"/>
          </w:tcPr>
          <w:p w14:paraId="5C32749B" w14:textId="3FE3F290" w:rsidR="00D53292" w:rsidRPr="008C1654" w:rsidRDefault="00DB288E" w:rsidP="00D53292">
            <w:pPr>
              <w:tabs>
                <w:tab w:val="clear" w:pos="284"/>
              </w:tabs>
              <w:spacing w:before="40" w:after="20" w:line="240" w:lineRule="auto"/>
              <w:ind w:left="29" w:right="-43"/>
              <w:jc w:val="center"/>
            </w:pPr>
            <w:r>
              <w:t>5.87</w:t>
            </w:r>
          </w:p>
        </w:tc>
        <w:tc>
          <w:tcPr>
            <w:tcW w:w="990" w:type="dxa"/>
            <w:vAlign w:val="top"/>
          </w:tcPr>
          <w:p w14:paraId="16B04DF4" w14:textId="440D4816" w:rsidR="00D53292" w:rsidRPr="008C1654" w:rsidRDefault="00DB288E" w:rsidP="00D53292">
            <w:pPr>
              <w:tabs>
                <w:tab w:val="clear" w:pos="284"/>
              </w:tabs>
              <w:spacing w:before="40" w:after="20" w:line="240" w:lineRule="auto"/>
              <w:ind w:left="29" w:right="-43"/>
              <w:jc w:val="center"/>
            </w:pPr>
            <w:r>
              <w:t>3.35</w:t>
            </w:r>
          </w:p>
        </w:tc>
        <w:tc>
          <w:tcPr>
            <w:tcW w:w="990" w:type="dxa"/>
            <w:vAlign w:val="top"/>
          </w:tcPr>
          <w:p w14:paraId="04AB55D9" w14:textId="0FC9C918" w:rsidR="00D53292" w:rsidRPr="008C1654" w:rsidRDefault="00DB288E" w:rsidP="00D53292">
            <w:pPr>
              <w:tabs>
                <w:tab w:val="clear" w:pos="284"/>
              </w:tabs>
              <w:spacing w:before="40" w:after="20" w:line="240" w:lineRule="auto"/>
              <w:ind w:left="29" w:right="-43"/>
              <w:jc w:val="center"/>
            </w:pPr>
            <w:r>
              <w:t>2.74</w:t>
            </w:r>
          </w:p>
        </w:tc>
        <w:tc>
          <w:tcPr>
            <w:tcW w:w="990" w:type="dxa"/>
            <w:vAlign w:val="top"/>
          </w:tcPr>
          <w:p w14:paraId="3C090EE5" w14:textId="2E9F2AE1" w:rsidR="00D53292" w:rsidRPr="008C1654" w:rsidRDefault="00DB288E" w:rsidP="00D53292">
            <w:pPr>
              <w:tabs>
                <w:tab w:val="clear" w:pos="284"/>
              </w:tabs>
              <w:spacing w:before="40" w:after="20" w:line="240" w:lineRule="auto"/>
              <w:ind w:left="29" w:right="-43"/>
              <w:jc w:val="center"/>
            </w:pPr>
            <w:r>
              <w:t>1.98</w:t>
            </w:r>
          </w:p>
        </w:tc>
        <w:tc>
          <w:tcPr>
            <w:tcW w:w="900" w:type="dxa"/>
            <w:vAlign w:val="top"/>
          </w:tcPr>
          <w:p w14:paraId="428D2F59" w14:textId="405852EE" w:rsidR="00D53292" w:rsidRPr="008C1654" w:rsidRDefault="00DB288E" w:rsidP="00D53292">
            <w:pPr>
              <w:tabs>
                <w:tab w:val="clear" w:pos="284"/>
              </w:tabs>
              <w:spacing w:before="40" w:after="20" w:line="240" w:lineRule="auto"/>
              <w:ind w:left="29" w:right="-43"/>
              <w:jc w:val="center"/>
            </w:pPr>
            <w:r>
              <w:t>4.52</w:t>
            </w:r>
          </w:p>
        </w:tc>
        <w:tc>
          <w:tcPr>
            <w:tcW w:w="1016" w:type="dxa"/>
            <w:vAlign w:val="top"/>
          </w:tcPr>
          <w:p w14:paraId="3D5E4019" w14:textId="042AF442" w:rsidR="00D53292" w:rsidRPr="008C1654" w:rsidRDefault="00DB288E" w:rsidP="00D53292">
            <w:pPr>
              <w:tabs>
                <w:tab w:val="clear" w:pos="284"/>
              </w:tabs>
              <w:spacing w:before="40" w:after="20" w:line="240" w:lineRule="auto"/>
              <w:ind w:left="29" w:right="-43"/>
              <w:jc w:val="center"/>
            </w:pPr>
            <w:r>
              <w:t>2.0</w:t>
            </w:r>
          </w:p>
        </w:tc>
      </w:tr>
    </w:tbl>
    <w:p w14:paraId="2247EDA4" w14:textId="77777777" w:rsidR="00DF6DD6" w:rsidRDefault="00DF6DD6" w:rsidP="00627679">
      <w:pPr>
        <w:pStyle w:val="BodyText"/>
      </w:pPr>
    </w:p>
    <w:p w14:paraId="3C747C61" w14:textId="2A448E70" w:rsidR="00AC5D58" w:rsidRDefault="000E4A9C" w:rsidP="0048315A">
      <w:pPr>
        <w:pStyle w:val="BodyText"/>
      </w:pPr>
      <w:r>
        <w:fldChar w:fldCharType="begin"/>
      </w:r>
      <w:r>
        <w:instrText xml:space="preserve"> REF _Ref80284395 \h </w:instrText>
      </w:r>
      <w:r>
        <w:fldChar w:fldCharType="separate"/>
      </w:r>
      <w:r w:rsidR="00C9792F">
        <w:t xml:space="preserve">Figure </w:t>
      </w:r>
      <w:r w:rsidR="00C9792F">
        <w:rPr>
          <w:noProof/>
        </w:rPr>
        <w:t>4</w:t>
      </w:r>
      <w:r>
        <w:fldChar w:fldCharType="end"/>
      </w:r>
      <w:r w:rsidR="009D2D3C">
        <w:t>-</w:t>
      </w:r>
      <w:r>
        <w:t xml:space="preserve"> </w:t>
      </w:r>
      <w:r w:rsidR="009D2D3C">
        <w:fldChar w:fldCharType="begin"/>
      </w:r>
      <w:r w:rsidR="009D2D3C">
        <w:instrText xml:space="preserve"> REF _Ref112857991 \h </w:instrText>
      </w:r>
      <w:r w:rsidR="009D2D3C">
        <w:fldChar w:fldCharType="separate"/>
      </w:r>
      <w:r w:rsidR="00C9792F">
        <w:t xml:space="preserve">Figure </w:t>
      </w:r>
      <w:r w:rsidR="00C9792F">
        <w:rPr>
          <w:noProof/>
        </w:rPr>
        <w:t>8</w:t>
      </w:r>
      <w:r w:rsidR="009D2D3C">
        <w:fldChar w:fldCharType="end"/>
      </w:r>
      <w:r w:rsidR="009D2D3C">
        <w:t xml:space="preserve"> </w:t>
      </w:r>
      <w:r w:rsidR="00EA309F">
        <w:t>shows</w:t>
      </w:r>
      <w:r w:rsidR="008F036F">
        <w:t xml:space="preserve"> an example of</w:t>
      </w:r>
      <w:r w:rsidR="00EA309F">
        <w:t xml:space="preserve"> </w:t>
      </w:r>
      <w:r w:rsidR="00B36576">
        <w:t xml:space="preserve">the </w:t>
      </w:r>
      <w:r w:rsidR="00EA309F">
        <w:t>excess p</w:t>
      </w:r>
      <w:r w:rsidR="00DF6DD6">
        <w:t>recipita</w:t>
      </w:r>
      <w:r w:rsidR="00EA309F">
        <w:t>t</w:t>
      </w:r>
      <w:r w:rsidR="00DF6DD6">
        <w:t xml:space="preserve">ion hyetograph </w:t>
      </w:r>
      <w:r w:rsidR="008F036F">
        <w:t xml:space="preserve">applied to </w:t>
      </w:r>
      <w:r w:rsidR="00D029CB">
        <w:t>each</w:t>
      </w:r>
      <w:r w:rsidR="008F036F">
        <w:t xml:space="preserve"> work area </w:t>
      </w:r>
      <w:r w:rsidR="00DF6DD6" w:rsidRPr="007123E3">
        <w:t xml:space="preserve">for </w:t>
      </w:r>
      <w:r w:rsidR="0057682E">
        <w:t>Yellow House Draw</w:t>
      </w:r>
      <w:r w:rsidR="00914420" w:rsidRPr="007123E3">
        <w:t>.</w:t>
      </w:r>
      <w:r w:rsidR="00D029CB">
        <w:t xml:space="preserve"> An individual HMS model was used to estimate excess precipitation for each Yellow House Draw HEC-RAS model</w:t>
      </w:r>
      <w:r w:rsidR="00BE0501">
        <w:t xml:space="preserve"> area. </w:t>
      </w:r>
      <w:r w:rsidR="00175DDF">
        <w:t>CN</w:t>
      </w:r>
      <w:r w:rsidR="00DF6DD6">
        <w:t xml:space="preserve"> and precipitation depth are the t</w:t>
      </w:r>
      <w:r w:rsidR="00914420">
        <w:t>wo</w:t>
      </w:r>
      <w:r w:rsidR="00DF6DD6">
        <w:t xml:space="preserve"> factors used by the HMS model to</w:t>
      </w:r>
      <w:r w:rsidR="00914420">
        <w:t xml:space="preserve"> determine the </w:t>
      </w:r>
      <w:r w:rsidR="00EA309F">
        <w:t>magnitude of the excess precipitation event</w:t>
      </w:r>
      <w:r w:rsidR="00DF6DD6">
        <w:t>.</w:t>
      </w:r>
      <w:r w:rsidR="00914420">
        <w:t xml:space="preserve"> The excess precipitation hyeto</w:t>
      </w:r>
      <w:r w:rsidR="00E36F6A">
        <w:t>graph is calculated in 6-minute</w:t>
      </w:r>
      <w:r w:rsidR="00914420">
        <w:t xml:space="preserve"> increments</w:t>
      </w:r>
      <w:r w:rsidR="00697875">
        <w:t>.</w:t>
      </w:r>
      <w:r w:rsidR="009D2D3C">
        <w:t xml:space="preserve"> The shape of each hyetograph </w:t>
      </w:r>
      <w:r w:rsidR="00914420">
        <w:t>closely resemble</w:t>
      </w:r>
      <w:r w:rsidR="00A15879">
        <w:t xml:space="preserve"> </w:t>
      </w:r>
      <w:r w:rsidR="009D2D3C">
        <w:t>to each other (</w:t>
      </w:r>
      <w:r w:rsidR="009D2D3C">
        <w:fldChar w:fldCharType="begin"/>
      </w:r>
      <w:r w:rsidR="009D2D3C">
        <w:instrText xml:space="preserve"> REF _Ref80284395 \h </w:instrText>
      </w:r>
      <w:r w:rsidR="009D2D3C">
        <w:fldChar w:fldCharType="separate"/>
      </w:r>
      <w:r w:rsidR="00C9792F">
        <w:t xml:space="preserve">Figure </w:t>
      </w:r>
      <w:r w:rsidR="00C9792F">
        <w:rPr>
          <w:noProof/>
        </w:rPr>
        <w:t>4</w:t>
      </w:r>
      <w:r w:rsidR="009D2D3C">
        <w:fldChar w:fldCharType="end"/>
      </w:r>
      <w:r w:rsidR="009D2D3C">
        <w:t xml:space="preserve">- </w:t>
      </w:r>
      <w:r w:rsidR="009D2D3C">
        <w:fldChar w:fldCharType="begin"/>
      </w:r>
      <w:r w:rsidR="009D2D3C">
        <w:instrText xml:space="preserve"> REF _Ref112857991 \h </w:instrText>
      </w:r>
      <w:r w:rsidR="009D2D3C">
        <w:fldChar w:fldCharType="separate"/>
      </w:r>
      <w:r w:rsidR="00C9792F">
        <w:t xml:space="preserve">Figure </w:t>
      </w:r>
      <w:r w:rsidR="00C9792F">
        <w:rPr>
          <w:noProof/>
        </w:rPr>
        <w:t>8</w:t>
      </w:r>
      <w:r w:rsidR="009D2D3C">
        <w:fldChar w:fldCharType="end"/>
      </w:r>
      <w:r w:rsidR="009D2D3C">
        <w:t>)</w:t>
      </w:r>
      <w:r w:rsidR="00EA309F">
        <w:t>,</w:t>
      </w:r>
      <w:r w:rsidR="00DF6DD6">
        <w:t xml:space="preserve"> but with varyin</w:t>
      </w:r>
      <w:r w:rsidR="00EA309F">
        <w:t>g maximum excess precipitation values</w:t>
      </w:r>
      <w:r w:rsidR="009D2D3C">
        <w:t xml:space="preserve">. </w:t>
      </w:r>
    </w:p>
    <w:p w14:paraId="46990F08" w14:textId="133AACFE" w:rsidR="000C3339" w:rsidRDefault="00F54EEE" w:rsidP="000C3339">
      <w:pPr>
        <w:pStyle w:val="BodyText"/>
        <w:keepNext/>
        <w:jc w:val="center"/>
      </w:pPr>
      <w:r>
        <w:rPr>
          <w:noProof/>
        </w:rPr>
        <w:lastRenderedPageBreak/>
        <w:drawing>
          <wp:inline distT="0" distB="0" distL="0" distR="0" wp14:anchorId="4D0B5494" wp14:editId="61B58CA8">
            <wp:extent cx="5943600" cy="4019550"/>
            <wp:effectExtent l="0" t="0" r="19050" b="19050"/>
            <wp:docPr id="21" name="Chart 21">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 xmlns:xdr="http://schemas.openxmlformats.org/drawingml/2006/spreadsheetDrawing" xmlns:a16="http://schemas.microsoft.com/office/drawing/2014/main" xmlns:lc="http://schemas.openxmlformats.org/drawingml/2006/lockedCanvas" id="{00000000-0008-0000-0000-000003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14:paraId="2ABCBC50" w14:textId="5455ADD1" w:rsidR="00D54AEC" w:rsidRDefault="00EA2332" w:rsidP="009B5454">
      <w:pPr>
        <w:pStyle w:val="Caption"/>
        <w:jc w:val="center"/>
      </w:pPr>
      <w:bookmarkStart w:id="55" w:name="_Ref80284395"/>
      <w:bookmarkStart w:id="56" w:name="_Toc112877032"/>
      <w:r>
        <w:t xml:space="preserve">Figure </w:t>
      </w:r>
      <w:r>
        <w:fldChar w:fldCharType="begin"/>
      </w:r>
      <w:r>
        <w:instrText xml:space="preserve"> SEQ Figure \* ARABIC </w:instrText>
      </w:r>
      <w:r>
        <w:fldChar w:fldCharType="separate"/>
      </w:r>
      <w:r w:rsidR="00C9792F">
        <w:rPr>
          <w:noProof/>
        </w:rPr>
        <w:t>4</w:t>
      </w:r>
      <w:r>
        <w:fldChar w:fldCharType="end"/>
      </w:r>
      <w:bookmarkEnd w:id="55"/>
      <w:r>
        <w:t xml:space="preserve">: </w:t>
      </w:r>
      <w:r w:rsidR="00F54EEE">
        <w:t xml:space="preserve">YHD1 </w:t>
      </w:r>
      <w:r w:rsidRPr="00B80C0C">
        <w:t>Excess Precipitation Hyetograph</w:t>
      </w:r>
      <w:r w:rsidR="002C0A89">
        <w:t xml:space="preserve"> Applied to 2D Mesh</w:t>
      </w:r>
      <w:bookmarkEnd w:id="56"/>
    </w:p>
    <w:p w14:paraId="101B78BE" w14:textId="77777777" w:rsidR="00F54EEE" w:rsidRDefault="00F54EEE" w:rsidP="00F54EEE">
      <w:pPr>
        <w:pStyle w:val="BodyText"/>
        <w:keepNext/>
      </w:pPr>
      <w:r>
        <w:rPr>
          <w:noProof/>
        </w:rPr>
        <w:drawing>
          <wp:inline distT="0" distB="0" distL="0" distR="0" wp14:anchorId="41751AB6" wp14:editId="49E23816">
            <wp:extent cx="5844209" cy="3792772"/>
            <wp:effectExtent l="0" t="0" r="23495" b="17780"/>
            <wp:docPr id="23" name="Chart 23">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 xmlns:xdr="http://schemas.openxmlformats.org/drawingml/2006/spreadsheetDrawing" xmlns:a16="http://schemas.microsoft.com/office/drawing/2014/main" xmlns:lc="http://schemas.openxmlformats.org/drawingml/2006/lockedCanvas" id="{8AF5B5FB-BF14-4321-B27F-2C74C7F4E748}"/>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14:paraId="75FA0669" w14:textId="0697224C" w:rsidR="00F54EEE" w:rsidRDefault="00F54EEE" w:rsidP="00F54EEE">
      <w:pPr>
        <w:pStyle w:val="Caption"/>
        <w:jc w:val="center"/>
      </w:pPr>
      <w:bookmarkStart w:id="57" w:name="_Toc112877033"/>
      <w:r>
        <w:t xml:space="preserve">Figure </w:t>
      </w:r>
      <w:r>
        <w:fldChar w:fldCharType="begin"/>
      </w:r>
      <w:r>
        <w:instrText xml:space="preserve"> SEQ Figure \* ARABIC </w:instrText>
      </w:r>
      <w:r>
        <w:fldChar w:fldCharType="separate"/>
      </w:r>
      <w:r w:rsidR="00C9792F">
        <w:rPr>
          <w:noProof/>
        </w:rPr>
        <w:t>5</w:t>
      </w:r>
      <w:r>
        <w:fldChar w:fldCharType="end"/>
      </w:r>
      <w:r w:rsidRPr="00CA7A81">
        <w:t>: YHD</w:t>
      </w:r>
      <w:r>
        <w:t>2</w:t>
      </w:r>
      <w:r w:rsidRPr="00CA7A81">
        <w:t xml:space="preserve"> Excess Precipitation Hyetograph Applied to 2D Mesh</w:t>
      </w:r>
      <w:bookmarkEnd w:id="57"/>
    </w:p>
    <w:p w14:paraId="7308E501" w14:textId="77777777" w:rsidR="00F54EEE" w:rsidRDefault="00F54EEE" w:rsidP="00F54EEE">
      <w:pPr>
        <w:pStyle w:val="BodyText"/>
        <w:keepNext/>
      </w:pPr>
      <w:r>
        <w:rPr>
          <w:noProof/>
        </w:rPr>
        <w:lastRenderedPageBreak/>
        <w:drawing>
          <wp:inline distT="0" distB="0" distL="0" distR="0" wp14:anchorId="31BED9C4" wp14:editId="33149372">
            <wp:extent cx="5868063" cy="3546282"/>
            <wp:effectExtent l="0" t="0" r="18415" b="16510"/>
            <wp:docPr id="25" name="Chart 25">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 xmlns:xdr="http://schemas.openxmlformats.org/drawingml/2006/spreadsheetDrawing" xmlns:a16="http://schemas.microsoft.com/office/drawing/2014/main" xmlns:lc="http://schemas.openxmlformats.org/drawingml/2006/lockedCanvas" id="{F33E3BE0-5929-4000-BAFD-12B538FF09EA}"/>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p w14:paraId="4924B0AD" w14:textId="4F8099B2" w:rsidR="00F54EEE" w:rsidRDefault="00F54EEE" w:rsidP="00F54EEE">
      <w:pPr>
        <w:pStyle w:val="Caption"/>
        <w:jc w:val="center"/>
      </w:pPr>
      <w:bookmarkStart w:id="58" w:name="_Toc112877034"/>
      <w:r>
        <w:t xml:space="preserve">Figure </w:t>
      </w:r>
      <w:r>
        <w:fldChar w:fldCharType="begin"/>
      </w:r>
      <w:r>
        <w:instrText xml:space="preserve"> SEQ Figure \* ARABIC </w:instrText>
      </w:r>
      <w:r>
        <w:fldChar w:fldCharType="separate"/>
      </w:r>
      <w:r w:rsidR="00C9792F">
        <w:rPr>
          <w:noProof/>
        </w:rPr>
        <w:t>6</w:t>
      </w:r>
      <w:r>
        <w:fldChar w:fldCharType="end"/>
      </w:r>
      <w:r w:rsidRPr="00570459">
        <w:t>: YHD</w:t>
      </w:r>
      <w:r>
        <w:t>3</w:t>
      </w:r>
      <w:r w:rsidRPr="00570459">
        <w:t xml:space="preserve"> Excess Precipitation Hyetograph Applied to 2D Mesh</w:t>
      </w:r>
      <w:bookmarkEnd w:id="58"/>
      <w:r>
        <w:br/>
      </w:r>
    </w:p>
    <w:p w14:paraId="0B3D3E97" w14:textId="77777777" w:rsidR="00F54EEE" w:rsidRDefault="00F54EEE" w:rsidP="00F54EEE">
      <w:pPr>
        <w:pStyle w:val="BodyText"/>
        <w:keepNext/>
      </w:pPr>
      <w:r>
        <w:rPr>
          <w:noProof/>
        </w:rPr>
        <w:drawing>
          <wp:inline distT="0" distB="0" distL="0" distR="0" wp14:anchorId="520B9442" wp14:editId="2223B918">
            <wp:extent cx="5796501" cy="3466769"/>
            <wp:effectExtent l="0" t="0" r="13970" b="19685"/>
            <wp:docPr id="26" name="Chart 26">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 xmlns:xdr="http://schemas.openxmlformats.org/drawingml/2006/spreadsheetDrawing" xmlns:a16="http://schemas.microsoft.com/office/drawing/2014/main" xmlns:lc="http://schemas.openxmlformats.org/drawingml/2006/lockedCanvas" id="{C8BE94A3-BA3B-4A1B-8192-0B35531914CF}"/>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p w14:paraId="6E917906" w14:textId="41D1822A" w:rsidR="00F54EEE" w:rsidRDefault="00F54EEE" w:rsidP="00F54EEE">
      <w:pPr>
        <w:pStyle w:val="Caption"/>
        <w:jc w:val="center"/>
      </w:pPr>
      <w:bookmarkStart w:id="59" w:name="_Toc112877035"/>
      <w:r>
        <w:t xml:space="preserve">Figure </w:t>
      </w:r>
      <w:r>
        <w:fldChar w:fldCharType="begin"/>
      </w:r>
      <w:r>
        <w:instrText xml:space="preserve"> SEQ Figure \* ARABIC </w:instrText>
      </w:r>
      <w:r>
        <w:fldChar w:fldCharType="separate"/>
      </w:r>
      <w:r w:rsidR="00C9792F">
        <w:rPr>
          <w:noProof/>
        </w:rPr>
        <w:t>7</w:t>
      </w:r>
      <w:r>
        <w:fldChar w:fldCharType="end"/>
      </w:r>
      <w:r w:rsidRPr="004E22EB">
        <w:t>: YHD</w:t>
      </w:r>
      <w:r>
        <w:t>4</w:t>
      </w:r>
      <w:r w:rsidRPr="004E22EB">
        <w:t xml:space="preserve"> Excess Precipitation Hyetograph Applied to 2D Mesh</w:t>
      </w:r>
      <w:bookmarkEnd w:id="59"/>
    </w:p>
    <w:p w14:paraId="5539AE21" w14:textId="77777777" w:rsidR="00F54EEE" w:rsidRDefault="00F54EEE" w:rsidP="00F54EEE">
      <w:pPr>
        <w:pStyle w:val="BodyText"/>
        <w:keepNext/>
      </w:pPr>
      <w:r>
        <w:rPr>
          <w:noProof/>
        </w:rPr>
        <w:lastRenderedPageBreak/>
        <w:drawing>
          <wp:inline distT="0" distB="0" distL="0" distR="0" wp14:anchorId="126FF364" wp14:editId="66E09798">
            <wp:extent cx="5943600" cy="4019550"/>
            <wp:effectExtent l="0" t="0" r="19050" b="19050"/>
            <wp:docPr id="27" name="Chart 27">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 xmlns:xdr="http://schemas.openxmlformats.org/drawingml/2006/spreadsheetDrawing" xmlns:a16="http://schemas.microsoft.com/office/drawing/2014/main" xmlns:lc="http://schemas.openxmlformats.org/drawingml/2006/lockedCanvas" id="{BC3FFB12-37B9-4CF3-B8C9-555DA594EC1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p w14:paraId="5101672C" w14:textId="30EF5CA0" w:rsidR="00F54EEE" w:rsidRPr="00F54EEE" w:rsidRDefault="00F54EEE" w:rsidP="00F54EEE">
      <w:pPr>
        <w:pStyle w:val="Caption"/>
        <w:jc w:val="center"/>
      </w:pPr>
      <w:bookmarkStart w:id="60" w:name="_Ref112857991"/>
      <w:bookmarkStart w:id="61" w:name="_Toc112877036"/>
      <w:r>
        <w:t xml:space="preserve">Figure </w:t>
      </w:r>
      <w:r>
        <w:fldChar w:fldCharType="begin"/>
      </w:r>
      <w:r>
        <w:instrText xml:space="preserve"> SEQ Figure \* ARABIC </w:instrText>
      </w:r>
      <w:r>
        <w:fldChar w:fldCharType="separate"/>
      </w:r>
      <w:r w:rsidR="00C9792F">
        <w:rPr>
          <w:noProof/>
        </w:rPr>
        <w:t>8</w:t>
      </w:r>
      <w:r>
        <w:fldChar w:fldCharType="end"/>
      </w:r>
      <w:bookmarkEnd w:id="60"/>
      <w:r w:rsidRPr="007033DB">
        <w:t>: YHD</w:t>
      </w:r>
      <w:r>
        <w:t>5</w:t>
      </w:r>
      <w:r w:rsidRPr="007033DB">
        <w:t xml:space="preserve"> Excess Precipitation Hyetograph Applied to 2D Mesh</w:t>
      </w:r>
      <w:bookmarkEnd w:id="61"/>
      <w:r>
        <w:br/>
      </w:r>
    </w:p>
    <w:p w14:paraId="703A5DC1" w14:textId="77777777" w:rsidR="00976A14" w:rsidRDefault="00976A14" w:rsidP="00E51B3A">
      <w:pPr>
        <w:pStyle w:val="Heading4"/>
      </w:pPr>
      <w:bookmarkStart w:id="62" w:name="_Toc112877073"/>
      <w:r>
        <w:t>Inflow Hydrograph Boundary Conditions</w:t>
      </w:r>
      <w:bookmarkEnd w:id="62"/>
    </w:p>
    <w:p w14:paraId="59AE9BA9" w14:textId="4B174CAE" w:rsidR="00BA0AEB" w:rsidRDefault="00D209E4" w:rsidP="009F5EAF">
      <w:pPr>
        <w:pStyle w:val="BodyText"/>
      </w:pPr>
      <w:r>
        <w:t>Because the Yellow House Draw HUC</w:t>
      </w:r>
      <w:r w:rsidR="00570522">
        <w:t>-</w:t>
      </w:r>
      <w:r>
        <w:t xml:space="preserve">8 borders New Mexico, outflow hydrographs were extracted from the existing New Mexico </w:t>
      </w:r>
      <w:r w:rsidR="00BE0501">
        <w:t xml:space="preserve">2D </w:t>
      </w:r>
      <w:r>
        <w:t xml:space="preserve">BLE </w:t>
      </w:r>
      <w:r w:rsidR="00BA0AEB">
        <w:t xml:space="preserve">Curry and Roosevelt Counties </w:t>
      </w:r>
      <w:r>
        <w:t>models</w:t>
      </w:r>
      <w:r w:rsidR="00BA0AEB">
        <w:t xml:space="preserve"> (</w:t>
      </w:r>
      <w:r w:rsidR="00BA0AEB" w:rsidRPr="00BA0AEB">
        <w:rPr>
          <w:i/>
        </w:rPr>
        <w:t>EDAC 2D BLE, June 2018</w:t>
      </w:r>
      <w:r w:rsidR="00BA0AEB">
        <w:t xml:space="preserve">) </w:t>
      </w:r>
      <w:r>
        <w:t>along the border to apply as inflows to the Yellow House Draw work areas.</w:t>
      </w:r>
      <w:r w:rsidR="00BA0AEB">
        <w:t xml:space="preserve"> The flows from New Mexico 2D BLE HEC-RAS models were extracted using a profile lines. Since the New Mexico models were not modified or re-run, the flows are approximate in nature. </w:t>
      </w:r>
    </w:p>
    <w:p w14:paraId="53F61150" w14:textId="1C0038F8" w:rsidR="002C1BAD" w:rsidRDefault="00D209E4" w:rsidP="009F5EAF">
      <w:pPr>
        <w:pStyle w:val="BodyText"/>
      </w:pPr>
      <w:r>
        <w:t>Additionally, f</w:t>
      </w:r>
      <w:r w:rsidR="002C1BAD" w:rsidRPr="003D6AC8">
        <w:t xml:space="preserve">low from the </w:t>
      </w:r>
      <w:r>
        <w:t>upstream models within the Yellow House Draw HUC</w:t>
      </w:r>
      <w:r w:rsidR="00570522">
        <w:t>-</w:t>
      </w:r>
      <w:r>
        <w:t xml:space="preserve">8 were used as inflow boundary </w:t>
      </w:r>
      <w:r w:rsidR="008F036F">
        <w:t>between models within the Yellow House Draw HUC</w:t>
      </w:r>
      <w:r w:rsidR="00570522">
        <w:t>-</w:t>
      </w:r>
      <w:r w:rsidR="008F036F">
        <w:t>8</w:t>
      </w:r>
      <w:r w:rsidR="002C1BAD" w:rsidRPr="003D6AC8">
        <w:t xml:space="preserve">. The inflow hydrograph was derived by utilizing the results of the HEC-RAS model for </w:t>
      </w:r>
      <w:r w:rsidR="00DA227F">
        <w:t>the model</w:t>
      </w:r>
      <w:r w:rsidR="002C1BAD" w:rsidRPr="003D6AC8">
        <w:t xml:space="preserve"> directly upstream. </w:t>
      </w:r>
      <w:r w:rsidR="00960431" w:rsidRPr="003D6AC8">
        <w:t xml:space="preserve">By using upstream model results as inflow hydrographs to the downstream model, this allows the </w:t>
      </w:r>
      <w:r w:rsidR="00DA227F">
        <w:t>five</w:t>
      </w:r>
      <w:r w:rsidR="00960431">
        <w:t xml:space="preserve"> </w:t>
      </w:r>
      <w:r w:rsidR="00960431" w:rsidRPr="003D6AC8">
        <w:t xml:space="preserve">separate HEC-RAS models to act as one continuous model of the larger </w:t>
      </w:r>
      <w:r w:rsidR="00DA227F">
        <w:t>Yellow House Draw</w:t>
      </w:r>
      <w:r w:rsidR="00960431" w:rsidRPr="003D6AC8">
        <w:t xml:space="preserve"> watershed area.</w:t>
      </w:r>
      <w:r w:rsidR="00960431">
        <w:t xml:space="preserve"> </w:t>
      </w:r>
      <w:r w:rsidR="00960431" w:rsidRPr="003D6AC8">
        <w:t>The inflow hydrograph</w:t>
      </w:r>
      <w:r w:rsidR="008F036F">
        <w:t>s</w:t>
      </w:r>
      <w:r w:rsidR="00960431" w:rsidRPr="003D6AC8">
        <w:t xml:space="preserve"> </w:t>
      </w:r>
      <w:r w:rsidR="00DA227F">
        <w:t>were extracted from the New Mexico BLE models using profile lines, and extracted from the Yellow House Draw models</w:t>
      </w:r>
      <w:r w:rsidR="00960431" w:rsidRPr="003D6AC8">
        <w:t xml:space="preserve"> using 2D connection</w:t>
      </w:r>
      <w:r w:rsidR="008F036F">
        <w:t>s</w:t>
      </w:r>
      <w:r w:rsidR="00960431" w:rsidRPr="003D6AC8">
        <w:t xml:space="preserve">. </w:t>
      </w:r>
      <w:r w:rsidR="00DA227F">
        <w:t>The location</w:t>
      </w:r>
      <w:r w:rsidR="008F036F">
        <w:t>s</w:t>
      </w:r>
      <w:r w:rsidR="00DA227F">
        <w:t xml:space="preserve"> of the hydrographs extracted from the New Mexico BLE models were established using the 1-square mile streamlines generated for Yellow House Draw. </w:t>
      </w:r>
      <w:r w:rsidR="00960431" w:rsidRPr="003D6AC8">
        <w:t>The inflow hydrograph</w:t>
      </w:r>
      <w:r w:rsidR="00DA227F">
        <w:t xml:space="preserve">s </w:t>
      </w:r>
      <w:r w:rsidR="008F036F">
        <w:t>applied between work areas within the</w:t>
      </w:r>
      <w:r w:rsidR="00DA227F">
        <w:t xml:space="preserve"> Yellow House Draw </w:t>
      </w:r>
      <w:r w:rsidR="008F036F">
        <w:t>HUC</w:t>
      </w:r>
      <w:r w:rsidR="00570522">
        <w:t>-</w:t>
      </w:r>
      <w:r w:rsidR="008F036F">
        <w:t>8</w:t>
      </w:r>
      <w:r w:rsidR="00DA227F">
        <w:t xml:space="preserve"> are</w:t>
      </w:r>
      <w:r w:rsidR="00960431">
        <w:t xml:space="preserve"> represented in</w:t>
      </w:r>
      <w:r w:rsidR="00411E43">
        <w:t xml:space="preserve"> </w:t>
      </w:r>
      <w:r w:rsidR="003C7AEE">
        <w:fldChar w:fldCharType="begin"/>
      </w:r>
      <w:r w:rsidR="003C7AEE">
        <w:instrText xml:space="preserve"> REF _Ref111469964 \h </w:instrText>
      </w:r>
      <w:r w:rsidR="003C7AEE">
        <w:fldChar w:fldCharType="separate"/>
      </w:r>
      <w:r w:rsidR="00C9792F">
        <w:t xml:space="preserve">Figure </w:t>
      </w:r>
      <w:r w:rsidR="00C9792F">
        <w:rPr>
          <w:noProof/>
        </w:rPr>
        <w:t>9</w:t>
      </w:r>
      <w:r w:rsidR="003C7AEE">
        <w:fldChar w:fldCharType="end"/>
      </w:r>
      <w:r w:rsidR="003C7AEE">
        <w:t xml:space="preserve">, </w:t>
      </w:r>
      <w:r w:rsidR="003C7AEE">
        <w:fldChar w:fldCharType="begin"/>
      </w:r>
      <w:r w:rsidR="003C7AEE">
        <w:instrText xml:space="preserve"> REF _Ref111469967 \h </w:instrText>
      </w:r>
      <w:r w:rsidR="003C7AEE">
        <w:fldChar w:fldCharType="separate"/>
      </w:r>
      <w:r w:rsidR="00C9792F">
        <w:t xml:space="preserve">Figure </w:t>
      </w:r>
      <w:r w:rsidR="00C9792F">
        <w:rPr>
          <w:noProof/>
        </w:rPr>
        <w:t>10</w:t>
      </w:r>
      <w:r w:rsidR="003C7AEE">
        <w:fldChar w:fldCharType="end"/>
      </w:r>
      <w:r w:rsidR="003C7AEE">
        <w:t xml:space="preserve">, </w:t>
      </w:r>
      <w:r w:rsidR="003C7AEE">
        <w:fldChar w:fldCharType="begin"/>
      </w:r>
      <w:r w:rsidR="003C7AEE">
        <w:instrText xml:space="preserve"> REF _Ref111448296 \h </w:instrText>
      </w:r>
      <w:r w:rsidR="003C7AEE">
        <w:fldChar w:fldCharType="separate"/>
      </w:r>
      <w:r w:rsidR="00C9792F">
        <w:t xml:space="preserve">Figure </w:t>
      </w:r>
      <w:r w:rsidR="00C9792F">
        <w:rPr>
          <w:noProof/>
        </w:rPr>
        <w:t>11</w:t>
      </w:r>
      <w:r w:rsidR="003C7AEE">
        <w:fldChar w:fldCharType="end"/>
      </w:r>
      <w:r w:rsidR="003C7AEE">
        <w:t xml:space="preserve">, and </w:t>
      </w:r>
      <w:r w:rsidR="003C7AEE">
        <w:fldChar w:fldCharType="begin"/>
      </w:r>
      <w:r w:rsidR="003C7AEE">
        <w:instrText xml:space="preserve"> REF _Ref111469970 \h </w:instrText>
      </w:r>
      <w:r w:rsidR="003C7AEE">
        <w:fldChar w:fldCharType="separate"/>
      </w:r>
      <w:r w:rsidR="00C9792F">
        <w:t xml:space="preserve">Figure </w:t>
      </w:r>
      <w:r w:rsidR="00C9792F">
        <w:rPr>
          <w:noProof/>
        </w:rPr>
        <w:t>12</w:t>
      </w:r>
      <w:r w:rsidR="003C7AEE">
        <w:fldChar w:fldCharType="end"/>
      </w:r>
      <w:r w:rsidR="003C7AEE">
        <w:t xml:space="preserve"> </w:t>
      </w:r>
      <w:r w:rsidR="00411E43">
        <w:t>below.</w:t>
      </w:r>
    </w:p>
    <w:p w14:paraId="3A42C096" w14:textId="77777777" w:rsidR="009E039F" w:rsidRDefault="00D30FF5" w:rsidP="004A03C5">
      <w:pPr>
        <w:pStyle w:val="BodyText"/>
        <w:keepNext/>
        <w:jc w:val="center"/>
      </w:pPr>
      <w:r>
        <w:rPr>
          <w:noProof/>
        </w:rPr>
        <w:lastRenderedPageBreak/>
        <w:drawing>
          <wp:inline distT="0" distB="0" distL="0" distR="0" wp14:anchorId="2FAF1893" wp14:editId="3D96868C">
            <wp:extent cx="5457825" cy="3648075"/>
            <wp:effectExtent l="0" t="0" r="9525" b="9525"/>
            <wp:docPr id="14" name="Chart 14">
              <a:extLst xmlns:a="http://schemas.openxmlformats.org/drawingml/2006/main">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1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p w14:paraId="52814589" w14:textId="3E6D9ED4" w:rsidR="009E039F" w:rsidRDefault="009E039F" w:rsidP="009E039F">
      <w:pPr>
        <w:pStyle w:val="Caption"/>
        <w:jc w:val="center"/>
      </w:pPr>
      <w:bookmarkStart w:id="63" w:name="_Ref111469964"/>
      <w:bookmarkStart w:id="64" w:name="_Toc112877037"/>
      <w:r>
        <w:t xml:space="preserve">Figure </w:t>
      </w:r>
      <w:r>
        <w:fldChar w:fldCharType="begin"/>
      </w:r>
      <w:r>
        <w:instrText xml:space="preserve"> SEQ Figure \* ARABIC </w:instrText>
      </w:r>
      <w:r>
        <w:fldChar w:fldCharType="separate"/>
      </w:r>
      <w:r w:rsidR="00C9792F">
        <w:rPr>
          <w:noProof/>
        </w:rPr>
        <w:t>9</w:t>
      </w:r>
      <w:r>
        <w:fldChar w:fldCharType="end"/>
      </w:r>
      <w:bookmarkEnd w:id="63"/>
      <w:r>
        <w:t>: YHD3 Inflow Hydrograph from YHD2</w:t>
      </w:r>
      <w:bookmarkEnd w:id="64"/>
    </w:p>
    <w:p w14:paraId="52B47E6D" w14:textId="77777777" w:rsidR="00235CFE" w:rsidRPr="00235CFE" w:rsidRDefault="00235CFE" w:rsidP="00235CFE">
      <w:pPr>
        <w:pStyle w:val="BodyText"/>
      </w:pPr>
    </w:p>
    <w:p w14:paraId="43F813FC" w14:textId="77777777" w:rsidR="003C3E36" w:rsidRDefault="003C3E36" w:rsidP="003C3E36">
      <w:pPr>
        <w:pStyle w:val="Caption"/>
        <w:jc w:val="center"/>
      </w:pPr>
      <w:r>
        <w:rPr>
          <w:noProof/>
        </w:rPr>
        <w:drawing>
          <wp:inline distT="0" distB="0" distL="0" distR="0" wp14:anchorId="721607EB" wp14:editId="3803A3A7">
            <wp:extent cx="5448300" cy="3590925"/>
            <wp:effectExtent l="0" t="0" r="0" b="9525"/>
            <wp:docPr id="30" name="Chart 30">
              <a:extLst xmlns:a="http://schemas.openxmlformats.org/drawingml/2006/main">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9CBFD95-0E68-4C08-8053-39D4E8EE9942}"/>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p w14:paraId="13F2A9DB" w14:textId="038DA3AC" w:rsidR="003C3E36" w:rsidRDefault="003C3E36" w:rsidP="003C3E36">
      <w:pPr>
        <w:pStyle w:val="Caption"/>
        <w:jc w:val="center"/>
      </w:pPr>
      <w:bookmarkStart w:id="65" w:name="_Ref111469967"/>
      <w:bookmarkStart w:id="66" w:name="_Toc112877038"/>
      <w:r>
        <w:t xml:space="preserve">Figure </w:t>
      </w:r>
      <w:r>
        <w:fldChar w:fldCharType="begin"/>
      </w:r>
      <w:r>
        <w:instrText xml:space="preserve"> SEQ Figure \* ARABIC </w:instrText>
      </w:r>
      <w:r>
        <w:fldChar w:fldCharType="separate"/>
      </w:r>
      <w:r w:rsidR="00C9792F">
        <w:rPr>
          <w:noProof/>
        </w:rPr>
        <w:t>10</w:t>
      </w:r>
      <w:r>
        <w:fldChar w:fldCharType="end"/>
      </w:r>
      <w:bookmarkEnd w:id="65"/>
      <w:r>
        <w:t>: YHD1 Inflow Hydrograph from YHD3</w:t>
      </w:r>
      <w:bookmarkEnd w:id="66"/>
    </w:p>
    <w:p w14:paraId="3BECD250" w14:textId="78F634B2" w:rsidR="003C3E36" w:rsidRDefault="003C3E36" w:rsidP="003C3E36">
      <w:pPr>
        <w:pStyle w:val="BodyText"/>
        <w:jc w:val="center"/>
      </w:pPr>
    </w:p>
    <w:p w14:paraId="185099B6" w14:textId="44F78C2C" w:rsidR="003C3E36" w:rsidRDefault="003C3E36" w:rsidP="003C3E36">
      <w:pPr>
        <w:pStyle w:val="BodyText"/>
        <w:jc w:val="center"/>
      </w:pPr>
    </w:p>
    <w:p w14:paraId="3A430966" w14:textId="64F316CD" w:rsidR="004A03C5" w:rsidRDefault="00D30FF5" w:rsidP="004A03C5">
      <w:pPr>
        <w:pStyle w:val="BodyText"/>
        <w:keepNext/>
        <w:jc w:val="center"/>
      </w:pPr>
      <w:r>
        <w:rPr>
          <w:noProof/>
        </w:rPr>
        <w:lastRenderedPageBreak/>
        <w:drawing>
          <wp:inline distT="0" distB="0" distL="0" distR="0" wp14:anchorId="6D938E8F" wp14:editId="46505F52">
            <wp:extent cx="5457825" cy="3724275"/>
            <wp:effectExtent l="0" t="0" r="9525" b="9525"/>
            <wp:docPr id="13" name="Chart 13">
              <a:extLst xmlns:a="http://schemas.openxmlformats.org/drawingml/2006/main">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D903DA2D-E20B-43A2-9F63-EB313D5FA4E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14:paraId="5CBEB541" w14:textId="2031EFB0" w:rsidR="009E039F" w:rsidRDefault="009E039F" w:rsidP="009E039F">
      <w:pPr>
        <w:pStyle w:val="Caption"/>
        <w:jc w:val="center"/>
      </w:pPr>
      <w:bookmarkStart w:id="67" w:name="_Ref111448296"/>
      <w:bookmarkStart w:id="68" w:name="_Toc112877039"/>
      <w:r>
        <w:t xml:space="preserve">Figure </w:t>
      </w:r>
      <w:r>
        <w:fldChar w:fldCharType="begin"/>
      </w:r>
      <w:r>
        <w:instrText xml:space="preserve"> SEQ Figure \* ARABIC </w:instrText>
      </w:r>
      <w:r>
        <w:fldChar w:fldCharType="separate"/>
      </w:r>
      <w:r w:rsidR="00C9792F">
        <w:rPr>
          <w:noProof/>
        </w:rPr>
        <w:t>11</w:t>
      </w:r>
      <w:r>
        <w:fldChar w:fldCharType="end"/>
      </w:r>
      <w:bookmarkEnd w:id="67"/>
      <w:r>
        <w:t>: YHD4 Inflow Hydrograph from YHD3</w:t>
      </w:r>
      <w:bookmarkEnd w:id="68"/>
    </w:p>
    <w:p w14:paraId="71630611" w14:textId="77777777" w:rsidR="00235CFE" w:rsidRPr="00235CFE" w:rsidRDefault="00235CFE" w:rsidP="00235CFE">
      <w:pPr>
        <w:pStyle w:val="BodyText"/>
      </w:pPr>
    </w:p>
    <w:p w14:paraId="5B5AC58A" w14:textId="77777777" w:rsidR="00235CFE" w:rsidRDefault="0038317B" w:rsidP="008F036F">
      <w:pPr>
        <w:pStyle w:val="Caption"/>
        <w:jc w:val="center"/>
      </w:pPr>
      <w:r>
        <w:rPr>
          <w:noProof/>
        </w:rPr>
        <w:drawing>
          <wp:inline distT="0" distB="0" distL="0" distR="0" wp14:anchorId="0AC93ED5" wp14:editId="3F69E61F">
            <wp:extent cx="5457825" cy="3762375"/>
            <wp:effectExtent l="0" t="0" r="9525" b="9525"/>
            <wp:docPr id="15" name="Chart 15">
              <a:extLst xmlns:a="http://schemas.openxmlformats.org/drawingml/2006/main">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22BDF602-38B0-47C7-810D-231FB97B84A3}"/>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bookmarkStart w:id="69" w:name="_Ref94273302"/>
    </w:p>
    <w:p w14:paraId="5E031042" w14:textId="445913E0" w:rsidR="00960431" w:rsidRPr="00960431" w:rsidRDefault="004A03C5" w:rsidP="008F036F">
      <w:pPr>
        <w:pStyle w:val="Caption"/>
        <w:jc w:val="center"/>
      </w:pPr>
      <w:bookmarkStart w:id="70" w:name="_Ref111469970"/>
      <w:bookmarkStart w:id="71" w:name="_Toc112877040"/>
      <w:r>
        <w:t xml:space="preserve">Figure </w:t>
      </w:r>
      <w:r>
        <w:fldChar w:fldCharType="begin"/>
      </w:r>
      <w:r>
        <w:instrText xml:space="preserve"> SEQ Figure \* ARABIC </w:instrText>
      </w:r>
      <w:r>
        <w:fldChar w:fldCharType="separate"/>
      </w:r>
      <w:r w:rsidR="00C9792F">
        <w:rPr>
          <w:noProof/>
        </w:rPr>
        <w:t>12</w:t>
      </w:r>
      <w:r>
        <w:fldChar w:fldCharType="end"/>
      </w:r>
      <w:bookmarkEnd w:id="69"/>
      <w:bookmarkEnd w:id="70"/>
      <w:r w:rsidRPr="007C20A5">
        <w:t xml:space="preserve">: </w:t>
      </w:r>
      <w:r w:rsidR="009E039F">
        <w:t>YHD5 Inflow Hydrograph from YHD4</w:t>
      </w:r>
      <w:bookmarkEnd w:id="71"/>
    </w:p>
    <w:p w14:paraId="530CA9A2" w14:textId="77777777" w:rsidR="00FD3A8D" w:rsidRDefault="00FD3A8D" w:rsidP="00270D3A">
      <w:pPr>
        <w:pStyle w:val="BodyText"/>
      </w:pPr>
    </w:p>
    <w:p w14:paraId="614A220F" w14:textId="619F10A6" w:rsidR="00235CFE" w:rsidRPr="00F4027D" w:rsidRDefault="00270D3A" w:rsidP="00270D3A">
      <w:pPr>
        <w:pStyle w:val="BodyText"/>
      </w:pPr>
      <w:r w:rsidRPr="001142C3">
        <w:lastRenderedPageBreak/>
        <w:t>In order to achieve a seamless flood hazard result at a transition location</w:t>
      </w:r>
      <w:r>
        <w:t xml:space="preserve"> (locations where flow is exchanged between 2D model areas)</w:t>
      </w:r>
      <w:r w:rsidRPr="001142C3">
        <w:t>, the water surface elevation</w:t>
      </w:r>
      <w:r w:rsidR="00717B8D">
        <w:t xml:space="preserve"> (WSE)</w:t>
      </w:r>
      <w:r w:rsidRPr="001142C3">
        <w:t xml:space="preserve"> and inundation tie-ins between models must be made as close as possible. A 1,000</w:t>
      </w:r>
      <w:r w:rsidR="005C72F6">
        <w:t xml:space="preserve"> </w:t>
      </w:r>
      <w:r w:rsidRPr="001142C3">
        <w:t>f</w:t>
      </w:r>
      <w:r w:rsidR="005C72F6">
        <w:t>ee</w:t>
      </w:r>
      <w:r w:rsidRPr="001142C3">
        <w:t xml:space="preserve">t buffer was applied to each </w:t>
      </w:r>
      <w:r>
        <w:t xml:space="preserve">model </w:t>
      </w:r>
      <w:r w:rsidRPr="001142C3">
        <w:t xml:space="preserve">work area for the mesh boundary. This is done so that the inflow boundary condition of the downstream model and the </w:t>
      </w:r>
      <w:r>
        <w:t>n</w:t>
      </w:r>
      <w:r w:rsidRPr="001142C3">
        <w:t xml:space="preserve">ormal </w:t>
      </w:r>
      <w:r>
        <w:t>d</w:t>
      </w:r>
      <w:r w:rsidRPr="001142C3">
        <w:t xml:space="preserve">epth outlet boundary condition of the upstream model are far enough away from the work area transition location that they do not impact the </w:t>
      </w:r>
      <w:r w:rsidR="00717B8D">
        <w:t>WSE</w:t>
      </w:r>
      <w:r w:rsidRPr="001142C3">
        <w:t xml:space="preserve"> tie-ins between models in an undesired way. To make this overlap work without double accounting for rainfall, an internal 2D connection is placed in the upstream model </w:t>
      </w:r>
      <w:r w:rsidR="00717B8D">
        <w:t xml:space="preserve">at the exact same location as the inflow boundary condition for the downstream model. </w:t>
      </w:r>
      <w:r>
        <w:t>Approximately</w:t>
      </w:r>
      <w:r w:rsidRPr="001142C3">
        <w:t xml:space="preserve"> halfway between the model overlap is the actual model area boundaries where the mapped floodplain products switch from the upstream model results to the downstream model results. This transition location is the targeted area to have the </w:t>
      </w:r>
      <w:r>
        <w:t>w</w:t>
      </w:r>
      <w:r w:rsidRPr="001142C3">
        <w:t xml:space="preserve">ater </w:t>
      </w:r>
      <w:r>
        <w:t>s</w:t>
      </w:r>
      <w:r w:rsidRPr="001142C3">
        <w:t xml:space="preserve">urface </w:t>
      </w:r>
      <w:r>
        <w:t>e</w:t>
      </w:r>
      <w:r w:rsidRPr="001142C3">
        <w:t xml:space="preserve">levation and inundation </w:t>
      </w:r>
      <w:r>
        <w:t>tie-in</w:t>
      </w:r>
      <w:r w:rsidRPr="001142C3">
        <w:t xml:space="preserve"> as closely as possible</w:t>
      </w:r>
      <w:r w:rsidRPr="00F4027D">
        <w:t xml:space="preserve">. </w:t>
      </w:r>
    </w:p>
    <w:p w14:paraId="4C767453" w14:textId="0DB357D3" w:rsidR="00270D3A" w:rsidRPr="00270D3A" w:rsidRDefault="00976A14" w:rsidP="00270D3A">
      <w:pPr>
        <w:pStyle w:val="Heading3"/>
      </w:pPr>
      <w:bookmarkStart w:id="72" w:name="_Toc112877074"/>
      <w:r>
        <w:t>Hydraulics</w:t>
      </w:r>
      <w:bookmarkEnd w:id="72"/>
    </w:p>
    <w:p w14:paraId="7457C45B" w14:textId="5786A25E" w:rsidR="0048315A" w:rsidRPr="0048315A" w:rsidRDefault="00161A02" w:rsidP="0048315A">
      <w:pPr>
        <w:pStyle w:val="BodyText"/>
      </w:pPr>
      <w:r w:rsidRPr="00161A02">
        <w:t>This section describes the remaining hydraulic modeling considerations, including implementation of Manning’s roughness, breaklines, refinement regions, and hydraulic structures within the 2D co</w:t>
      </w:r>
      <w:r w:rsidR="00717B8D">
        <w:t>mputational mesh</w:t>
      </w:r>
      <w:r w:rsidR="0050705B" w:rsidRPr="00193BD7">
        <w:t>.</w:t>
      </w:r>
    </w:p>
    <w:p w14:paraId="6614D2D7" w14:textId="77777777" w:rsidR="00976A14" w:rsidRDefault="0048315A" w:rsidP="00E51B3A">
      <w:pPr>
        <w:pStyle w:val="Heading4"/>
      </w:pPr>
      <w:bookmarkStart w:id="73" w:name="_Toc112877075"/>
      <w:r>
        <w:t>Roughness Coefficients</w:t>
      </w:r>
      <w:bookmarkEnd w:id="73"/>
    </w:p>
    <w:p w14:paraId="323CCEF7" w14:textId="77777777" w:rsidR="00B517E3" w:rsidRDefault="00161A02" w:rsidP="00D35234">
      <w:pPr>
        <w:pStyle w:val="BodyText"/>
        <w:sectPr w:rsidR="00B517E3" w:rsidSect="002A75EF">
          <w:footerReference w:type="default" r:id="rId26"/>
          <w:pgSz w:w="12240" w:h="15840"/>
          <w:pgMar w:top="1134" w:right="1440" w:bottom="851" w:left="1440" w:header="709" w:footer="284" w:gutter="0"/>
          <w:pgNumType w:start="1"/>
          <w:cols w:space="708"/>
          <w:docGrid w:linePitch="360"/>
        </w:sectPr>
      </w:pPr>
      <w:r w:rsidRPr="00161A02">
        <w:t xml:space="preserve">Manning’s n roughness coverage was developed for the 2D computational mesh using typical roughness values for given NLCD land classifications. </w:t>
      </w:r>
      <w:r w:rsidR="00B26138">
        <w:t xml:space="preserve">Two different sets of Manning’s </w:t>
      </w:r>
      <w:r w:rsidR="00270D3A">
        <w:t>n</w:t>
      </w:r>
      <w:r w:rsidR="00B26138">
        <w:t xml:space="preserve"> values were used for areas within the channel and all other areas outside of the channels of the stream network. </w:t>
      </w:r>
      <w:r w:rsidR="00E07907">
        <w:t>The channel layers were created using a 100</w:t>
      </w:r>
      <w:r w:rsidR="00DD0D67">
        <w:t xml:space="preserve"> </w:t>
      </w:r>
      <w:r w:rsidR="00E07907">
        <w:t>f</w:t>
      </w:r>
      <w:r w:rsidR="005C72F6">
        <w:t>oot</w:t>
      </w:r>
      <w:r w:rsidR="00E07907">
        <w:t xml:space="preserve"> buffer. </w:t>
      </w:r>
      <w:r w:rsidR="00B26138">
        <w:t xml:space="preserve">This allows for the model to accurately represent deep, swift flow within the channel and shallow overland flow outside of the channel areas. </w:t>
      </w:r>
      <w:r w:rsidRPr="00161A02">
        <w:t>The table below shows a typical landuse-roughness matrix used in defining the roughn</w:t>
      </w:r>
      <w:r w:rsidR="00B26138">
        <w:t>ess coverage for the study area for areas both inside and outside of the channel.</w:t>
      </w:r>
      <w:r w:rsidR="00CC0D15">
        <w:t xml:space="preserve"> In the HEC-RAS model Channel n values are listed as land classification – Channel, and Overbank bank n values are listed as land classification – Base.</w:t>
      </w:r>
    </w:p>
    <w:p w14:paraId="6A644BF1" w14:textId="2C424370" w:rsidR="00EA2332" w:rsidRDefault="00EA2332" w:rsidP="00EA2332">
      <w:pPr>
        <w:pStyle w:val="Caption"/>
        <w:jc w:val="center"/>
      </w:pPr>
      <w:bookmarkStart w:id="76" w:name="_Toc112877052"/>
      <w:r>
        <w:lastRenderedPageBreak/>
        <w:t xml:space="preserve">Table </w:t>
      </w:r>
      <w:r>
        <w:fldChar w:fldCharType="begin"/>
      </w:r>
      <w:r>
        <w:instrText xml:space="preserve"> SEQ Table \* ARABIC </w:instrText>
      </w:r>
      <w:r>
        <w:fldChar w:fldCharType="separate"/>
      </w:r>
      <w:r w:rsidR="00C9792F">
        <w:rPr>
          <w:noProof/>
        </w:rPr>
        <w:t>7</w:t>
      </w:r>
      <w:r>
        <w:fldChar w:fldCharType="end"/>
      </w:r>
      <w:r>
        <w:t xml:space="preserve">: </w:t>
      </w:r>
      <w:r w:rsidRPr="0030276A">
        <w:t>NLCD 201</w:t>
      </w:r>
      <w:r w:rsidR="00D209E4">
        <w:t>9</w:t>
      </w:r>
      <w:r w:rsidRPr="0030276A">
        <w:t xml:space="preserve"> Manning's </w:t>
      </w:r>
      <w:r w:rsidR="00270D3A">
        <w:t>n</w:t>
      </w:r>
      <w:r w:rsidRPr="0030276A">
        <w:t xml:space="preserve"> Roughness Matrix</w:t>
      </w:r>
      <w:bookmarkEnd w:id="76"/>
    </w:p>
    <w:tbl>
      <w:tblPr>
        <w:tblStyle w:val="CompassTable"/>
        <w:tblW w:w="8162" w:type="dxa"/>
        <w:jc w:val="center"/>
        <w:tblLook w:val="04A0" w:firstRow="1" w:lastRow="0" w:firstColumn="1" w:lastColumn="0" w:noHBand="0" w:noVBand="1"/>
      </w:tblPr>
      <w:tblGrid>
        <w:gridCol w:w="2642"/>
        <w:gridCol w:w="1373"/>
        <w:gridCol w:w="1207"/>
        <w:gridCol w:w="1207"/>
        <w:gridCol w:w="1733"/>
      </w:tblGrid>
      <w:tr w:rsidR="0007100B" w:rsidRPr="00161A02" w14:paraId="37F6A871" w14:textId="77777777" w:rsidTr="00B517E3">
        <w:trPr>
          <w:cnfStyle w:val="100000000000" w:firstRow="1" w:lastRow="0" w:firstColumn="0" w:lastColumn="0" w:oddVBand="0" w:evenVBand="0" w:oddHBand="0" w:evenHBand="0" w:firstRowFirstColumn="0" w:firstRowLastColumn="0" w:lastRowFirstColumn="0" w:lastRowLastColumn="0"/>
          <w:trHeight w:val="431"/>
          <w:jc w:val="center"/>
        </w:trPr>
        <w:tc>
          <w:tcPr>
            <w:tcW w:w="2642" w:type="dxa"/>
            <w:vMerge w:val="restart"/>
            <w:shd w:val="clear" w:color="auto" w:fill="00B5E2" w:themeFill="accent1"/>
          </w:tcPr>
          <w:p w14:paraId="24C25EA1" w14:textId="77777777" w:rsidR="0007100B" w:rsidRPr="00161A02" w:rsidRDefault="0007100B" w:rsidP="0007100B">
            <w:pPr>
              <w:tabs>
                <w:tab w:val="clear" w:pos="284"/>
              </w:tabs>
              <w:spacing w:line="240" w:lineRule="auto"/>
              <w:jc w:val="center"/>
              <w:rPr>
                <w:rFonts w:eastAsia="Calibri" w:cs="Times New Roman"/>
                <w:kern w:val="0"/>
                <w:sz w:val="20"/>
                <w:szCs w:val="20"/>
              </w:rPr>
            </w:pPr>
            <w:r w:rsidRPr="00161A02">
              <w:rPr>
                <w:rFonts w:eastAsia="Calibri" w:cs="Times New Roman"/>
                <w:kern w:val="0"/>
                <w:sz w:val="20"/>
                <w:szCs w:val="20"/>
              </w:rPr>
              <w:t>NLCD Classification</w:t>
            </w:r>
          </w:p>
        </w:tc>
        <w:tc>
          <w:tcPr>
            <w:tcW w:w="2580" w:type="dxa"/>
            <w:gridSpan w:val="2"/>
            <w:shd w:val="clear" w:color="auto" w:fill="00B5E2" w:themeFill="accent1"/>
          </w:tcPr>
          <w:p w14:paraId="4FB5068D" w14:textId="77777777" w:rsidR="0007100B" w:rsidRDefault="0007100B" w:rsidP="0007100B">
            <w:pPr>
              <w:tabs>
                <w:tab w:val="clear" w:pos="284"/>
              </w:tabs>
              <w:spacing w:line="240" w:lineRule="auto"/>
              <w:jc w:val="center"/>
              <w:rPr>
                <w:rFonts w:eastAsia="Calibri" w:cs="Times New Roman"/>
                <w:kern w:val="0"/>
                <w:sz w:val="20"/>
                <w:szCs w:val="20"/>
              </w:rPr>
            </w:pPr>
            <w:r>
              <w:rPr>
                <w:rFonts w:eastAsia="Calibri" w:cs="Times New Roman"/>
                <w:kern w:val="0"/>
                <w:sz w:val="20"/>
                <w:szCs w:val="20"/>
              </w:rPr>
              <w:t>Channel</w:t>
            </w:r>
          </w:p>
        </w:tc>
        <w:tc>
          <w:tcPr>
            <w:tcW w:w="2940" w:type="dxa"/>
            <w:gridSpan w:val="2"/>
            <w:shd w:val="clear" w:color="auto" w:fill="00B5E2" w:themeFill="accent1"/>
          </w:tcPr>
          <w:p w14:paraId="6EC934AC" w14:textId="77777777" w:rsidR="0007100B" w:rsidRPr="00161A02" w:rsidRDefault="0007100B" w:rsidP="0007100B">
            <w:pPr>
              <w:tabs>
                <w:tab w:val="clear" w:pos="284"/>
              </w:tabs>
              <w:spacing w:line="240" w:lineRule="auto"/>
              <w:jc w:val="center"/>
              <w:rPr>
                <w:rFonts w:eastAsia="Calibri" w:cs="Times New Roman"/>
                <w:kern w:val="0"/>
                <w:sz w:val="20"/>
                <w:szCs w:val="20"/>
              </w:rPr>
            </w:pPr>
            <w:r>
              <w:rPr>
                <w:rFonts w:eastAsia="Calibri" w:cs="Times New Roman"/>
                <w:kern w:val="0"/>
                <w:sz w:val="20"/>
                <w:szCs w:val="20"/>
              </w:rPr>
              <w:t>Overbank</w:t>
            </w:r>
          </w:p>
        </w:tc>
      </w:tr>
      <w:tr w:rsidR="0007100B" w:rsidRPr="00161A02" w14:paraId="570071C8" w14:textId="77777777" w:rsidTr="00B517E3">
        <w:trPr>
          <w:cnfStyle w:val="000000100000" w:firstRow="0" w:lastRow="0" w:firstColumn="0" w:lastColumn="0" w:oddVBand="0" w:evenVBand="0" w:oddHBand="1" w:evenHBand="0" w:firstRowFirstColumn="0" w:firstRowLastColumn="0" w:lastRowFirstColumn="0" w:lastRowLastColumn="0"/>
          <w:trHeight w:val="431"/>
          <w:jc w:val="center"/>
        </w:trPr>
        <w:tc>
          <w:tcPr>
            <w:tcW w:w="2642" w:type="dxa"/>
            <w:vMerge/>
            <w:shd w:val="clear" w:color="auto" w:fill="00B5E2" w:themeFill="accent1"/>
          </w:tcPr>
          <w:p w14:paraId="0CA8B791" w14:textId="77777777" w:rsidR="0007100B" w:rsidRPr="00161A02" w:rsidRDefault="0007100B" w:rsidP="00161A02">
            <w:pPr>
              <w:tabs>
                <w:tab w:val="clear" w:pos="284"/>
              </w:tabs>
              <w:spacing w:line="240" w:lineRule="auto"/>
              <w:jc w:val="center"/>
              <w:rPr>
                <w:rFonts w:eastAsia="Calibri" w:cs="Times New Roman"/>
                <w:kern w:val="0"/>
                <w:szCs w:val="20"/>
              </w:rPr>
            </w:pPr>
          </w:p>
        </w:tc>
        <w:tc>
          <w:tcPr>
            <w:tcW w:w="1373" w:type="dxa"/>
            <w:shd w:val="clear" w:color="auto" w:fill="00B5E2" w:themeFill="accent1"/>
          </w:tcPr>
          <w:p w14:paraId="3F96F836" w14:textId="77777777" w:rsidR="0007100B" w:rsidRPr="008C26FB" w:rsidRDefault="0007100B" w:rsidP="00161A02">
            <w:pPr>
              <w:tabs>
                <w:tab w:val="clear" w:pos="284"/>
              </w:tabs>
              <w:spacing w:line="240" w:lineRule="auto"/>
              <w:jc w:val="center"/>
              <w:rPr>
                <w:rFonts w:eastAsia="Calibri" w:cs="Times New Roman"/>
                <w:b/>
                <w:color w:val="FFFFFF"/>
                <w:kern w:val="0"/>
                <w:szCs w:val="20"/>
              </w:rPr>
            </w:pPr>
            <w:r w:rsidRPr="008C26FB">
              <w:rPr>
                <w:rFonts w:eastAsia="Calibri" w:cs="Times New Roman"/>
                <w:b/>
                <w:color w:val="FFFFFF"/>
                <w:kern w:val="0"/>
                <w:szCs w:val="20"/>
              </w:rPr>
              <w:t>N Value</w:t>
            </w:r>
          </w:p>
        </w:tc>
        <w:tc>
          <w:tcPr>
            <w:tcW w:w="1207" w:type="dxa"/>
            <w:shd w:val="clear" w:color="auto" w:fill="00B5E2" w:themeFill="accent1"/>
          </w:tcPr>
          <w:p w14:paraId="1DBD14D9" w14:textId="77777777" w:rsidR="0007100B" w:rsidRPr="008C26FB" w:rsidRDefault="0007100B" w:rsidP="00161A02">
            <w:pPr>
              <w:tabs>
                <w:tab w:val="clear" w:pos="284"/>
              </w:tabs>
              <w:spacing w:line="240" w:lineRule="auto"/>
              <w:jc w:val="center"/>
              <w:rPr>
                <w:rFonts w:eastAsia="Calibri" w:cs="Times New Roman"/>
                <w:b/>
                <w:color w:val="FFFFFF"/>
                <w:kern w:val="0"/>
                <w:szCs w:val="20"/>
              </w:rPr>
            </w:pPr>
            <w:r w:rsidRPr="008C26FB">
              <w:rPr>
                <w:rFonts w:eastAsia="Calibri" w:cs="Times New Roman"/>
                <w:b/>
                <w:color w:val="FFFFFF"/>
                <w:kern w:val="0"/>
                <w:szCs w:val="20"/>
              </w:rPr>
              <w:t>Source</w:t>
            </w:r>
          </w:p>
        </w:tc>
        <w:tc>
          <w:tcPr>
            <w:tcW w:w="1207" w:type="dxa"/>
            <w:shd w:val="clear" w:color="auto" w:fill="00B5E2" w:themeFill="accent1"/>
          </w:tcPr>
          <w:p w14:paraId="79D58B84" w14:textId="77777777" w:rsidR="0007100B" w:rsidRPr="008C26FB" w:rsidRDefault="0007100B" w:rsidP="00161A02">
            <w:pPr>
              <w:tabs>
                <w:tab w:val="clear" w:pos="284"/>
              </w:tabs>
              <w:spacing w:line="240" w:lineRule="auto"/>
              <w:jc w:val="center"/>
              <w:rPr>
                <w:rFonts w:eastAsia="Calibri" w:cs="Times New Roman"/>
                <w:b/>
                <w:color w:val="FFFFFF"/>
                <w:kern w:val="0"/>
                <w:szCs w:val="20"/>
              </w:rPr>
            </w:pPr>
            <w:r w:rsidRPr="008C26FB">
              <w:rPr>
                <w:rFonts w:eastAsia="Calibri" w:cs="Times New Roman"/>
                <w:b/>
                <w:color w:val="FFFFFF"/>
                <w:kern w:val="0"/>
                <w:szCs w:val="20"/>
              </w:rPr>
              <w:t>N Value</w:t>
            </w:r>
          </w:p>
        </w:tc>
        <w:tc>
          <w:tcPr>
            <w:tcW w:w="1733" w:type="dxa"/>
            <w:shd w:val="clear" w:color="auto" w:fill="00B5E2" w:themeFill="accent1"/>
          </w:tcPr>
          <w:p w14:paraId="10563A1F" w14:textId="77777777" w:rsidR="0007100B" w:rsidRPr="008C26FB" w:rsidRDefault="0007100B" w:rsidP="00161A02">
            <w:pPr>
              <w:tabs>
                <w:tab w:val="clear" w:pos="284"/>
              </w:tabs>
              <w:spacing w:line="240" w:lineRule="auto"/>
              <w:jc w:val="center"/>
              <w:rPr>
                <w:rFonts w:eastAsia="Calibri" w:cs="Times New Roman"/>
                <w:b/>
                <w:color w:val="FFFFFF"/>
                <w:kern w:val="0"/>
                <w:szCs w:val="20"/>
              </w:rPr>
            </w:pPr>
            <w:r w:rsidRPr="008C26FB">
              <w:rPr>
                <w:rFonts w:eastAsia="Calibri" w:cs="Times New Roman"/>
                <w:b/>
                <w:color w:val="FFFFFF"/>
                <w:kern w:val="0"/>
                <w:szCs w:val="20"/>
              </w:rPr>
              <w:t>Source</w:t>
            </w:r>
          </w:p>
        </w:tc>
      </w:tr>
      <w:tr w:rsidR="0007100B" w:rsidRPr="00161A02" w14:paraId="43669339" w14:textId="77777777" w:rsidTr="00D35234">
        <w:trPr>
          <w:cnfStyle w:val="000000010000" w:firstRow="0" w:lastRow="0" w:firstColumn="0" w:lastColumn="0" w:oddVBand="0" w:evenVBand="0" w:oddHBand="0" w:evenHBand="1" w:firstRowFirstColumn="0" w:firstRowLastColumn="0" w:lastRowFirstColumn="0" w:lastRowLastColumn="0"/>
          <w:jc w:val="center"/>
        </w:trPr>
        <w:tc>
          <w:tcPr>
            <w:tcW w:w="2642" w:type="dxa"/>
          </w:tcPr>
          <w:p w14:paraId="4719DA2D" w14:textId="77777777" w:rsidR="0007100B" w:rsidRPr="00161A02" w:rsidRDefault="0007100B" w:rsidP="00161A02">
            <w:pPr>
              <w:tabs>
                <w:tab w:val="clear" w:pos="284"/>
              </w:tabs>
              <w:spacing w:line="240" w:lineRule="auto"/>
              <w:rPr>
                <w:rFonts w:eastAsia="Calibri" w:cs="Times New Roman"/>
                <w:kern w:val="0"/>
                <w:szCs w:val="20"/>
              </w:rPr>
            </w:pPr>
            <w:r w:rsidRPr="00161A02">
              <w:rPr>
                <w:rFonts w:eastAsia="Calibri" w:cs="Times New Roman"/>
                <w:kern w:val="0"/>
                <w:szCs w:val="20"/>
              </w:rPr>
              <w:t>Open Water</w:t>
            </w:r>
          </w:p>
        </w:tc>
        <w:tc>
          <w:tcPr>
            <w:tcW w:w="1373" w:type="dxa"/>
          </w:tcPr>
          <w:p w14:paraId="45D3C5FE" w14:textId="77777777" w:rsidR="0007100B" w:rsidRPr="00632271" w:rsidRDefault="0007100B" w:rsidP="00B26138">
            <w:pPr>
              <w:keepNext/>
              <w:keepLines/>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0.03</w:t>
            </w:r>
          </w:p>
        </w:tc>
        <w:tc>
          <w:tcPr>
            <w:tcW w:w="1207" w:type="dxa"/>
          </w:tcPr>
          <w:p w14:paraId="685F6C59" w14:textId="5446EC86" w:rsidR="0007100B" w:rsidRPr="00834397" w:rsidRDefault="0007100B" w:rsidP="00161A02">
            <w:pPr>
              <w:keepNext/>
              <w:keepLines/>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Chow</w:t>
            </w:r>
            <w:r w:rsidR="0050705B">
              <w:rPr>
                <w:rFonts w:eastAsia="Calibri" w:cs="Times New Roman"/>
                <w:kern w:val="0"/>
                <w:szCs w:val="20"/>
              </w:rPr>
              <w:t>,</w:t>
            </w:r>
            <w:r w:rsidRPr="00834397">
              <w:rPr>
                <w:rFonts w:eastAsia="Calibri" w:cs="Times New Roman"/>
                <w:kern w:val="0"/>
                <w:szCs w:val="20"/>
              </w:rPr>
              <w:t xml:space="preserve"> 1959</w:t>
            </w:r>
          </w:p>
        </w:tc>
        <w:tc>
          <w:tcPr>
            <w:tcW w:w="1207" w:type="dxa"/>
          </w:tcPr>
          <w:p w14:paraId="2FCC92AF" w14:textId="77777777" w:rsidR="0007100B" w:rsidRPr="00632271" w:rsidRDefault="0007100B" w:rsidP="00161A02">
            <w:pPr>
              <w:keepNext/>
              <w:keepLines/>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0.03</w:t>
            </w:r>
          </w:p>
        </w:tc>
        <w:tc>
          <w:tcPr>
            <w:tcW w:w="1733" w:type="dxa"/>
          </w:tcPr>
          <w:p w14:paraId="5624232F" w14:textId="77777777" w:rsidR="0007100B" w:rsidRPr="00834397" w:rsidRDefault="0007100B" w:rsidP="00161A02">
            <w:pPr>
              <w:keepNext/>
              <w:keepLines/>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Chow 1959</w:t>
            </w:r>
          </w:p>
        </w:tc>
      </w:tr>
      <w:tr w:rsidR="0007100B" w:rsidRPr="00161A02" w14:paraId="52B1502E" w14:textId="77777777" w:rsidTr="00D35234">
        <w:trPr>
          <w:cnfStyle w:val="000000100000" w:firstRow="0" w:lastRow="0" w:firstColumn="0" w:lastColumn="0" w:oddVBand="0" w:evenVBand="0" w:oddHBand="1" w:evenHBand="0" w:firstRowFirstColumn="0" w:firstRowLastColumn="0" w:lastRowFirstColumn="0" w:lastRowLastColumn="0"/>
          <w:trHeight w:val="143"/>
          <w:jc w:val="center"/>
        </w:trPr>
        <w:tc>
          <w:tcPr>
            <w:tcW w:w="2642" w:type="dxa"/>
          </w:tcPr>
          <w:p w14:paraId="512AC0AE" w14:textId="77777777" w:rsidR="0007100B" w:rsidRPr="00161A02" w:rsidRDefault="0007100B" w:rsidP="00161A02">
            <w:pPr>
              <w:tabs>
                <w:tab w:val="clear" w:pos="284"/>
              </w:tabs>
              <w:spacing w:line="240" w:lineRule="auto"/>
              <w:rPr>
                <w:rFonts w:eastAsia="Calibri" w:cs="Times New Roman"/>
                <w:kern w:val="0"/>
                <w:szCs w:val="20"/>
              </w:rPr>
            </w:pPr>
            <w:r w:rsidRPr="00161A02">
              <w:rPr>
                <w:rFonts w:eastAsia="Calibri" w:cs="Times New Roman"/>
                <w:kern w:val="0"/>
                <w:szCs w:val="20"/>
              </w:rPr>
              <w:t>Developed, Open Space</w:t>
            </w:r>
          </w:p>
        </w:tc>
        <w:tc>
          <w:tcPr>
            <w:tcW w:w="1373" w:type="dxa"/>
          </w:tcPr>
          <w:p w14:paraId="702EBE48" w14:textId="77777777" w:rsidR="0007100B" w:rsidRPr="00632271" w:rsidRDefault="0007100B" w:rsidP="00161A02">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0.035</w:t>
            </w:r>
          </w:p>
        </w:tc>
        <w:tc>
          <w:tcPr>
            <w:tcW w:w="1207" w:type="dxa"/>
          </w:tcPr>
          <w:p w14:paraId="4C46BFA6" w14:textId="007B4B64" w:rsidR="0007100B" w:rsidRPr="00834397" w:rsidRDefault="0007100B" w:rsidP="00161A02">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Chow</w:t>
            </w:r>
            <w:r w:rsidR="0050705B">
              <w:rPr>
                <w:rFonts w:eastAsia="Calibri" w:cs="Times New Roman"/>
                <w:kern w:val="0"/>
                <w:szCs w:val="20"/>
              </w:rPr>
              <w:t>,</w:t>
            </w:r>
            <w:r w:rsidRPr="00834397">
              <w:rPr>
                <w:rFonts w:eastAsia="Calibri" w:cs="Times New Roman"/>
                <w:kern w:val="0"/>
                <w:szCs w:val="20"/>
              </w:rPr>
              <w:t xml:space="preserve"> 1959</w:t>
            </w:r>
          </w:p>
        </w:tc>
        <w:tc>
          <w:tcPr>
            <w:tcW w:w="1207" w:type="dxa"/>
          </w:tcPr>
          <w:p w14:paraId="513327EF" w14:textId="77777777" w:rsidR="0007100B" w:rsidRPr="00632271" w:rsidRDefault="0007100B" w:rsidP="00161A02">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0.04</w:t>
            </w:r>
          </w:p>
        </w:tc>
        <w:tc>
          <w:tcPr>
            <w:tcW w:w="1733" w:type="dxa"/>
          </w:tcPr>
          <w:p w14:paraId="328FD37E" w14:textId="627AC948" w:rsidR="0007100B" w:rsidRPr="00834397" w:rsidRDefault="00891E9E" w:rsidP="00161A02">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NRCS</w:t>
            </w:r>
            <w:r w:rsidR="00834397" w:rsidRPr="00834397">
              <w:rPr>
                <w:rFonts w:eastAsia="Calibri" w:cs="Times New Roman"/>
                <w:kern w:val="0"/>
                <w:szCs w:val="20"/>
              </w:rPr>
              <w:t xml:space="preserve"> KS Dam Breach</w:t>
            </w:r>
            <w:r w:rsidR="0050705B">
              <w:rPr>
                <w:rFonts w:eastAsia="Calibri" w:cs="Times New Roman"/>
                <w:kern w:val="0"/>
                <w:szCs w:val="20"/>
              </w:rPr>
              <w:t>, 2016</w:t>
            </w:r>
          </w:p>
        </w:tc>
      </w:tr>
      <w:tr w:rsidR="0007100B" w:rsidRPr="00161A02" w14:paraId="7431EF65" w14:textId="77777777" w:rsidTr="00D35234">
        <w:trPr>
          <w:cnfStyle w:val="000000010000" w:firstRow="0" w:lastRow="0" w:firstColumn="0" w:lastColumn="0" w:oddVBand="0" w:evenVBand="0" w:oddHBand="0" w:evenHBand="1" w:firstRowFirstColumn="0" w:firstRowLastColumn="0" w:lastRowFirstColumn="0" w:lastRowLastColumn="0"/>
          <w:jc w:val="center"/>
        </w:trPr>
        <w:tc>
          <w:tcPr>
            <w:tcW w:w="2642" w:type="dxa"/>
          </w:tcPr>
          <w:p w14:paraId="775DD285" w14:textId="77777777" w:rsidR="0007100B" w:rsidRPr="00161A02" w:rsidRDefault="0007100B" w:rsidP="00161A02">
            <w:pPr>
              <w:tabs>
                <w:tab w:val="clear" w:pos="284"/>
              </w:tabs>
              <w:spacing w:line="240" w:lineRule="auto"/>
              <w:rPr>
                <w:rFonts w:eastAsia="Calibri" w:cs="Times New Roman"/>
                <w:kern w:val="0"/>
                <w:szCs w:val="20"/>
              </w:rPr>
            </w:pPr>
            <w:r w:rsidRPr="00161A02">
              <w:rPr>
                <w:rFonts w:eastAsia="Calibri" w:cs="Times New Roman"/>
                <w:kern w:val="0"/>
                <w:szCs w:val="20"/>
              </w:rPr>
              <w:t>Developed, Low Intensity</w:t>
            </w:r>
          </w:p>
        </w:tc>
        <w:tc>
          <w:tcPr>
            <w:tcW w:w="1373" w:type="dxa"/>
          </w:tcPr>
          <w:p w14:paraId="6562220A" w14:textId="77777777" w:rsidR="0007100B" w:rsidRPr="00632271" w:rsidRDefault="0007100B" w:rsidP="00B26138">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0.035</w:t>
            </w:r>
          </w:p>
        </w:tc>
        <w:tc>
          <w:tcPr>
            <w:tcW w:w="1207" w:type="dxa"/>
          </w:tcPr>
          <w:p w14:paraId="00C0BEDD" w14:textId="14A4AE71" w:rsidR="0007100B" w:rsidRPr="00834397" w:rsidRDefault="00834397" w:rsidP="00161A02">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Chow</w:t>
            </w:r>
            <w:r w:rsidR="0050705B">
              <w:rPr>
                <w:rFonts w:eastAsia="Calibri" w:cs="Times New Roman"/>
                <w:kern w:val="0"/>
                <w:szCs w:val="20"/>
              </w:rPr>
              <w:t>,</w:t>
            </w:r>
            <w:r w:rsidRPr="00834397">
              <w:rPr>
                <w:rFonts w:eastAsia="Calibri" w:cs="Times New Roman"/>
                <w:kern w:val="0"/>
                <w:szCs w:val="20"/>
              </w:rPr>
              <w:t xml:space="preserve"> 1959</w:t>
            </w:r>
          </w:p>
        </w:tc>
        <w:tc>
          <w:tcPr>
            <w:tcW w:w="1207" w:type="dxa"/>
          </w:tcPr>
          <w:p w14:paraId="7D66E6F8" w14:textId="77777777" w:rsidR="0007100B" w:rsidRPr="00632271" w:rsidRDefault="0007100B" w:rsidP="00161A02">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0.08</w:t>
            </w:r>
          </w:p>
        </w:tc>
        <w:tc>
          <w:tcPr>
            <w:tcW w:w="1733" w:type="dxa"/>
          </w:tcPr>
          <w:p w14:paraId="6FB7AB42" w14:textId="607EAE97" w:rsidR="0007100B" w:rsidRPr="00834397" w:rsidRDefault="00834397" w:rsidP="00161A02">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NRCS KS Dam Breach</w:t>
            </w:r>
            <w:r w:rsidR="0050705B">
              <w:rPr>
                <w:rFonts w:eastAsia="Calibri" w:cs="Times New Roman"/>
                <w:kern w:val="0"/>
                <w:szCs w:val="20"/>
              </w:rPr>
              <w:t>, 2016</w:t>
            </w:r>
          </w:p>
        </w:tc>
      </w:tr>
      <w:tr w:rsidR="0007100B" w:rsidRPr="00161A02" w14:paraId="57D4891B" w14:textId="77777777" w:rsidTr="00D35234">
        <w:trPr>
          <w:cnfStyle w:val="000000100000" w:firstRow="0" w:lastRow="0" w:firstColumn="0" w:lastColumn="0" w:oddVBand="0" w:evenVBand="0" w:oddHBand="1" w:evenHBand="0" w:firstRowFirstColumn="0" w:firstRowLastColumn="0" w:lastRowFirstColumn="0" w:lastRowLastColumn="0"/>
          <w:jc w:val="center"/>
        </w:trPr>
        <w:tc>
          <w:tcPr>
            <w:tcW w:w="2642" w:type="dxa"/>
          </w:tcPr>
          <w:p w14:paraId="3AB9EF9A" w14:textId="77777777" w:rsidR="0007100B" w:rsidRPr="00161A02" w:rsidRDefault="0007100B" w:rsidP="00161A02">
            <w:pPr>
              <w:tabs>
                <w:tab w:val="clear" w:pos="284"/>
              </w:tabs>
              <w:spacing w:line="240" w:lineRule="auto"/>
              <w:rPr>
                <w:rFonts w:eastAsia="Calibri" w:cs="Times New Roman"/>
                <w:kern w:val="0"/>
                <w:szCs w:val="20"/>
              </w:rPr>
            </w:pPr>
            <w:r w:rsidRPr="00161A02">
              <w:rPr>
                <w:rFonts w:eastAsia="Calibri" w:cs="Times New Roman"/>
                <w:kern w:val="0"/>
                <w:szCs w:val="20"/>
              </w:rPr>
              <w:t>Developed, Medium Intensity</w:t>
            </w:r>
          </w:p>
        </w:tc>
        <w:tc>
          <w:tcPr>
            <w:tcW w:w="1373" w:type="dxa"/>
          </w:tcPr>
          <w:p w14:paraId="0A29AECE" w14:textId="77777777" w:rsidR="0007100B" w:rsidRPr="00632271" w:rsidRDefault="0007100B" w:rsidP="00161A02">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0.035</w:t>
            </w:r>
          </w:p>
        </w:tc>
        <w:tc>
          <w:tcPr>
            <w:tcW w:w="1207" w:type="dxa"/>
          </w:tcPr>
          <w:p w14:paraId="7C23CFBA" w14:textId="7B56B81E" w:rsidR="0007100B" w:rsidRPr="00834397" w:rsidRDefault="00834397" w:rsidP="00B26138">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Chow</w:t>
            </w:r>
            <w:r w:rsidR="0050705B">
              <w:rPr>
                <w:rFonts w:eastAsia="Calibri" w:cs="Times New Roman"/>
                <w:kern w:val="0"/>
                <w:szCs w:val="20"/>
              </w:rPr>
              <w:t>,</w:t>
            </w:r>
            <w:r w:rsidRPr="00834397">
              <w:rPr>
                <w:rFonts w:eastAsia="Calibri" w:cs="Times New Roman"/>
                <w:kern w:val="0"/>
                <w:szCs w:val="20"/>
              </w:rPr>
              <w:t xml:space="preserve"> 1959</w:t>
            </w:r>
          </w:p>
        </w:tc>
        <w:tc>
          <w:tcPr>
            <w:tcW w:w="1207" w:type="dxa"/>
          </w:tcPr>
          <w:p w14:paraId="04E509EF" w14:textId="77777777" w:rsidR="0007100B" w:rsidRPr="00632271" w:rsidRDefault="0007100B" w:rsidP="00B26138">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0.1</w:t>
            </w:r>
          </w:p>
        </w:tc>
        <w:tc>
          <w:tcPr>
            <w:tcW w:w="1733" w:type="dxa"/>
          </w:tcPr>
          <w:p w14:paraId="61BAD6EF" w14:textId="1D9FA958" w:rsidR="0007100B" w:rsidRPr="00834397" w:rsidRDefault="00834397" w:rsidP="00161A02">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NRCS KS Dam Breach</w:t>
            </w:r>
            <w:r w:rsidR="0050705B">
              <w:rPr>
                <w:rFonts w:eastAsia="Calibri" w:cs="Times New Roman"/>
                <w:kern w:val="0"/>
                <w:szCs w:val="20"/>
              </w:rPr>
              <w:t>, 2016</w:t>
            </w:r>
          </w:p>
        </w:tc>
      </w:tr>
      <w:tr w:rsidR="0007100B" w:rsidRPr="00161A02" w14:paraId="5B0663BA" w14:textId="77777777" w:rsidTr="00D35234">
        <w:trPr>
          <w:cnfStyle w:val="000000010000" w:firstRow="0" w:lastRow="0" w:firstColumn="0" w:lastColumn="0" w:oddVBand="0" w:evenVBand="0" w:oddHBand="0" w:evenHBand="1" w:firstRowFirstColumn="0" w:firstRowLastColumn="0" w:lastRowFirstColumn="0" w:lastRowLastColumn="0"/>
          <w:jc w:val="center"/>
        </w:trPr>
        <w:tc>
          <w:tcPr>
            <w:tcW w:w="2642" w:type="dxa"/>
          </w:tcPr>
          <w:p w14:paraId="0F9CBB6F" w14:textId="77777777" w:rsidR="0007100B" w:rsidRPr="00161A02" w:rsidRDefault="0007100B" w:rsidP="00161A02">
            <w:pPr>
              <w:tabs>
                <w:tab w:val="clear" w:pos="284"/>
              </w:tabs>
              <w:spacing w:line="240" w:lineRule="auto"/>
              <w:rPr>
                <w:rFonts w:eastAsia="Calibri" w:cs="Times New Roman"/>
                <w:kern w:val="0"/>
                <w:szCs w:val="20"/>
              </w:rPr>
            </w:pPr>
            <w:r w:rsidRPr="00161A02">
              <w:rPr>
                <w:rFonts w:eastAsia="Calibri" w:cs="Times New Roman"/>
                <w:kern w:val="0"/>
                <w:szCs w:val="20"/>
              </w:rPr>
              <w:t>Developed, High Intensity</w:t>
            </w:r>
          </w:p>
        </w:tc>
        <w:tc>
          <w:tcPr>
            <w:tcW w:w="1373" w:type="dxa"/>
          </w:tcPr>
          <w:p w14:paraId="0ACF5703" w14:textId="77777777" w:rsidR="0007100B" w:rsidRPr="00632271" w:rsidRDefault="0007100B" w:rsidP="00B26138">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0.035</w:t>
            </w:r>
          </w:p>
        </w:tc>
        <w:tc>
          <w:tcPr>
            <w:tcW w:w="1207" w:type="dxa"/>
          </w:tcPr>
          <w:p w14:paraId="4F49BEB8" w14:textId="74335B7E" w:rsidR="0007100B" w:rsidRPr="00834397" w:rsidRDefault="00834397" w:rsidP="00161A02">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Chow</w:t>
            </w:r>
            <w:r w:rsidR="0050705B">
              <w:rPr>
                <w:rFonts w:eastAsia="Calibri" w:cs="Times New Roman"/>
                <w:kern w:val="0"/>
                <w:szCs w:val="20"/>
              </w:rPr>
              <w:t>,</w:t>
            </w:r>
            <w:r w:rsidRPr="00834397">
              <w:rPr>
                <w:rFonts w:eastAsia="Calibri" w:cs="Times New Roman"/>
                <w:kern w:val="0"/>
                <w:szCs w:val="20"/>
              </w:rPr>
              <w:t xml:space="preserve"> 1959</w:t>
            </w:r>
          </w:p>
        </w:tc>
        <w:tc>
          <w:tcPr>
            <w:tcW w:w="1207" w:type="dxa"/>
          </w:tcPr>
          <w:p w14:paraId="5B266E43" w14:textId="77777777" w:rsidR="0007100B" w:rsidRPr="00632271" w:rsidRDefault="0007100B" w:rsidP="00161A02">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0.15</w:t>
            </w:r>
          </w:p>
        </w:tc>
        <w:tc>
          <w:tcPr>
            <w:tcW w:w="1733" w:type="dxa"/>
          </w:tcPr>
          <w:p w14:paraId="6C60DCE0" w14:textId="47E316E3" w:rsidR="0007100B" w:rsidRPr="00834397" w:rsidRDefault="00834397" w:rsidP="00161A02">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NRCS KS Dam Breach</w:t>
            </w:r>
            <w:r w:rsidR="0050705B">
              <w:rPr>
                <w:rFonts w:eastAsia="Calibri" w:cs="Times New Roman"/>
                <w:kern w:val="0"/>
                <w:szCs w:val="20"/>
              </w:rPr>
              <w:t>, 2016</w:t>
            </w:r>
          </w:p>
        </w:tc>
      </w:tr>
      <w:tr w:rsidR="0007100B" w:rsidRPr="00161A02" w14:paraId="35371C3A" w14:textId="77777777" w:rsidTr="00D35234">
        <w:trPr>
          <w:cnfStyle w:val="000000100000" w:firstRow="0" w:lastRow="0" w:firstColumn="0" w:lastColumn="0" w:oddVBand="0" w:evenVBand="0" w:oddHBand="1" w:evenHBand="0" w:firstRowFirstColumn="0" w:firstRowLastColumn="0" w:lastRowFirstColumn="0" w:lastRowLastColumn="0"/>
          <w:jc w:val="center"/>
        </w:trPr>
        <w:tc>
          <w:tcPr>
            <w:tcW w:w="2642" w:type="dxa"/>
          </w:tcPr>
          <w:p w14:paraId="1F2CB535" w14:textId="77777777" w:rsidR="0007100B" w:rsidRPr="00161A02" w:rsidRDefault="0007100B" w:rsidP="00161A02">
            <w:pPr>
              <w:tabs>
                <w:tab w:val="clear" w:pos="284"/>
              </w:tabs>
              <w:spacing w:line="240" w:lineRule="auto"/>
              <w:rPr>
                <w:rFonts w:eastAsia="Calibri" w:cs="Times New Roman"/>
                <w:kern w:val="0"/>
                <w:szCs w:val="20"/>
              </w:rPr>
            </w:pPr>
            <w:r w:rsidRPr="00161A02">
              <w:rPr>
                <w:rFonts w:eastAsia="Calibri" w:cs="Times New Roman"/>
                <w:kern w:val="0"/>
                <w:szCs w:val="20"/>
              </w:rPr>
              <w:t>Barren Land</w:t>
            </w:r>
          </w:p>
        </w:tc>
        <w:tc>
          <w:tcPr>
            <w:tcW w:w="1373" w:type="dxa"/>
          </w:tcPr>
          <w:p w14:paraId="1130758B" w14:textId="77777777" w:rsidR="0007100B" w:rsidRPr="00632271" w:rsidRDefault="0007100B" w:rsidP="00161A02">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0.03</w:t>
            </w:r>
          </w:p>
        </w:tc>
        <w:tc>
          <w:tcPr>
            <w:tcW w:w="1207" w:type="dxa"/>
          </w:tcPr>
          <w:p w14:paraId="0B1A0D52" w14:textId="65FEC31E" w:rsidR="0007100B" w:rsidRPr="00834397" w:rsidRDefault="00834397" w:rsidP="00161A02">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Chow</w:t>
            </w:r>
            <w:r w:rsidR="0050705B">
              <w:rPr>
                <w:rFonts w:eastAsia="Calibri" w:cs="Times New Roman"/>
                <w:kern w:val="0"/>
                <w:szCs w:val="20"/>
              </w:rPr>
              <w:t>,</w:t>
            </w:r>
            <w:r w:rsidRPr="00834397">
              <w:rPr>
                <w:rFonts w:eastAsia="Calibri" w:cs="Times New Roman"/>
                <w:kern w:val="0"/>
                <w:szCs w:val="20"/>
              </w:rPr>
              <w:t xml:space="preserve"> 1959</w:t>
            </w:r>
          </w:p>
        </w:tc>
        <w:tc>
          <w:tcPr>
            <w:tcW w:w="1207" w:type="dxa"/>
          </w:tcPr>
          <w:p w14:paraId="017DC2A2" w14:textId="77777777" w:rsidR="0007100B" w:rsidRPr="00632271" w:rsidRDefault="0007100B" w:rsidP="00161A02">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0.03</w:t>
            </w:r>
          </w:p>
        </w:tc>
        <w:tc>
          <w:tcPr>
            <w:tcW w:w="1733" w:type="dxa"/>
          </w:tcPr>
          <w:p w14:paraId="50A06B09" w14:textId="208371AA" w:rsidR="0007100B" w:rsidRPr="00834397" w:rsidRDefault="00834397" w:rsidP="00161A02">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NRCS KS Dam Breach</w:t>
            </w:r>
            <w:r w:rsidR="0050705B">
              <w:rPr>
                <w:rFonts w:eastAsia="Calibri" w:cs="Times New Roman"/>
                <w:kern w:val="0"/>
                <w:szCs w:val="20"/>
              </w:rPr>
              <w:t>, 2016</w:t>
            </w:r>
          </w:p>
        </w:tc>
      </w:tr>
      <w:tr w:rsidR="0007100B" w:rsidRPr="00161A02" w14:paraId="0285DE85" w14:textId="77777777" w:rsidTr="00D35234">
        <w:trPr>
          <w:cnfStyle w:val="000000010000" w:firstRow="0" w:lastRow="0" w:firstColumn="0" w:lastColumn="0" w:oddVBand="0" w:evenVBand="0" w:oddHBand="0" w:evenHBand="1" w:firstRowFirstColumn="0" w:firstRowLastColumn="0" w:lastRowFirstColumn="0" w:lastRowLastColumn="0"/>
          <w:jc w:val="center"/>
        </w:trPr>
        <w:tc>
          <w:tcPr>
            <w:tcW w:w="2642" w:type="dxa"/>
          </w:tcPr>
          <w:p w14:paraId="1E42A7DA" w14:textId="77777777" w:rsidR="0007100B" w:rsidRPr="00161A02" w:rsidRDefault="0007100B" w:rsidP="00161A02">
            <w:pPr>
              <w:tabs>
                <w:tab w:val="clear" w:pos="284"/>
              </w:tabs>
              <w:spacing w:line="240" w:lineRule="auto"/>
              <w:rPr>
                <w:rFonts w:eastAsia="Calibri" w:cs="Times New Roman"/>
                <w:kern w:val="0"/>
                <w:szCs w:val="20"/>
              </w:rPr>
            </w:pPr>
            <w:r w:rsidRPr="00161A02">
              <w:rPr>
                <w:rFonts w:eastAsia="Calibri" w:cs="Times New Roman"/>
                <w:kern w:val="0"/>
                <w:szCs w:val="20"/>
              </w:rPr>
              <w:t>Deciduous Forest</w:t>
            </w:r>
          </w:p>
        </w:tc>
        <w:tc>
          <w:tcPr>
            <w:tcW w:w="1373" w:type="dxa"/>
          </w:tcPr>
          <w:p w14:paraId="7E2E144F" w14:textId="77777777" w:rsidR="0007100B" w:rsidRPr="00632271" w:rsidRDefault="0007100B" w:rsidP="00B26138">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0.05</w:t>
            </w:r>
          </w:p>
        </w:tc>
        <w:tc>
          <w:tcPr>
            <w:tcW w:w="1207" w:type="dxa"/>
          </w:tcPr>
          <w:p w14:paraId="48CE0ACB" w14:textId="452F1A05" w:rsidR="0007100B" w:rsidRPr="00834397" w:rsidRDefault="00834397" w:rsidP="00161A02">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Chow</w:t>
            </w:r>
            <w:r w:rsidR="0050705B">
              <w:rPr>
                <w:rFonts w:eastAsia="Calibri" w:cs="Times New Roman"/>
                <w:kern w:val="0"/>
                <w:szCs w:val="20"/>
              </w:rPr>
              <w:t>,</w:t>
            </w:r>
            <w:r w:rsidRPr="00834397">
              <w:rPr>
                <w:rFonts w:eastAsia="Calibri" w:cs="Times New Roman"/>
                <w:kern w:val="0"/>
                <w:szCs w:val="20"/>
              </w:rPr>
              <w:t xml:space="preserve"> 1959</w:t>
            </w:r>
          </w:p>
        </w:tc>
        <w:tc>
          <w:tcPr>
            <w:tcW w:w="1207" w:type="dxa"/>
          </w:tcPr>
          <w:p w14:paraId="2380DD66" w14:textId="77777777" w:rsidR="0007100B" w:rsidRPr="00632271" w:rsidRDefault="0007100B" w:rsidP="00161A02">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0.16</w:t>
            </w:r>
          </w:p>
        </w:tc>
        <w:tc>
          <w:tcPr>
            <w:tcW w:w="1733" w:type="dxa"/>
          </w:tcPr>
          <w:p w14:paraId="21BA48C1" w14:textId="0E2C68DD" w:rsidR="0007100B" w:rsidRPr="00834397" w:rsidRDefault="00834397" w:rsidP="00161A02">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NRCS KS Dam Breach</w:t>
            </w:r>
            <w:r w:rsidR="0050705B">
              <w:rPr>
                <w:rFonts w:eastAsia="Calibri" w:cs="Times New Roman"/>
                <w:kern w:val="0"/>
                <w:szCs w:val="20"/>
              </w:rPr>
              <w:t>, 2016</w:t>
            </w:r>
          </w:p>
        </w:tc>
      </w:tr>
      <w:tr w:rsidR="0007100B" w:rsidRPr="00161A02" w14:paraId="35D31381" w14:textId="77777777" w:rsidTr="00D35234">
        <w:trPr>
          <w:cnfStyle w:val="000000100000" w:firstRow="0" w:lastRow="0" w:firstColumn="0" w:lastColumn="0" w:oddVBand="0" w:evenVBand="0" w:oddHBand="1" w:evenHBand="0" w:firstRowFirstColumn="0" w:firstRowLastColumn="0" w:lastRowFirstColumn="0" w:lastRowLastColumn="0"/>
          <w:jc w:val="center"/>
        </w:trPr>
        <w:tc>
          <w:tcPr>
            <w:tcW w:w="2642" w:type="dxa"/>
          </w:tcPr>
          <w:p w14:paraId="64B655F4" w14:textId="77777777" w:rsidR="0007100B" w:rsidRPr="00161A02" w:rsidRDefault="0007100B" w:rsidP="00161A02">
            <w:pPr>
              <w:tabs>
                <w:tab w:val="clear" w:pos="284"/>
              </w:tabs>
              <w:spacing w:line="240" w:lineRule="auto"/>
              <w:rPr>
                <w:rFonts w:eastAsia="Calibri" w:cs="Times New Roman"/>
                <w:kern w:val="0"/>
                <w:szCs w:val="20"/>
              </w:rPr>
            </w:pPr>
            <w:r w:rsidRPr="00161A02">
              <w:rPr>
                <w:rFonts w:eastAsia="Calibri" w:cs="Times New Roman"/>
                <w:kern w:val="0"/>
                <w:szCs w:val="20"/>
              </w:rPr>
              <w:t>Evergreen Forest</w:t>
            </w:r>
          </w:p>
        </w:tc>
        <w:tc>
          <w:tcPr>
            <w:tcW w:w="1373" w:type="dxa"/>
          </w:tcPr>
          <w:p w14:paraId="420C4FFA" w14:textId="77777777" w:rsidR="0007100B" w:rsidRPr="00632271" w:rsidRDefault="0007100B" w:rsidP="00161A02">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0.05</w:t>
            </w:r>
          </w:p>
        </w:tc>
        <w:tc>
          <w:tcPr>
            <w:tcW w:w="1207" w:type="dxa"/>
          </w:tcPr>
          <w:p w14:paraId="6D650E99" w14:textId="5740144F" w:rsidR="0007100B" w:rsidRPr="00834397" w:rsidRDefault="00834397" w:rsidP="00161A02">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Chow</w:t>
            </w:r>
            <w:r w:rsidR="0050705B">
              <w:rPr>
                <w:rFonts w:eastAsia="Calibri" w:cs="Times New Roman"/>
                <w:kern w:val="0"/>
                <w:szCs w:val="20"/>
              </w:rPr>
              <w:t>,</w:t>
            </w:r>
            <w:r w:rsidRPr="00834397">
              <w:rPr>
                <w:rFonts w:eastAsia="Calibri" w:cs="Times New Roman"/>
                <w:kern w:val="0"/>
                <w:szCs w:val="20"/>
              </w:rPr>
              <w:t xml:space="preserve"> 1959</w:t>
            </w:r>
          </w:p>
        </w:tc>
        <w:tc>
          <w:tcPr>
            <w:tcW w:w="1207" w:type="dxa"/>
          </w:tcPr>
          <w:p w14:paraId="58EDE92F" w14:textId="77777777" w:rsidR="0007100B" w:rsidRPr="00632271" w:rsidRDefault="0007100B" w:rsidP="00161A02">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0.16</w:t>
            </w:r>
          </w:p>
        </w:tc>
        <w:tc>
          <w:tcPr>
            <w:tcW w:w="1733" w:type="dxa"/>
          </w:tcPr>
          <w:p w14:paraId="3A17959A" w14:textId="2C3F698F" w:rsidR="0007100B" w:rsidRPr="00834397" w:rsidRDefault="00834397" w:rsidP="00161A02">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NRCS KS Dam Breach</w:t>
            </w:r>
            <w:r w:rsidR="0050705B">
              <w:rPr>
                <w:rFonts w:eastAsia="Calibri" w:cs="Times New Roman"/>
                <w:kern w:val="0"/>
                <w:szCs w:val="20"/>
              </w:rPr>
              <w:t>, 2016</w:t>
            </w:r>
          </w:p>
        </w:tc>
      </w:tr>
      <w:tr w:rsidR="0007100B" w:rsidRPr="00161A02" w14:paraId="116D8BE8" w14:textId="77777777" w:rsidTr="00D35234">
        <w:trPr>
          <w:cnfStyle w:val="000000010000" w:firstRow="0" w:lastRow="0" w:firstColumn="0" w:lastColumn="0" w:oddVBand="0" w:evenVBand="0" w:oddHBand="0" w:evenHBand="1" w:firstRowFirstColumn="0" w:firstRowLastColumn="0" w:lastRowFirstColumn="0" w:lastRowLastColumn="0"/>
          <w:jc w:val="center"/>
        </w:trPr>
        <w:tc>
          <w:tcPr>
            <w:tcW w:w="2642" w:type="dxa"/>
          </w:tcPr>
          <w:p w14:paraId="7DA01E8A" w14:textId="77777777" w:rsidR="0007100B" w:rsidRPr="00161A02" w:rsidRDefault="0007100B" w:rsidP="00161A02">
            <w:pPr>
              <w:tabs>
                <w:tab w:val="clear" w:pos="284"/>
              </w:tabs>
              <w:spacing w:line="240" w:lineRule="auto"/>
              <w:rPr>
                <w:rFonts w:eastAsia="Calibri" w:cs="Times New Roman"/>
                <w:kern w:val="0"/>
                <w:szCs w:val="20"/>
              </w:rPr>
            </w:pPr>
            <w:r w:rsidRPr="00161A02">
              <w:rPr>
                <w:rFonts w:eastAsia="Calibri" w:cs="Times New Roman"/>
                <w:kern w:val="0"/>
                <w:szCs w:val="20"/>
              </w:rPr>
              <w:t>Mixed Forest</w:t>
            </w:r>
          </w:p>
        </w:tc>
        <w:tc>
          <w:tcPr>
            <w:tcW w:w="1373" w:type="dxa"/>
          </w:tcPr>
          <w:p w14:paraId="02C09CCE" w14:textId="77777777" w:rsidR="0007100B" w:rsidRPr="00632271" w:rsidRDefault="0007100B" w:rsidP="00161A02">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0.05</w:t>
            </w:r>
          </w:p>
        </w:tc>
        <w:tc>
          <w:tcPr>
            <w:tcW w:w="1207" w:type="dxa"/>
          </w:tcPr>
          <w:p w14:paraId="324C4A4D" w14:textId="289E98D2" w:rsidR="0007100B" w:rsidRPr="00834397" w:rsidRDefault="00834397" w:rsidP="00161A02">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Chow</w:t>
            </w:r>
            <w:r w:rsidR="0050705B">
              <w:rPr>
                <w:rFonts w:eastAsia="Calibri" w:cs="Times New Roman"/>
                <w:kern w:val="0"/>
                <w:szCs w:val="20"/>
              </w:rPr>
              <w:t>,</w:t>
            </w:r>
            <w:r w:rsidRPr="00834397">
              <w:rPr>
                <w:rFonts w:eastAsia="Calibri" w:cs="Times New Roman"/>
                <w:kern w:val="0"/>
                <w:szCs w:val="20"/>
              </w:rPr>
              <w:t xml:space="preserve"> 1959</w:t>
            </w:r>
          </w:p>
        </w:tc>
        <w:tc>
          <w:tcPr>
            <w:tcW w:w="1207" w:type="dxa"/>
          </w:tcPr>
          <w:p w14:paraId="33CB400C" w14:textId="77777777" w:rsidR="0007100B" w:rsidRPr="00632271" w:rsidRDefault="0007100B" w:rsidP="00161A02">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0.15</w:t>
            </w:r>
          </w:p>
        </w:tc>
        <w:tc>
          <w:tcPr>
            <w:tcW w:w="1733" w:type="dxa"/>
          </w:tcPr>
          <w:p w14:paraId="1764CF33" w14:textId="146B9F49" w:rsidR="0007100B" w:rsidRPr="00834397" w:rsidRDefault="00834397" w:rsidP="00161A02">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NRCS KS Dam Breach</w:t>
            </w:r>
            <w:r w:rsidR="0050705B">
              <w:rPr>
                <w:rFonts w:eastAsia="Calibri" w:cs="Times New Roman"/>
                <w:kern w:val="0"/>
                <w:szCs w:val="20"/>
              </w:rPr>
              <w:t>, 2016</w:t>
            </w:r>
          </w:p>
        </w:tc>
      </w:tr>
      <w:tr w:rsidR="0007100B" w:rsidRPr="00161A02" w14:paraId="28F46D33" w14:textId="77777777" w:rsidTr="00D35234">
        <w:trPr>
          <w:cnfStyle w:val="000000100000" w:firstRow="0" w:lastRow="0" w:firstColumn="0" w:lastColumn="0" w:oddVBand="0" w:evenVBand="0" w:oddHBand="1" w:evenHBand="0" w:firstRowFirstColumn="0" w:firstRowLastColumn="0" w:lastRowFirstColumn="0" w:lastRowLastColumn="0"/>
          <w:jc w:val="center"/>
        </w:trPr>
        <w:tc>
          <w:tcPr>
            <w:tcW w:w="2642" w:type="dxa"/>
          </w:tcPr>
          <w:p w14:paraId="329CF57C" w14:textId="77777777" w:rsidR="0007100B" w:rsidRPr="00161A02" w:rsidRDefault="0007100B" w:rsidP="00161A02">
            <w:pPr>
              <w:tabs>
                <w:tab w:val="clear" w:pos="284"/>
              </w:tabs>
              <w:spacing w:line="240" w:lineRule="auto"/>
              <w:rPr>
                <w:rFonts w:eastAsia="Calibri" w:cs="Times New Roman"/>
                <w:kern w:val="0"/>
                <w:szCs w:val="20"/>
              </w:rPr>
            </w:pPr>
            <w:r w:rsidRPr="00161A02">
              <w:rPr>
                <w:rFonts w:eastAsia="Calibri" w:cs="Times New Roman"/>
                <w:kern w:val="0"/>
                <w:szCs w:val="20"/>
              </w:rPr>
              <w:t>Scrub/Shrub</w:t>
            </w:r>
          </w:p>
        </w:tc>
        <w:tc>
          <w:tcPr>
            <w:tcW w:w="1373" w:type="dxa"/>
          </w:tcPr>
          <w:p w14:paraId="4A826459" w14:textId="77777777" w:rsidR="0007100B" w:rsidRPr="00632271" w:rsidRDefault="0007100B" w:rsidP="00161A02">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0.04</w:t>
            </w:r>
          </w:p>
        </w:tc>
        <w:tc>
          <w:tcPr>
            <w:tcW w:w="1207" w:type="dxa"/>
          </w:tcPr>
          <w:p w14:paraId="07507D0F" w14:textId="60CE4675" w:rsidR="0007100B" w:rsidRPr="00834397" w:rsidRDefault="00834397" w:rsidP="00161A02">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Chow</w:t>
            </w:r>
            <w:r w:rsidR="0050705B">
              <w:rPr>
                <w:rFonts w:eastAsia="Calibri" w:cs="Times New Roman"/>
                <w:kern w:val="0"/>
                <w:szCs w:val="20"/>
              </w:rPr>
              <w:t>,</w:t>
            </w:r>
            <w:r w:rsidRPr="00834397">
              <w:rPr>
                <w:rFonts w:eastAsia="Calibri" w:cs="Times New Roman"/>
                <w:kern w:val="0"/>
                <w:szCs w:val="20"/>
              </w:rPr>
              <w:t xml:space="preserve"> 1959</w:t>
            </w:r>
          </w:p>
        </w:tc>
        <w:tc>
          <w:tcPr>
            <w:tcW w:w="1207" w:type="dxa"/>
          </w:tcPr>
          <w:p w14:paraId="35DA49F1" w14:textId="77777777" w:rsidR="0007100B" w:rsidRPr="00632271" w:rsidRDefault="0007100B" w:rsidP="00161A02">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0.1</w:t>
            </w:r>
          </w:p>
        </w:tc>
        <w:tc>
          <w:tcPr>
            <w:tcW w:w="1733" w:type="dxa"/>
          </w:tcPr>
          <w:p w14:paraId="125383D0" w14:textId="5E88B33A" w:rsidR="0007100B" w:rsidRPr="00834397" w:rsidRDefault="00834397" w:rsidP="00161A02">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NRCS KS Dam Breach</w:t>
            </w:r>
            <w:r w:rsidR="0050705B">
              <w:rPr>
                <w:rFonts w:eastAsia="Calibri" w:cs="Times New Roman"/>
                <w:kern w:val="0"/>
                <w:szCs w:val="20"/>
              </w:rPr>
              <w:t>, 2016</w:t>
            </w:r>
          </w:p>
        </w:tc>
      </w:tr>
      <w:tr w:rsidR="007A12B7" w:rsidRPr="00161A02" w14:paraId="5E9E5070" w14:textId="77777777" w:rsidTr="00D35234">
        <w:trPr>
          <w:cnfStyle w:val="000000010000" w:firstRow="0" w:lastRow="0" w:firstColumn="0" w:lastColumn="0" w:oddVBand="0" w:evenVBand="0" w:oddHBand="0" w:evenHBand="1" w:firstRowFirstColumn="0" w:firstRowLastColumn="0" w:lastRowFirstColumn="0" w:lastRowLastColumn="0"/>
          <w:jc w:val="center"/>
        </w:trPr>
        <w:tc>
          <w:tcPr>
            <w:tcW w:w="2642" w:type="dxa"/>
          </w:tcPr>
          <w:p w14:paraId="0F2B32EA" w14:textId="77777777" w:rsidR="007A12B7" w:rsidRPr="00161A02" w:rsidRDefault="007A12B7" w:rsidP="00A63C3B">
            <w:pPr>
              <w:tabs>
                <w:tab w:val="clear" w:pos="284"/>
              </w:tabs>
              <w:spacing w:line="240" w:lineRule="auto"/>
              <w:rPr>
                <w:rFonts w:eastAsia="Calibri" w:cs="Times New Roman"/>
                <w:kern w:val="0"/>
                <w:szCs w:val="20"/>
              </w:rPr>
            </w:pPr>
            <w:r w:rsidRPr="00161A02">
              <w:rPr>
                <w:rFonts w:eastAsia="Calibri" w:cs="Times New Roman"/>
                <w:kern w:val="0"/>
                <w:szCs w:val="20"/>
              </w:rPr>
              <w:t>Grassland/Herbaceous</w:t>
            </w:r>
          </w:p>
        </w:tc>
        <w:tc>
          <w:tcPr>
            <w:tcW w:w="1373" w:type="dxa"/>
          </w:tcPr>
          <w:p w14:paraId="074CFD66" w14:textId="77777777" w:rsidR="007A12B7" w:rsidRPr="00632271" w:rsidRDefault="007A12B7" w:rsidP="00A63C3B">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0.04</w:t>
            </w:r>
          </w:p>
        </w:tc>
        <w:tc>
          <w:tcPr>
            <w:tcW w:w="1207" w:type="dxa"/>
          </w:tcPr>
          <w:p w14:paraId="2FA1E2FC" w14:textId="77777777" w:rsidR="007A12B7" w:rsidRPr="00834397" w:rsidRDefault="007A12B7" w:rsidP="00A63C3B">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Chow</w:t>
            </w:r>
            <w:r>
              <w:rPr>
                <w:rFonts w:eastAsia="Calibri" w:cs="Times New Roman"/>
                <w:kern w:val="0"/>
                <w:szCs w:val="20"/>
              </w:rPr>
              <w:t>,</w:t>
            </w:r>
            <w:r w:rsidRPr="00834397">
              <w:rPr>
                <w:rFonts w:eastAsia="Calibri" w:cs="Times New Roman"/>
                <w:kern w:val="0"/>
                <w:szCs w:val="20"/>
              </w:rPr>
              <w:t xml:space="preserve"> 1959</w:t>
            </w:r>
          </w:p>
        </w:tc>
        <w:tc>
          <w:tcPr>
            <w:tcW w:w="1207" w:type="dxa"/>
          </w:tcPr>
          <w:p w14:paraId="708DA879" w14:textId="77777777" w:rsidR="007A12B7" w:rsidRPr="00632271" w:rsidRDefault="007A12B7" w:rsidP="00A63C3B">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0.15</w:t>
            </w:r>
          </w:p>
        </w:tc>
        <w:tc>
          <w:tcPr>
            <w:tcW w:w="1733" w:type="dxa"/>
          </w:tcPr>
          <w:p w14:paraId="05851C60" w14:textId="77777777" w:rsidR="007A12B7" w:rsidRPr="00834397" w:rsidRDefault="007A12B7" w:rsidP="00A63C3B">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HCFCD modeling Guidelines</w:t>
            </w:r>
            <w:r>
              <w:rPr>
                <w:rFonts w:eastAsia="Calibri" w:cs="Times New Roman"/>
                <w:kern w:val="0"/>
                <w:szCs w:val="20"/>
              </w:rPr>
              <w:t>, 2018</w:t>
            </w:r>
          </w:p>
        </w:tc>
      </w:tr>
    </w:tbl>
    <w:p w14:paraId="656C24D7" w14:textId="77777777" w:rsidR="00475735" w:rsidRDefault="00475735" w:rsidP="00475735">
      <w:pPr>
        <w:pStyle w:val="Caption"/>
        <w:jc w:val="center"/>
      </w:pPr>
      <w:r>
        <w:lastRenderedPageBreak/>
        <w:t xml:space="preserve">Table 7, continued: </w:t>
      </w:r>
      <w:r w:rsidRPr="0030276A">
        <w:t>NLCD 201</w:t>
      </w:r>
      <w:r>
        <w:t>9</w:t>
      </w:r>
      <w:r w:rsidRPr="0030276A">
        <w:t xml:space="preserve"> Manning's </w:t>
      </w:r>
      <w:r>
        <w:t>n</w:t>
      </w:r>
      <w:r w:rsidRPr="0030276A">
        <w:t xml:space="preserve"> Roughness Matrix</w:t>
      </w:r>
    </w:p>
    <w:tbl>
      <w:tblPr>
        <w:tblStyle w:val="CompassTable"/>
        <w:tblW w:w="8162" w:type="dxa"/>
        <w:jc w:val="center"/>
        <w:tblLook w:val="04A0" w:firstRow="1" w:lastRow="0" w:firstColumn="1" w:lastColumn="0" w:noHBand="0" w:noVBand="1"/>
      </w:tblPr>
      <w:tblGrid>
        <w:gridCol w:w="2642"/>
        <w:gridCol w:w="1373"/>
        <w:gridCol w:w="1207"/>
        <w:gridCol w:w="1207"/>
        <w:gridCol w:w="1733"/>
      </w:tblGrid>
      <w:tr w:rsidR="00475735" w:rsidRPr="00161A02" w14:paraId="162333A8" w14:textId="77777777" w:rsidTr="009D1625">
        <w:trPr>
          <w:cnfStyle w:val="100000000000" w:firstRow="1" w:lastRow="0" w:firstColumn="0" w:lastColumn="0" w:oddVBand="0" w:evenVBand="0" w:oddHBand="0" w:evenHBand="0" w:firstRowFirstColumn="0" w:firstRowLastColumn="0" w:lastRowFirstColumn="0" w:lastRowLastColumn="0"/>
          <w:trHeight w:val="431"/>
          <w:jc w:val="center"/>
        </w:trPr>
        <w:tc>
          <w:tcPr>
            <w:tcW w:w="2642" w:type="dxa"/>
            <w:vMerge w:val="restart"/>
            <w:shd w:val="clear" w:color="auto" w:fill="00B5E2" w:themeFill="accent1"/>
          </w:tcPr>
          <w:p w14:paraId="5054513F" w14:textId="77777777" w:rsidR="00475735" w:rsidRPr="00161A02" w:rsidRDefault="00475735" w:rsidP="009D1625">
            <w:pPr>
              <w:tabs>
                <w:tab w:val="clear" w:pos="284"/>
              </w:tabs>
              <w:spacing w:line="240" w:lineRule="auto"/>
              <w:jc w:val="center"/>
              <w:rPr>
                <w:rFonts w:eastAsia="Calibri" w:cs="Times New Roman"/>
                <w:kern w:val="0"/>
                <w:sz w:val="20"/>
                <w:szCs w:val="20"/>
              </w:rPr>
            </w:pPr>
            <w:r w:rsidRPr="00161A02">
              <w:rPr>
                <w:rFonts w:eastAsia="Calibri" w:cs="Times New Roman"/>
                <w:kern w:val="0"/>
                <w:sz w:val="20"/>
                <w:szCs w:val="20"/>
              </w:rPr>
              <w:t>NLCD Classification</w:t>
            </w:r>
          </w:p>
        </w:tc>
        <w:tc>
          <w:tcPr>
            <w:tcW w:w="2580" w:type="dxa"/>
            <w:gridSpan w:val="2"/>
            <w:shd w:val="clear" w:color="auto" w:fill="00B5E2" w:themeFill="accent1"/>
          </w:tcPr>
          <w:p w14:paraId="4DBDC43D" w14:textId="77777777" w:rsidR="00475735" w:rsidRDefault="00475735" w:rsidP="009D1625">
            <w:pPr>
              <w:tabs>
                <w:tab w:val="clear" w:pos="284"/>
              </w:tabs>
              <w:spacing w:line="240" w:lineRule="auto"/>
              <w:jc w:val="center"/>
              <w:rPr>
                <w:rFonts w:eastAsia="Calibri" w:cs="Times New Roman"/>
                <w:kern w:val="0"/>
                <w:sz w:val="20"/>
                <w:szCs w:val="20"/>
              </w:rPr>
            </w:pPr>
            <w:r>
              <w:rPr>
                <w:rFonts w:eastAsia="Calibri" w:cs="Times New Roman"/>
                <w:kern w:val="0"/>
                <w:sz w:val="20"/>
                <w:szCs w:val="20"/>
              </w:rPr>
              <w:t>Channel</w:t>
            </w:r>
          </w:p>
        </w:tc>
        <w:tc>
          <w:tcPr>
            <w:tcW w:w="2940" w:type="dxa"/>
            <w:gridSpan w:val="2"/>
            <w:shd w:val="clear" w:color="auto" w:fill="00B5E2" w:themeFill="accent1"/>
          </w:tcPr>
          <w:p w14:paraId="041E36A6" w14:textId="77777777" w:rsidR="00475735" w:rsidRPr="00161A02" w:rsidRDefault="00475735" w:rsidP="009D1625">
            <w:pPr>
              <w:tabs>
                <w:tab w:val="clear" w:pos="284"/>
              </w:tabs>
              <w:spacing w:line="240" w:lineRule="auto"/>
              <w:jc w:val="center"/>
              <w:rPr>
                <w:rFonts w:eastAsia="Calibri" w:cs="Times New Roman"/>
                <w:kern w:val="0"/>
                <w:sz w:val="20"/>
                <w:szCs w:val="20"/>
              </w:rPr>
            </w:pPr>
            <w:r>
              <w:rPr>
                <w:rFonts w:eastAsia="Calibri" w:cs="Times New Roman"/>
                <w:kern w:val="0"/>
                <w:sz w:val="20"/>
                <w:szCs w:val="20"/>
              </w:rPr>
              <w:t>Overbank</w:t>
            </w:r>
          </w:p>
        </w:tc>
      </w:tr>
      <w:tr w:rsidR="00475735" w:rsidRPr="00161A02" w14:paraId="2FA428A4" w14:textId="77777777" w:rsidTr="009D1625">
        <w:trPr>
          <w:cnfStyle w:val="000000100000" w:firstRow="0" w:lastRow="0" w:firstColumn="0" w:lastColumn="0" w:oddVBand="0" w:evenVBand="0" w:oddHBand="1" w:evenHBand="0" w:firstRowFirstColumn="0" w:firstRowLastColumn="0" w:lastRowFirstColumn="0" w:lastRowLastColumn="0"/>
          <w:trHeight w:val="431"/>
          <w:jc w:val="center"/>
        </w:trPr>
        <w:tc>
          <w:tcPr>
            <w:tcW w:w="2642" w:type="dxa"/>
            <w:vMerge/>
            <w:shd w:val="clear" w:color="auto" w:fill="00B5E2" w:themeFill="accent1"/>
          </w:tcPr>
          <w:p w14:paraId="5F817418" w14:textId="77777777" w:rsidR="00475735" w:rsidRPr="00161A02" w:rsidRDefault="00475735" w:rsidP="009D1625">
            <w:pPr>
              <w:tabs>
                <w:tab w:val="clear" w:pos="284"/>
              </w:tabs>
              <w:spacing w:line="240" w:lineRule="auto"/>
              <w:jc w:val="center"/>
              <w:rPr>
                <w:rFonts w:eastAsia="Calibri" w:cs="Times New Roman"/>
                <w:kern w:val="0"/>
                <w:szCs w:val="20"/>
              </w:rPr>
            </w:pPr>
          </w:p>
        </w:tc>
        <w:tc>
          <w:tcPr>
            <w:tcW w:w="1373" w:type="dxa"/>
            <w:shd w:val="clear" w:color="auto" w:fill="00B5E2" w:themeFill="accent1"/>
          </w:tcPr>
          <w:p w14:paraId="044FA22D" w14:textId="77777777" w:rsidR="00475735" w:rsidRPr="008C26FB" w:rsidRDefault="00475735" w:rsidP="009D1625">
            <w:pPr>
              <w:tabs>
                <w:tab w:val="clear" w:pos="284"/>
              </w:tabs>
              <w:spacing w:line="240" w:lineRule="auto"/>
              <w:jc w:val="center"/>
              <w:rPr>
                <w:rFonts w:eastAsia="Calibri" w:cs="Times New Roman"/>
                <w:b/>
                <w:color w:val="FFFFFF"/>
                <w:kern w:val="0"/>
                <w:szCs w:val="20"/>
              </w:rPr>
            </w:pPr>
            <w:r w:rsidRPr="008C26FB">
              <w:rPr>
                <w:rFonts w:eastAsia="Calibri" w:cs="Times New Roman"/>
                <w:b/>
                <w:color w:val="FFFFFF"/>
                <w:kern w:val="0"/>
                <w:szCs w:val="20"/>
              </w:rPr>
              <w:t>N Value</w:t>
            </w:r>
          </w:p>
        </w:tc>
        <w:tc>
          <w:tcPr>
            <w:tcW w:w="1207" w:type="dxa"/>
            <w:shd w:val="clear" w:color="auto" w:fill="00B5E2" w:themeFill="accent1"/>
          </w:tcPr>
          <w:p w14:paraId="7E0D4992" w14:textId="77777777" w:rsidR="00475735" w:rsidRPr="008C26FB" w:rsidRDefault="00475735" w:rsidP="009D1625">
            <w:pPr>
              <w:tabs>
                <w:tab w:val="clear" w:pos="284"/>
              </w:tabs>
              <w:spacing w:line="240" w:lineRule="auto"/>
              <w:jc w:val="center"/>
              <w:rPr>
                <w:rFonts w:eastAsia="Calibri" w:cs="Times New Roman"/>
                <w:b/>
                <w:color w:val="FFFFFF"/>
                <w:kern w:val="0"/>
                <w:szCs w:val="20"/>
              </w:rPr>
            </w:pPr>
            <w:r w:rsidRPr="008C26FB">
              <w:rPr>
                <w:rFonts w:eastAsia="Calibri" w:cs="Times New Roman"/>
                <w:b/>
                <w:color w:val="FFFFFF"/>
                <w:kern w:val="0"/>
                <w:szCs w:val="20"/>
              </w:rPr>
              <w:t>Source</w:t>
            </w:r>
          </w:p>
        </w:tc>
        <w:tc>
          <w:tcPr>
            <w:tcW w:w="1207" w:type="dxa"/>
            <w:shd w:val="clear" w:color="auto" w:fill="00B5E2" w:themeFill="accent1"/>
          </w:tcPr>
          <w:p w14:paraId="5ECC7334" w14:textId="77777777" w:rsidR="00475735" w:rsidRPr="008C26FB" w:rsidRDefault="00475735" w:rsidP="009D1625">
            <w:pPr>
              <w:tabs>
                <w:tab w:val="clear" w:pos="284"/>
              </w:tabs>
              <w:spacing w:line="240" w:lineRule="auto"/>
              <w:jc w:val="center"/>
              <w:rPr>
                <w:rFonts w:eastAsia="Calibri" w:cs="Times New Roman"/>
                <w:b/>
                <w:color w:val="FFFFFF"/>
                <w:kern w:val="0"/>
                <w:szCs w:val="20"/>
              </w:rPr>
            </w:pPr>
            <w:r w:rsidRPr="008C26FB">
              <w:rPr>
                <w:rFonts w:eastAsia="Calibri" w:cs="Times New Roman"/>
                <w:b/>
                <w:color w:val="FFFFFF"/>
                <w:kern w:val="0"/>
                <w:szCs w:val="20"/>
              </w:rPr>
              <w:t>N Value</w:t>
            </w:r>
          </w:p>
        </w:tc>
        <w:tc>
          <w:tcPr>
            <w:tcW w:w="1733" w:type="dxa"/>
            <w:shd w:val="clear" w:color="auto" w:fill="00B5E2" w:themeFill="accent1"/>
          </w:tcPr>
          <w:p w14:paraId="646C73D2" w14:textId="77777777" w:rsidR="00475735" w:rsidRPr="008C26FB" w:rsidRDefault="00475735" w:rsidP="009D1625">
            <w:pPr>
              <w:tabs>
                <w:tab w:val="clear" w:pos="284"/>
              </w:tabs>
              <w:spacing w:line="240" w:lineRule="auto"/>
              <w:jc w:val="center"/>
              <w:rPr>
                <w:rFonts w:eastAsia="Calibri" w:cs="Times New Roman"/>
                <w:b/>
                <w:color w:val="FFFFFF"/>
                <w:kern w:val="0"/>
                <w:szCs w:val="20"/>
              </w:rPr>
            </w:pPr>
            <w:r w:rsidRPr="008C26FB">
              <w:rPr>
                <w:rFonts w:eastAsia="Calibri" w:cs="Times New Roman"/>
                <w:b/>
                <w:color w:val="FFFFFF"/>
                <w:kern w:val="0"/>
                <w:szCs w:val="20"/>
              </w:rPr>
              <w:t>Source</w:t>
            </w:r>
          </w:p>
        </w:tc>
      </w:tr>
      <w:tr w:rsidR="00475735" w:rsidRPr="00161A02" w14:paraId="75771654" w14:textId="77777777" w:rsidTr="009D1625">
        <w:trPr>
          <w:cnfStyle w:val="000000010000" w:firstRow="0" w:lastRow="0" w:firstColumn="0" w:lastColumn="0" w:oddVBand="0" w:evenVBand="0" w:oddHBand="0" w:evenHBand="1" w:firstRowFirstColumn="0" w:firstRowLastColumn="0" w:lastRowFirstColumn="0" w:lastRowLastColumn="0"/>
          <w:jc w:val="center"/>
        </w:trPr>
        <w:tc>
          <w:tcPr>
            <w:tcW w:w="2642" w:type="dxa"/>
          </w:tcPr>
          <w:p w14:paraId="47B7DDE4" w14:textId="77777777" w:rsidR="00475735" w:rsidRPr="00161A02" w:rsidRDefault="00475735" w:rsidP="009D1625">
            <w:pPr>
              <w:tabs>
                <w:tab w:val="clear" w:pos="284"/>
              </w:tabs>
              <w:spacing w:line="240" w:lineRule="auto"/>
              <w:rPr>
                <w:rFonts w:eastAsia="Calibri" w:cs="Times New Roman"/>
                <w:kern w:val="0"/>
                <w:szCs w:val="20"/>
              </w:rPr>
            </w:pPr>
            <w:r w:rsidRPr="00161A02">
              <w:rPr>
                <w:rFonts w:eastAsia="Calibri" w:cs="Times New Roman"/>
                <w:kern w:val="0"/>
                <w:szCs w:val="20"/>
              </w:rPr>
              <w:t>Open Water</w:t>
            </w:r>
          </w:p>
        </w:tc>
        <w:tc>
          <w:tcPr>
            <w:tcW w:w="1373" w:type="dxa"/>
          </w:tcPr>
          <w:p w14:paraId="73C84426" w14:textId="77777777" w:rsidR="00475735" w:rsidRPr="00632271" w:rsidRDefault="00475735" w:rsidP="009D1625">
            <w:pPr>
              <w:keepNext/>
              <w:keepLines/>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0.03</w:t>
            </w:r>
          </w:p>
        </w:tc>
        <w:tc>
          <w:tcPr>
            <w:tcW w:w="1207" w:type="dxa"/>
          </w:tcPr>
          <w:p w14:paraId="64EB5B37" w14:textId="77777777" w:rsidR="00475735" w:rsidRPr="00834397" w:rsidRDefault="00475735" w:rsidP="009D1625">
            <w:pPr>
              <w:keepNext/>
              <w:keepLines/>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Chow</w:t>
            </w:r>
            <w:r>
              <w:rPr>
                <w:rFonts w:eastAsia="Calibri" w:cs="Times New Roman"/>
                <w:kern w:val="0"/>
                <w:szCs w:val="20"/>
              </w:rPr>
              <w:t>,</w:t>
            </w:r>
            <w:r w:rsidRPr="00834397">
              <w:rPr>
                <w:rFonts w:eastAsia="Calibri" w:cs="Times New Roman"/>
                <w:kern w:val="0"/>
                <w:szCs w:val="20"/>
              </w:rPr>
              <w:t xml:space="preserve"> 1959</w:t>
            </w:r>
          </w:p>
        </w:tc>
        <w:tc>
          <w:tcPr>
            <w:tcW w:w="1207" w:type="dxa"/>
          </w:tcPr>
          <w:p w14:paraId="34173F19" w14:textId="77777777" w:rsidR="00475735" w:rsidRPr="00632271" w:rsidRDefault="00475735" w:rsidP="009D1625">
            <w:pPr>
              <w:keepNext/>
              <w:keepLines/>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0.03</w:t>
            </w:r>
          </w:p>
        </w:tc>
        <w:tc>
          <w:tcPr>
            <w:tcW w:w="1733" w:type="dxa"/>
          </w:tcPr>
          <w:p w14:paraId="7ADC6E0E" w14:textId="77777777" w:rsidR="00475735" w:rsidRPr="00834397" w:rsidRDefault="00475735" w:rsidP="009D1625">
            <w:pPr>
              <w:keepNext/>
              <w:keepLines/>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Chow 1959</w:t>
            </w:r>
          </w:p>
        </w:tc>
      </w:tr>
      <w:tr w:rsidR="00475735" w:rsidRPr="00161A02" w14:paraId="4E439F78" w14:textId="77777777" w:rsidTr="009D1625">
        <w:trPr>
          <w:cnfStyle w:val="000000100000" w:firstRow="0" w:lastRow="0" w:firstColumn="0" w:lastColumn="0" w:oddVBand="0" w:evenVBand="0" w:oddHBand="1" w:evenHBand="0" w:firstRowFirstColumn="0" w:firstRowLastColumn="0" w:lastRowFirstColumn="0" w:lastRowLastColumn="0"/>
          <w:trHeight w:val="143"/>
          <w:jc w:val="center"/>
        </w:trPr>
        <w:tc>
          <w:tcPr>
            <w:tcW w:w="2642" w:type="dxa"/>
          </w:tcPr>
          <w:p w14:paraId="74A08F78" w14:textId="77777777" w:rsidR="00475735" w:rsidRPr="00161A02" w:rsidRDefault="00475735" w:rsidP="009D1625">
            <w:pPr>
              <w:tabs>
                <w:tab w:val="clear" w:pos="284"/>
              </w:tabs>
              <w:spacing w:line="240" w:lineRule="auto"/>
              <w:rPr>
                <w:rFonts w:eastAsia="Calibri" w:cs="Times New Roman"/>
                <w:kern w:val="0"/>
                <w:szCs w:val="20"/>
              </w:rPr>
            </w:pPr>
            <w:r w:rsidRPr="00161A02">
              <w:rPr>
                <w:rFonts w:eastAsia="Calibri" w:cs="Times New Roman"/>
                <w:kern w:val="0"/>
                <w:szCs w:val="20"/>
              </w:rPr>
              <w:t>Developed, Open Space</w:t>
            </w:r>
          </w:p>
        </w:tc>
        <w:tc>
          <w:tcPr>
            <w:tcW w:w="1373" w:type="dxa"/>
          </w:tcPr>
          <w:p w14:paraId="4EACF1A5" w14:textId="77777777" w:rsidR="00475735" w:rsidRPr="00632271" w:rsidRDefault="00475735" w:rsidP="009D1625">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0.035</w:t>
            </w:r>
          </w:p>
        </w:tc>
        <w:tc>
          <w:tcPr>
            <w:tcW w:w="1207" w:type="dxa"/>
          </w:tcPr>
          <w:p w14:paraId="5BBF14F1" w14:textId="77777777" w:rsidR="00475735" w:rsidRPr="00834397" w:rsidRDefault="00475735" w:rsidP="009D1625">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Chow</w:t>
            </w:r>
            <w:r>
              <w:rPr>
                <w:rFonts w:eastAsia="Calibri" w:cs="Times New Roman"/>
                <w:kern w:val="0"/>
                <w:szCs w:val="20"/>
              </w:rPr>
              <w:t>,</w:t>
            </w:r>
            <w:r w:rsidRPr="00834397">
              <w:rPr>
                <w:rFonts w:eastAsia="Calibri" w:cs="Times New Roman"/>
                <w:kern w:val="0"/>
                <w:szCs w:val="20"/>
              </w:rPr>
              <w:t xml:space="preserve"> 1959</w:t>
            </w:r>
          </w:p>
        </w:tc>
        <w:tc>
          <w:tcPr>
            <w:tcW w:w="1207" w:type="dxa"/>
          </w:tcPr>
          <w:p w14:paraId="4C933EC3" w14:textId="77777777" w:rsidR="00475735" w:rsidRPr="00632271" w:rsidRDefault="00475735" w:rsidP="009D1625">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0.04</w:t>
            </w:r>
          </w:p>
        </w:tc>
        <w:tc>
          <w:tcPr>
            <w:tcW w:w="1733" w:type="dxa"/>
          </w:tcPr>
          <w:p w14:paraId="47DB972E" w14:textId="77777777" w:rsidR="00475735" w:rsidRPr="00834397" w:rsidRDefault="00475735" w:rsidP="009D1625">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NRCS KS Dam Breach</w:t>
            </w:r>
            <w:r>
              <w:rPr>
                <w:rFonts w:eastAsia="Calibri" w:cs="Times New Roman"/>
                <w:kern w:val="0"/>
                <w:szCs w:val="20"/>
              </w:rPr>
              <w:t>, 2016</w:t>
            </w:r>
          </w:p>
        </w:tc>
      </w:tr>
      <w:tr w:rsidR="00475735" w:rsidRPr="00161A02" w14:paraId="5AD7E34A" w14:textId="77777777" w:rsidTr="009D1625">
        <w:trPr>
          <w:cnfStyle w:val="000000010000" w:firstRow="0" w:lastRow="0" w:firstColumn="0" w:lastColumn="0" w:oddVBand="0" w:evenVBand="0" w:oddHBand="0" w:evenHBand="1" w:firstRowFirstColumn="0" w:firstRowLastColumn="0" w:lastRowFirstColumn="0" w:lastRowLastColumn="0"/>
          <w:jc w:val="center"/>
        </w:trPr>
        <w:tc>
          <w:tcPr>
            <w:tcW w:w="2642" w:type="dxa"/>
          </w:tcPr>
          <w:p w14:paraId="13499DAE" w14:textId="77777777" w:rsidR="00475735" w:rsidRPr="00161A02" w:rsidRDefault="00475735" w:rsidP="009D1625">
            <w:pPr>
              <w:tabs>
                <w:tab w:val="clear" w:pos="284"/>
              </w:tabs>
              <w:spacing w:line="240" w:lineRule="auto"/>
              <w:rPr>
                <w:rFonts w:eastAsia="Calibri" w:cs="Times New Roman"/>
                <w:kern w:val="0"/>
                <w:szCs w:val="20"/>
              </w:rPr>
            </w:pPr>
            <w:r w:rsidRPr="00161A02">
              <w:rPr>
                <w:rFonts w:eastAsia="Calibri" w:cs="Times New Roman"/>
                <w:kern w:val="0"/>
                <w:szCs w:val="20"/>
              </w:rPr>
              <w:t>Developed, Low Intensity</w:t>
            </w:r>
          </w:p>
        </w:tc>
        <w:tc>
          <w:tcPr>
            <w:tcW w:w="1373" w:type="dxa"/>
          </w:tcPr>
          <w:p w14:paraId="0A32E2F2" w14:textId="77777777" w:rsidR="00475735" w:rsidRPr="00632271" w:rsidRDefault="00475735" w:rsidP="009D1625">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0.035</w:t>
            </w:r>
          </w:p>
        </w:tc>
        <w:tc>
          <w:tcPr>
            <w:tcW w:w="1207" w:type="dxa"/>
          </w:tcPr>
          <w:p w14:paraId="5D39235F" w14:textId="77777777" w:rsidR="00475735" w:rsidRPr="00834397" w:rsidRDefault="00475735" w:rsidP="009D1625">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Chow</w:t>
            </w:r>
            <w:r>
              <w:rPr>
                <w:rFonts w:eastAsia="Calibri" w:cs="Times New Roman"/>
                <w:kern w:val="0"/>
                <w:szCs w:val="20"/>
              </w:rPr>
              <w:t>,</w:t>
            </w:r>
            <w:r w:rsidRPr="00834397">
              <w:rPr>
                <w:rFonts w:eastAsia="Calibri" w:cs="Times New Roman"/>
                <w:kern w:val="0"/>
                <w:szCs w:val="20"/>
              </w:rPr>
              <w:t xml:space="preserve"> 1959</w:t>
            </w:r>
          </w:p>
        </w:tc>
        <w:tc>
          <w:tcPr>
            <w:tcW w:w="1207" w:type="dxa"/>
          </w:tcPr>
          <w:p w14:paraId="740EDBF5" w14:textId="77777777" w:rsidR="00475735" w:rsidRPr="00632271" w:rsidRDefault="00475735" w:rsidP="009D1625">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0.08</w:t>
            </w:r>
          </w:p>
        </w:tc>
        <w:tc>
          <w:tcPr>
            <w:tcW w:w="1733" w:type="dxa"/>
          </w:tcPr>
          <w:p w14:paraId="79194E25" w14:textId="77777777" w:rsidR="00475735" w:rsidRPr="00834397" w:rsidRDefault="00475735" w:rsidP="009D1625">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NRCS KS Dam Breach</w:t>
            </w:r>
            <w:r>
              <w:rPr>
                <w:rFonts w:eastAsia="Calibri" w:cs="Times New Roman"/>
                <w:kern w:val="0"/>
                <w:szCs w:val="20"/>
              </w:rPr>
              <w:t>, 2016</w:t>
            </w:r>
          </w:p>
        </w:tc>
      </w:tr>
      <w:tr w:rsidR="00475735" w:rsidRPr="00161A02" w14:paraId="0525E7AB" w14:textId="77777777" w:rsidTr="009D1625">
        <w:trPr>
          <w:cnfStyle w:val="000000100000" w:firstRow="0" w:lastRow="0" w:firstColumn="0" w:lastColumn="0" w:oddVBand="0" w:evenVBand="0" w:oddHBand="1" w:evenHBand="0" w:firstRowFirstColumn="0" w:firstRowLastColumn="0" w:lastRowFirstColumn="0" w:lastRowLastColumn="0"/>
          <w:jc w:val="center"/>
        </w:trPr>
        <w:tc>
          <w:tcPr>
            <w:tcW w:w="2642" w:type="dxa"/>
          </w:tcPr>
          <w:p w14:paraId="273785D8" w14:textId="77777777" w:rsidR="00475735" w:rsidRPr="00161A02" w:rsidRDefault="00475735" w:rsidP="009D1625">
            <w:pPr>
              <w:tabs>
                <w:tab w:val="clear" w:pos="284"/>
              </w:tabs>
              <w:spacing w:line="240" w:lineRule="auto"/>
              <w:rPr>
                <w:rFonts w:eastAsia="Calibri" w:cs="Times New Roman"/>
                <w:kern w:val="0"/>
                <w:szCs w:val="20"/>
              </w:rPr>
            </w:pPr>
            <w:r w:rsidRPr="00161A02">
              <w:rPr>
                <w:rFonts w:eastAsia="Calibri" w:cs="Times New Roman"/>
                <w:kern w:val="0"/>
                <w:szCs w:val="20"/>
              </w:rPr>
              <w:t>Developed, Medium Intensity</w:t>
            </w:r>
          </w:p>
        </w:tc>
        <w:tc>
          <w:tcPr>
            <w:tcW w:w="1373" w:type="dxa"/>
          </w:tcPr>
          <w:p w14:paraId="181681E5" w14:textId="77777777" w:rsidR="00475735" w:rsidRPr="00632271" w:rsidRDefault="00475735" w:rsidP="009D1625">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0.035</w:t>
            </w:r>
          </w:p>
        </w:tc>
        <w:tc>
          <w:tcPr>
            <w:tcW w:w="1207" w:type="dxa"/>
          </w:tcPr>
          <w:p w14:paraId="3281DA2D" w14:textId="77777777" w:rsidR="00475735" w:rsidRPr="00834397" w:rsidRDefault="00475735" w:rsidP="009D1625">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Chow</w:t>
            </w:r>
            <w:r>
              <w:rPr>
                <w:rFonts w:eastAsia="Calibri" w:cs="Times New Roman"/>
                <w:kern w:val="0"/>
                <w:szCs w:val="20"/>
              </w:rPr>
              <w:t>,</w:t>
            </w:r>
            <w:r w:rsidRPr="00834397">
              <w:rPr>
                <w:rFonts w:eastAsia="Calibri" w:cs="Times New Roman"/>
                <w:kern w:val="0"/>
                <w:szCs w:val="20"/>
              </w:rPr>
              <w:t xml:space="preserve"> 1959</w:t>
            </w:r>
          </w:p>
        </w:tc>
        <w:tc>
          <w:tcPr>
            <w:tcW w:w="1207" w:type="dxa"/>
          </w:tcPr>
          <w:p w14:paraId="3A9BBBBA" w14:textId="77777777" w:rsidR="00475735" w:rsidRPr="00632271" w:rsidRDefault="00475735" w:rsidP="009D1625">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0.1</w:t>
            </w:r>
          </w:p>
        </w:tc>
        <w:tc>
          <w:tcPr>
            <w:tcW w:w="1733" w:type="dxa"/>
          </w:tcPr>
          <w:p w14:paraId="037D9E13" w14:textId="77777777" w:rsidR="00475735" w:rsidRPr="00834397" w:rsidRDefault="00475735" w:rsidP="009D1625">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NRCS KS Dam Breach</w:t>
            </w:r>
            <w:r>
              <w:rPr>
                <w:rFonts w:eastAsia="Calibri" w:cs="Times New Roman"/>
                <w:kern w:val="0"/>
                <w:szCs w:val="20"/>
              </w:rPr>
              <w:t>, 2016</w:t>
            </w:r>
          </w:p>
        </w:tc>
      </w:tr>
    </w:tbl>
    <w:p w14:paraId="4319D02E" w14:textId="77777777" w:rsidR="00475735" w:rsidRDefault="00475735" w:rsidP="0048315A">
      <w:pPr>
        <w:pStyle w:val="BodyText"/>
      </w:pPr>
    </w:p>
    <w:p w14:paraId="657B4FB7" w14:textId="77777777" w:rsidR="00976A14" w:rsidRDefault="00976A14" w:rsidP="00E51B3A">
      <w:pPr>
        <w:pStyle w:val="Heading4"/>
      </w:pPr>
      <w:bookmarkStart w:id="77" w:name="_Toc112877076"/>
      <w:r>
        <w:t>Breaklines</w:t>
      </w:r>
      <w:bookmarkEnd w:id="77"/>
    </w:p>
    <w:p w14:paraId="46AE13D8" w14:textId="7D05C770" w:rsidR="0048315A" w:rsidRDefault="00161A02" w:rsidP="00230830">
      <w:pPr>
        <w:pStyle w:val="BodyText"/>
      </w:pPr>
      <w:r w:rsidRPr="00161A02">
        <w:t>Breaklines align grid cell faces and were used within the 2D mesh area to define prominent features including road embankments and hydraulic structures. Road embankment features were delineated in GIS and imported into RAS</w:t>
      </w:r>
      <w:r w:rsidR="00D209E4">
        <w:t>61</w:t>
      </w:r>
      <w:r w:rsidRPr="00161A02">
        <w:t xml:space="preserve"> as breaklines to contain water where appropriate. Similarly, significant bridge/culvert crossings that were not processed out of the terrain data were modeled by </w:t>
      </w:r>
      <w:r w:rsidR="0086558D">
        <w:t>v-notch</w:t>
      </w:r>
      <w:r w:rsidRPr="00161A02">
        <w:t xml:space="preserve"> breaklines adjacent to the road embankment to align grid cells around the embankment and allow water to be routed through the embankment without creating artificial backwater. An example of the </w:t>
      </w:r>
      <w:r w:rsidR="0086558D">
        <w:t>v-notch</w:t>
      </w:r>
      <w:r w:rsidRPr="00161A02">
        <w:t xml:space="preserve"> breakline approach is shown </w:t>
      </w:r>
      <w:r w:rsidR="00C026C8">
        <w:t xml:space="preserve">in </w:t>
      </w:r>
      <w:r w:rsidR="0086558D">
        <w:fldChar w:fldCharType="begin"/>
      </w:r>
      <w:r w:rsidR="0086558D">
        <w:instrText xml:space="preserve"> REF _Ref61262552 \h </w:instrText>
      </w:r>
      <w:r w:rsidR="0086558D">
        <w:fldChar w:fldCharType="separate"/>
      </w:r>
      <w:r w:rsidR="00C9792F">
        <w:t xml:space="preserve">Figure </w:t>
      </w:r>
      <w:r w:rsidR="00C9792F">
        <w:rPr>
          <w:noProof/>
        </w:rPr>
        <w:t>13</w:t>
      </w:r>
      <w:r w:rsidR="0086558D">
        <w:fldChar w:fldCharType="end"/>
      </w:r>
      <w:r w:rsidRPr="00161A02">
        <w:t>.</w:t>
      </w:r>
    </w:p>
    <w:p w14:paraId="1F3C22AF" w14:textId="77777777" w:rsidR="0086558D" w:rsidRDefault="0086558D" w:rsidP="00230830">
      <w:pPr>
        <w:pStyle w:val="BodyText"/>
      </w:pPr>
      <w:r w:rsidRPr="0086558D">
        <w:t xml:space="preserve">County, interstate, common name, state recognized, and U.S. roads were incorporated for road breaklines from the U.S. Census Bureau TIGER/Line road layer.  </w:t>
      </w:r>
    </w:p>
    <w:p w14:paraId="610B458D" w14:textId="14EC511B" w:rsidR="00D26D53" w:rsidRDefault="00D26D53" w:rsidP="00D26D53">
      <w:pPr>
        <w:pStyle w:val="BodyText"/>
      </w:pPr>
      <w:r w:rsidRPr="00950581">
        <w:t>Private dams were not modeled as showing protection</w:t>
      </w:r>
      <w:r w:rsidR="00C4410D">
        <w:t xml:space="preserve"> and no major</w:t>
      </w:r>
      <w:r w:rsidR="00D92572">
        <w:t xml:space="preserve"> dams or reservoirs are present in the work areas</w:t>
      </w:r>
      <w:r w:rsidRPr="00950581">
        <w:t>. This is to lessen the burden on private dam owners to maintain their dams in order to sustain the regulatory products</w:t>
      </w:r>
      <w:r w:rsidR="00CC0D15">
        <w:t xml:space="preserve"> that could be</w:t>
      </w:r>
      <w:r w:rsidRPr="00950581">
        <w:t xml:space="preserve"> created</w:t>
      </w:r>
      <w:r w:rsidR="00CC0D15">
        <w:t xml:space="preserve"> in the future</w:t>
      </w:r>
      <w:r w:rsidRPr="00950581">
        <w:t xml:space="preserve"> as a result of this study.</w:t>
      </w:r>
      <w:r w:rsidR="00950581" w:rsidRPr="00950581">
        <w:t xml:space="preserve"> </w:t>
      </w:r>
      <w:r w:rsidR="00950581">
        <w:t xml:space="preserve">The study area does not include any FEMA accredited levees. </w:t>
      </w:r>
    </w:p>
    <w:p w14:paraId="638EAC8E" w14:textId="77777777" w:rsidR="00B517E3" w:rsidRDefault="00D26D53" w:rsidP="00D26D53">
      <w:pPr>
        <w:pStyle w:val="BodyText"/>
        <w:sectPr w:rsidR="00B517E3" w:rsidSect="00627679">
          <w:headerReference w:type="default" r:id="rId27"/>
          <w:type w:val="continuous"/>
          <w:pgSz w:w="12240" w:h="15840"/>
          <w:pgMar w:top="1134" w:right="1440" w:bottom="851" w:left="1440" w:header="709" w:footer="284" w:gutter="0"/>
          <w:cols w:space="708"/>
          <w:docGrid w:linePitch="360"/>
        </w:sectPr>
      </w:pPr>
      <w:r>
        <w:t>Breaklines were also used along all the stream centerlines of streams draining greater than one square mile of drainage area</w:t>
      </w:r>
      <w:r w:rsidR="00767EF6">
        <w:t>, and 0.5 square miles of drainage area within densely populated areas</w:t>
      </w:r>
      <w:r>
        <w:t xml:space="preserve">. </w:t>
      </w:r>
      <w:r w:rsidR="00773C8E" w:rsidRPr="00773C8E">
        <w:t xml:space="preserve">Each streamline was topo-derived and the stream centerline was enforced with 100 feet cell spacing in order to align cells along the stream line and capture more detail along the one square mile stream network. </w:t>
      </w:r>
      <w:r w:rsidR="00967197">
        <w:t xml:space="preserve">Streamline alignment was also hand checked with the terrain by the modeler to ensure accuracy. </w:t>
      </w:r>
      <w:r w:rsidR="00773C8E" w:rsidRPr="00773C8E">
        <w:t>Stream names were referenced from other sources such as NFHL and NHD datasets.</w:t>
      </w:r>
      <w:r w:rsidR="00967197">
        <w:t xml:space="preserve"> In the HEC-RAS model, streams that passed through densely populated regions were enforced as breaklines using 50ft cell spacing.</w:t>
      </w:r>
    </w:p>
    <w:p w14:paraId="087811FC" w14:textId="24DD944A" w:rsidR="00D26D53" w:rsidRDefault="00D26D53" w:rsidP="00D26D53">
      <w:pPr>
        <w:pStyle w:val="BodyText"/>
      </w:pPr>
    </w:p>
    <w:p w14:paraId="74A7C366" w14:textId="77777777" w:rsidR="006A1D08" w:rsidRPr="00193BD7" w:rsidRDefault="006A1D08" w:rsidP="00D26D53">
      <w:pPr>
        <w:pStyle w:val="BodyText"/>
      </w:pPr>
    </w:p>
    <w:p w14:paraId="74A882CC" w14:textId="77777777" w:rsidR="00D55F6F" w:rsidRDefault="004F2446" w:rsidP="004F2446">
      <w:pPr>
        <w:pStyle w:val="Numberedtext"/>
        <w:keepNext/>
        <w:numPr>
          <w:ilvl w:val="0"/>
          <w:numId w:val="0"/>
        </w:numPr>
        <w:jc w:val="center"/>
      </w:pPr>
      <w:r>
        <w:rPr>
          <w:noProof/>
        </w:rPr>
        <w:lastRenderedPageBreak/>
        <w:drawing>
          <wp:inline distT="0" distB="0" distL="0" distR="0" wp14:anchorId="2A06F5FC" wp14:editId="6FC26EBC">
            <wp:extent cx="4238625" cy="4637462"/>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a:stretch>
                      <a:fillRect/>
                    </a:stretch>
                  </pic:blipFill>
                  <pic:spPr>
                    <a:xfrm>
                      <a:off x="0" y="0"/>
                      <a:ext cx="4242329" cy="4641514"/>
                    </a:xfrm>
                    <a:prstGeom prst="rect">
                      <a:avLst/>
                    </a:prstGeom>
                  </pic:spPr>
                </pic:pic>
              </a:graphicData>
            </a:graphic>
          </wp:inline>
        </w:drawing>
      </w:r>
    </w:p>
    <w:p w14:paraId="53220C9C" w14:textId="29CC3B66" w:rsidR="007A12B7" w:rsidRPr="007A12B7" w:rsidRDefault="00D55F6F" w:rsidP="007A12B7">
      <w:pPr>
        <w:pStyle w:val="Caption"/>
        <w:jc w:val="center"/>
      </w:pPr>
      <w:bookmarkStart w:id="78" w:name="_Ref61262552"/>
      <w:bookmarkStart w:id="79" w:name="_Toc112877041"/>
      <w:r>
        <w:t xml:space="preserve">Figure </w:t>
      </w:r>
      <w:r>
        <w:fldChar w:fldCharType="begin"/>
      </w:r>
      <w:r>
        <w:instrText xml:space="preserve"> SEQ Figure \* ARABIC </w:instrText>
      </w:r>
      <w:r>
        <w:fldChar w:fldCharType="separate"/>
      </w:r>
      <w:r w:rsidR="00C9792F">
        <w:rPr>
          <w:noProof/>
        </w:rPr>
        <w:t>13</w:t>
      </w:r>
      <w:r>
        <w:fldChar w:fldCharType="end"/>
      </w:r>
      <w:bookmarkEnd w:id="78"/>
      <w:r>
        <w:t xml:space="preserve">: </w:t>
      </w:r>
      <w:r w:rsidR="0086558D">
        <w:t>V-notch</w:t>
      </w:r>
      <w:r w:rsidRPr="000C1FC9">
        <w:t xml:space="preserve"> Breakline Approach at Bridge Crossing</w:t>
      </w:r>
      <w:bookmarkEnd w:id="79"/>
      <w:r w:rsidR="007A12B7">
        <w:br/>
      </w:r>
    </w:p>
    <w:p w14:paraId="79871174" w14:textId="77777777" w:rsidR="00976A14" w:rsidRDefault="0048315A" w:rsidP="00E51B3A">
      <w:pPr>
        <w:pStyle w:val="Heading4"/>
      </w:pPr>
      <w:bookmarkStart w:id="80" w:name="_Toc112877077"/>
      <w:r>
        <w:t>Refinement Regions</w:t>
      </w:r>
      <w:bookmarkEnd w:id="80"/>
    </w:p>
    <w:p w14:paraId="062560CB" w14:textId="198057CD" w:rsidR="001E6F4A" w:rsidRDefault="00161A02" w:rsidP="009B5454">
      <w:pPr>
        <w:pStyle w:val="BodyText"/>
      </w:pPr>
      <w:r w:rsidRPr="00161A02">
        <w:t xml:space="preserve">Refinement regions were created for each community within the </w:t>
      </w:r>
      <w:r w:rsidR="000462A0">
        <w:t>model</w:t>
      </w:r>
      <w:r w:rsidRPr="00161A02">
        <w:t xml:space="preserve">. The political boundary was used to determine the shape of the refinement region. The regions were assigned a cell spacing of 50 feet by 50 feet.  This finer cell spacing allows for more hydraulic calculations and mapping detail near areas where there are likely to be more structures. </w:t>
      </w:r>
      <w:r w:rsidR="001957EB">
        <w:fldChar w:fldCharType="begin"/>
      </w:r>
      <w:r w:rsidR="001957EB">
        <w:instrText xml:space="preserve"> REF _Ref95309377 \h </w:instrText>
      </w:r>
      <w:r w:rsidR="001957EB">
        <w:fldChar w:fldCharType="separate"/>
      </w:r>
      <w:r w:rsidR="00C9792F">
        <w:t xml:space="preserve">Table </w:t>
      </w:r>
      <w:r w:rsidR="00C9792F">
        <w:rPr>
          <w:noProof/>
        </w:rPr>
        <w:t>8</w:t>
      </w:r>
      <w:r w:rsidR="001957EB">
        <w:fldChar w:fldCharType="end"/>
      </w:r>
      <w:r w:rsidR="001957EB">
        <w:t xml:space="preserve"> </w:t>
      </w:r>
      <w:r w:rsidRPr="00161A02">
        <w:t xml:space="preserve">shows the communities contained within </w:t>
      </w:r>
      <w:r w:rsidR="00D209E4">
        <w:t>Yellow House Draw</w:t>
      </w:r>
      <w:r w:rsidR="00F05AAD">
        <w:t xml:space="preserve"> </w:t>
      </w:r>
      <w:r w:rsidR="003624E2">
        <w:t xml:space="preserve">watershed that were </w:t>
      </w:r>
      <w:r w:rsidR="00B014BF">
        <w:t>modeled with refinement regions as well as the square mileage of the refinement region.</w:t>
      </w:r>
    </w:p>
    <w:p w14:paraId="46D650E9" w14:textId="633298DF" w:rsidR="00A315D3" w:rsidRDefault="00A315D3" w:rsidP="00230830">
      <w:pPr>
        <w:pStyle w:val="Caption"/>
        <w:jc w:val="center"/>
      </w:pPr>
      <w:bookmarkStart w:id="81" w:name="_Ref95309377"/>
      <w:bookmarkStart w:id="82" w:name="_Toc112877053"/>
      <w:r>
        <w:t xml:space="preserve">Table </w:t>
      </w:r>
      <w:r w:rsidR="0047146E">
        <w:fldChar w:fldCharType="begin"/>
      </w:r>
      <w:r w:rsidR="0047146E">
        <w:instrText xml:space="preserve"> SEQ Table \* ARABIC </w:instrText>
      </w:r>
      <w:r w:rsidR="0047146E">
        <w:fldChar w:fldCharType="separate"/>
      </w:r>
      <w:r w:rsidR="00C9792F">
        <w:rPr>
          <w:noProof/>
        </w:rPr>
        <w:t>8</w:t>
      </w:r>
      <w:r w:rsidR="0047146E">
        <w:fldChar w:fldCharType="end"/>
      </w:r>
      <w:bookmarkEnd w:id="81"/>
      <w:r>
        <w:t>: Communities with 2D Mesh Refinement</w:t>
      </w:r>
      <w:bookmarkEnd w:id="82"/>
    </w:p>
    <w:tbl>
      <w:tblPr>
        <w:tblStyle w:val="CompassTable"/>
        <w:tblW w:w="3319" w:type="dxa"/>
        <w:jc w:val="center"/>
        <w:tblLayout w:type="fixed"/>
        <w:tblLook w:val="0020" w:firstRow="1" w:lastRow="0" w:firstColumn="0" w:lastColumn="0" w:noHBand="0" w:noVBand="0"/>
      </w:tblPr>
      <w:tblGrid>
        <w:gridCol w:w="1934"/>
        <w:gridCol w:w="1385"/>
      </w:tblGrid>
      <w:tr w:rsidR="0086558D" w14:paraId="538FA74D" w14:textId="77777777" w:rsidTr="00134C88">
        <w:trPr>
          <w:cnfStyle w:val="100000000000" w:firstRow="1" w:lastRow="0" w:firstColumn="0" w:lastColumn="0" w:oddVBand="0" w:evenVBand="0" w:oddHBand="0" w:evenHBand="0" w:firstRowFirstColumn="0" w:firstRowLastColumn="0" w:lastRowFirstColumn="0" w:lastRowLastColumn="0"/>
          <w:trHeight w:val="334"/>
          <w:jc w:val="center"/>
        </w:trPr>
        <w:tc>
          <w:tcPr>
            <w:tcW w:w="1934" w:type="dxa"/>
            <w:shd w:val="clear" w:color="auto" w:fill="00B5E2" w:themeFill="accent1"/>
          </w:tcPr>
          <w:p w14:paraId="26EAC4AD" w14:textId="77777777" w:rsidR="0086558D" w:rsidRPr="000A3B6D" w:rsidRDefault="0086558D" w:rsidP="0086558D">
            <w:pPr>
              <w:tabs>
                <w:tab w:val="clear" w:pos="284"/>
              </w:tabs>
              <w:autoSpaceDE w:val="0"/>
              <w:autoSpaceDN w:val="0"/>
              <w:adjustRightInd w:val="0"/>
              <w:spacing w:line="240" w:lineRule="auto"/>
              <w:rPr>
                <w:rFonts w:cs="Calibri"/>
                <w:color w:val="FFFFFF" w:themeColor="background1"/>
                <w:kern w:val="0"/>
              </w:rPr>
            </w:pPr>
            <w:r w:rsidRPr="000A3B6D">
              <w:rPr>
                <w:rFonts w:cs="Calibri"/>
                <w:color w:val="FFFFFF" w:themeColor="background1"/>
                <w:kern w:val="0"/>
              </w:rPr>
              <w:t>Community Name</w:t>
            </w:r>
          </w:p>
        </w:tc>
        <w:tc>
          <w:tcPr>
            <w:tcW w:w="1385" w:type="dxa"/>
            <w:shd w:val="clear" w:color="auto" w:fill="00B5E2" w:themeFill="accent1"/>
          </w:tcPr>
          <w:p w14:paraId="1787E602" w14:textId="77777777" w:rsidR="0086558D" w:rsidRPr="000A3B6D" w:rsidRDefault="0086558D">
            <w:pPr>
              <w:tabs>
                <w:tab w:val="clear" w:pos="284"/>
              </w:tabs>
              <w:autoSpaceDE w:val="0"/>
              <w:autoSpaceDN w:val="0"/>
              <w:adjustRightInd w:val="0"/>
              <w:spacing w:line="240" w:lineRule="auto"/>
              <w:rPr>
                <w:rFonts w:cs="Calibri"/>
                <w:color w:val="FFFFFF" w:themeColor="background1"/>
                <w:kern w:val="0"/>
              </w:rPr>
            </w:pPr>
            <w:r w:rsidRPr="000A3B6D">
              <w:rPr>
                <w:rFonts w:cs="Calibri"/>
                <w:color w:val="FFFFFF" w:themeColor="background1"/>
                <w:kern w:val="0"/>
              </w:rPr>
              <w:t>Area (mi</w:t>
            </w:r>
            <w:r w:rsidRPr="000A3B6D">
              <w:rPr>
                <w:rFonts w:cs="Calibri"/>
                <w:color w:val="FFFFFF" w:themeColor="background1"/>
                <w:kern w:val="0"/>
                <w:vertAlign w:val="superscript"/>
              </w:rPr>
              <w:t>2</w:t>
            </w:r>
            <w:r w:rsidRPr="000A3B6D">
              <w:rPr>
                <w:rFonts w:cs="Calibri"/>
                <w:color w:val="FFFFFF" w:themeColor="background1"/>
                <w:kern w:val="0"/>
              </w:rPr>
              <w:t>)</w:t>
            </w:r>
          </w:p>
        </w:tc>
      </w:tr>
      <w:tr w:rsidR="00140050" w14:paraId="14CC968C" w14:textId="77777777" w:rsidTr="00134C88">
        <w:trPr>
          <w:cnfStyle w:val="000000100000" w:firstRow="0" w:lastRow="0" w:firstColumn="0" w:lastColumn="0" w:oddVBand="0" w:evenVBand="0" w:oddHBand="1" w:evenHBand="0" w:firstRowFirstColumn="0" w:firstRowLastColumn="0" w:lastRowFirstColumn="0" w:lastRowLastColumn="0"/>
          <w:trHeight w:val="290"/>
          <w:jc w:val="center"/>
        </w:trPr>
        <w:tc>
          <w:tcPr>
            <w:tcW w:w="1934" w:type="dxa"/>
            <w:shd w:val="clear" w:color="auto" w:fill="D9D9D9" w:themeFill="background1" w:themeFillShade="D9"/>
            <w:vAlign w:val="top"/>
          </w:tcPr>
          <w:p w14:paraId="4912273D" w14:textId="45871605" w:rsidR="00140050" w:rsidRPr="00CD608E" w:rsidRDefault="00CD608E" w:rsidP="000A3B6D">
            <w:pPr>
              <w:tabs>
                <w:tab w:val="clear" w:pos="284"/>
              </w:tabs>
              <w:autoSpaceDE w:val="0"/>
              <w:autoSpaceDN w:val="0"/>
              <w:adjustRightInd w:val="0"/>
              <w:spacing w:line="240" w:lineRule="auto"/>
              <w:jc w:val="center"/>
              <w:rPr>
                <w:rFonts w:cs="Calibri"/>
                <w:color w:val="auto"/>
                <w:kern w:val="0"/>
                <w:szCs w:val="20"/>
              </w:rPr>
            </w:pPr>
            <w:r w:rsidRPr="00CD608E">
              <w:rPr>
                <w:rFonts w:cs="Calibri"/>
                <w:color w:val="auto"/>
                <w:kern w:val="0"/>
                <w:szCs w:val="20"/>
              </w:rPr>
              <w:t>Morton City</w:t>
            </w:r>
          </w:p>
        </w:tc>
        <w:tc>
          <w:tcPr>
            <w:tcW w:w="1385" w:type="dxa"/>
            <w:shd w:val="clear" w:color="auto" w:fill="D9D9D9" w:themeFill="background1" w:themeFillShade="D9"/>
            <w:vAlign w:val="top"/>
          </w:tcPr>
          <w:p w14:paraId="58782913" w14:textId="7E70FBF0" w:rsidR="00140050" w:rsidRPr="00CD608E" w:rsidRDefault="00CD608E" w:rsidP="000A3B6D">
            <w:pPr>
              <w:tabs>
                <w:tab w:val="clear" w:pos="284"/>
              </w:tabs>
              <w:autoSpaceDE w:val="0"/>
              <w:autoSpaceDN w:val="0"/>
              <w:adjustRightInd w:val="0"/>
              <w:spacing w:line="240" w:lineRule="auto"/>
              <w:jc w:val="center"/>
              <w:rPr>
                <w:rFonts w:cs="Calibri"/>
                <w:color w:val="auto"/>
                <w:kern w:val="0"/>
                <w:szCs w:val="20"/>
              </w:rPr>
            </w:pPr>
            <w:r w:rsidRPr="00CD608E">
              <w:rPr>
                <w:rFonts w:cs="Calibri"/>
                <w:color w:val="auto"/>
                <w:kern w:val="0"/>
                <w:szCs w:val="20"/>
              </w:rPr>
              <w:t>1.5</w:t>
            </w:r>
          </w:p>
        </w:tc>
      </w:tr>
      <w:tr w:rsidR="00140050" w14:paraId="598D9F11" w14:textId="77777777" w:rsidTr="00CD608E">
        <w:trPr>
          <w:cnfStyle w:val="000000010000" w:firstRow="0" w:lastRow="0" w:firstColumn="0" w:lastColumn="0" w:oddVBand="0" w:evenVBand="0" w:oddHBand="0" w:evenHBand="1" w:firstRowFirstColumn="0" w:firstRowLastColumn="0" w:lastRowFirstColumn="0" w:lastRowLastColumn="0"/>
          <w:trHeight w:val="290"/>
          <w:jc w:val="center"/>
        </w:trPr>
        <w:tc>
          <w:tcPr>
            <w:tcW w:w="1934" w:type="dxa"/>
            <w:shd w:val="clear" w:color="auto" w:fill="auto"/>
            <w:vAlign w:val="top"/>
          </w:tcPr>
          <w:p w14:paraId="07B827C5" w14:textId="7930BE4B" w:rsidR="00CD608E" w:rsidRPr="00CD608E" w:rsidRDefault="00CD608E" w:rsidP="00CD608E">
            <w:pPr>
              <w:tabs>
                <w:tab w:val="clear" w:pos="284"/>
              </w:tabs>
              <w:autoSpaceDE w:val="0"/>
              <w:autoSpaceDN w:val="0"/>
              <w:adjustRightInd w:val="0"/>
              <w:spacing w:line="240" w:lineRule="auto"/>
              <w:jc w:val="center"/>
              <w:rPr>
                <w:rFonts w:cs="Calibri"/>
                <w:kern w:val="0"/>
                <w:szCs w:val="20"/>
              </w:rPr>
            </w:pPr>
            <w:r w:rsidRPr="00CD608E">
              <w:rPr>
                <w:rFonts w:cs="Calibri"/>
                <w:color w:val="auto"/>
                <w:kern w:val="0"/>
                <w:szCs w:val="20"/>
              </w:rPr>
              <w:t>Sudan City</w:t>
            </w:r>
          </w:p>
        </w:tc>
        <w:tc>
          <w:tcPr>
            <w:tcW w:w="1385" w:type="dxa"/>
            <w:shd w:val="clear" w:color="auto" w:fill="auto"/>
            <w:vAlign w:val="top"/>
          </w:tcPr>
          <w:p w14:paraId="3EDA58CE" w14:textId="19122BDD" w:rsidR="00140050" w:rsidRPr="00CD608E" w:rsidRDefault="00CD608E" w:rsidP="000A3B6D">
            <w:pPr>
              <w:tabs>
                <w:tab w:val="clear" w:pos="284"/>
              </w:tabs>
              <w:autoSpaceDE w:val="0"/>
              <w:autoSpaceDN w:val="0"/>
              <w:adjustRightInd w:val="0"/>
              <w:spacing w:line="240" w:lineRule="auto"/>
              <w:jc w:val="center"/>
              <w:rPr>
                <w:rFonts w:cs="Calibri"/>
                <w:color w:val="auto"/>
                <w:kern w:val="0"/>
                <w:szCs w:val="20"/>
              </w:rPr>
            </w:pPr>
            <w:r w:rsidRPr="00CD608E">
              <w:rPr>
                <w:rFonts w:cs="Calibri"/>
                <w:color w:val="auto"/>
                <w:kern w:val="0"/>
                <w:szCs w:val="20"/>
              </w:rPr>
              <w:t>0.08</w:t>
            </w:r>
          </w:p>
        </w:tc>
      </w:tr>
      <w:tr w:rsidR="00140050" w14:paraId="7B823753" w14:textId="77777777" w:rsidTr="00134C88">
        <w:trPr>
          <w:cnfStyle w:val="000000100000" w:firstRow="0" w:lastRow="0" w:firstColumn="0" w:lastColumn="0" w:oddVBand="0" w:evenVBand="0" w:oddHBand="1" w:evenHBand="0" w:firstRowFirstColumn="0" w:firstRowLastColumn="0" w:lastRowFirstColumn="0" w:lastRowLastColumn="0"/>
          <w:trHeight w:val="290"/>
          <w:jc w:val="center"/>
        </w:trPr>
        <w:tc>
          <w:tcPr>
            <w:tcW w:w="1934" w:type="dxa"/>
            <w:shd w:val="clear" w:color="auto" w:fill="D9D9D9" w:themeFill="background1" w:themeFillShade="D9"/>
            <w:vAlign w:val="top"/>
          </w:tcPr>
          <w:p w14:paraId="291C2CEA" w14:textId="41AE4EB8" w:rsidR="00140050" w:rsidRPr="00CD608E" w:rsidRDefault="00CD608E" w:rsidP="000A3B6D">
            <w:pPr>
              <w:tabs>
                <w:tab w:val="clear" w:pos="284"/>
              </w:tabs>
              <w:autoSpaceDE w:val="0"/>
              <w:autoSpaceDN w:val="0"/>
              <w:adjustRightInd w:val="0"/>
              <w:spacing w:line="240" w:lineRule="auto"/>
              <w:jc w:val="center"/>
              <w:rPr>
                <w:rFonts w:cs="Calibri"/>
                <w:color w:val="auto"/>
                <w:kern w:val="0"/>
                <w:szCs w:val="20"/>
              </w:rPr>
            </w:pPr>
            <w:r w:rsidRPr="00CD608E">
              <w:rPr>
                <w:rFonts w:cs="Calibri"/>
                <w:color w:val="auto"/>
                <w:kern w:val="0"/>
                <w:szCs w:val="20"/>
              </w:rPr>
              <w:t>Littlefield City</w:t>
            </w:r>
          </w:p>
        </w:tc>
        <w:tc>
          <w:tcPr>
            <w:tcW w:w="1385" w:type="dxa"/>
            <w:shd w:val="clear" w:color="auto" w:fill="D9D9D9" w:themeFill="background1" w:themeFillShade="D9"/>
            <w:vAlign w:val="top"/>
          </w:tcPr>
          <w:p w14:paraId="38F3C967" w14:textId="4E7CCC5E" w:rsidR="00140050" w:rsidRPr="00CD608E" w:rsidRDefault="00CD608E" w:rsidP="000A3B6D">
            <w:pPr>
              <w:tabs>
                <w:tab w:val="clear" w:pos="284"/>
              </w:tabs>
              <w:autoSpaceDE w:val="0"/>
              <w:autoSpaceDN w:val="0"/>
              <w:adjustRightInd w:val="0"/>
              <w:spacing w:line="240" w:lineRule="auto"/>
              <w:jc w:val="center"/>
              <w:rPr>
                <w:rFonts w:cs="Calibri"/>
                <w:color w:val="auto"/>
                <w:kern w:val="0"/>
                <w:szCs w:val="20"/>
              </w:rPr>
            </w:pPr>
            <w:r w:rsidRPr="00CD608E">
              <w:rPr>
                <w:rFonts w:cs="Calibri"/>
                <w:color w:val="auto"/>
                <w:kern w:val="0"/>
                <w:szCs w:val="20"/>
              </w:rPr>
              <w:t>6.32</w:t>
            </w:r>
          </w:p>
        </w:tc>
      </w:tr>
      <w:tr w:rsidR="00140050" w14:paraId="340A74D8" w14:textId="77777777" w:rsidTr="00CD608E">
        <w:trPr>
          <w:cnfStyle w:val="000000010000" w:firstRow="0" w:lastRow="0" w:firstColumn="0" w:lastColumn="0" w:oddVBand="0" w:evenVBand="0" w:oddHBand="0" w:evenHBand="1" w:firstRowFirstColumn="0" w:firstRowLastColumn="0" w:lastRowFirstColumn="0" w:lastRowLastColumn="0"/>
          <w:trHeight w:val="290"/>
          <w:jc w:val="center"/>
        </w:trPr>
        <w:tc>
          <w:tcPr>
            <w:tcW w:w="1934" w:type="dxa"/>
            <w:shd w:val="clear" w:color="auto" w:fill="auto"/>
            <w:vAlign w:val="top"/>
          </w:tcPr>
          <w:p w14:paraId="4D917339" w14:textId="42A08D99" w:rsidR="00140050" w:rsidRPr="00CD608E" w:rsidRDefault="00CD608E" w:rsidP="000A3B6D">
            <w:pPr>
              <w:tabs>
                <w:tab w:val="clear" w:pos="284"/>
              </w:tabs>
              <w:autoSpaceDE w:val="0"/>
              <w:autoSpaceDN w:val="0"/>
              <w:adjustRightInd w:val="0"/>
              <w:spacing w:line="240" w:lineRule="auto"/>
              <w:jc w:val="center"/>
              <w:rPr>
                <w:rFonts w:cs="Calibri"/>
                <w:color w:val="auto"/>
                <w:kern w:val="0"/>
                <w:szCs w:val="20"/>
              </w:rPr>
            </w:pPr>
            <w:r w:rsidRPr="00CD608E">
              <w:rPr>
                <w:rFonts w:cs="Calibri"/>
                <w:color w:val="auto"/>
                <w:kern w:val="0"/>
                <w:szCs w:val="20"/>
              </w:rPr>
              <w:t>Amherst City</w:t>
            </w:r>
          </w:p>
        </w:tc>
        <w:tc>
          <w:tcPr>
            <w:tcW w:w="1385" w:type="dxa"/>
            <w:shd w:val="clear" w:color="auto" w:fill="auto"/>
            <w:vAlign w:val="top"/>
          </w:tcPr>
          <w:p w14:paraId="5FFE2626" w14:textId="1D85A918" w:rsidR="00140050" w:rsidRPr="00CD608E" w:rsidRDefault="00CD608E" w:rsidP="000A3B6D">
            <w:pPr>
              <w:tabs>
                <w:tab w:val="clear" w:pos="284"/>
              </w:tabs>
              <w:autoSpaceDE w:val="0"/>
              <w:autoSpaceDN w:val="0"/>
              <w:adjustRightInd w:val="0"/>
              <w:spacing w:line="240" w:lineRule="auto"/>
              <w:jc w:val="center"/>
              <w:rPr>
                <w:rFonts w:cs="Calibri"/>
                <w:color w:val="auto"/>
                <w:kern w:val="0"/>
                <w:szCs w:val="20"/>
              </w:rPr>
            </w:pPr>
            <w:r w:rsidRPr="00CD608E">
              <w:rPr>
                <w:rFonts w:cs="Calibri"/>
                <w:color w:val="auto"/>
                <w:kern w:val="0"/>
                <w:szCs w:val="20"/>
              </w:rPr>
              <w:t>0.91</w:t>
            </w:r>
          </w:p>
        </w:tc>
      </w:tr>
      <w:tr w:rsidR="00140050" w14:paraId="3C9E9D6D" w14:textId="77777777" w:rsidTr="00134C88">
        <w:trPr>
          <w:cnfStyle w:val="000000100000" w:firstRow="0" w:lastRow="0" w:firstColumn="0" w:lastColumn="0" w:oddVBand="0" w:evenVBand="0" w:oddHBand="1" w:evenHBand="0" w:firstRowFirstColumn="0" w:firstRowLastColumn="0" w:lastRowFirstColumn="0" w:lastRowLastColumn="0"/>
          <w:trHeight w:val="290"/>
          <w:jc w:val="center"/>
        </w:trPr>
        <w:tc>
          <w:tcPr>
            <w:tcW w:w="1934" w:type="dxa"/>
            <w:shd w:val="clear" w:color="auto" w:fill="D9D9D9" w:themeFill="background1" w:themeFillShade="D9"/>
            <w:vAlign w:val="top"/>
          </w:tcPr>
          <w:p w14:paraId="103151AC" w14:textId="735D9F14" w:rsidR="00140050" w:rsidRPr="00CD608E" w:rsidRDefault="00CD608E" w:rsidP="000A3B6D">
            <w:pPr>
              <w:tabs>
                <w:tab w:val="clear" w:pos="284"/>
              </w:tabs>
              <w:autoSpaceDE w:val="0"/>
              <w:autoSpaceDN w:val="0"/>
              <w:adjustRightInd w:val="0"/>
              <w:spacing w:line="240" w:lineRule="auto"/>
              <w:jc w:val="center"/>
              <w:rPr>
                <w:rFonts w:cs="Calibri"/>
                <w:color w:val="auto"/>
                <w:kern w:val="0"/>
                <w:szCs w:val="20"/>
              </w:rPr>
            </w:pPr>
            <w:r w:rsidRPr="00CD608E">
              <w:rPr>
                <w:rFonts w:cs="Calibri"/>
                <w:color w:val="auto"/>
                <w:kern w:val="0"/>
                <w:szCs w:val="20"/>
              </w:rPr>
              <w:t>Anton City</w:t>
            </w:r>
          </w:p>
        </w:tc>
        <w:tc>
          <w:tcPr>
            <w:tcW w:w="1385" w:type="dxa"/>
            <w:shd w:val="clear" w:color="auto" w:fill="D9D9D9" w:themeFill="background1" w:themeFillShade="D9"/>
            <w:vAlign w:val="top"/>
          </w:tcPr>
          <w:p w14:paraId="4F16E6BC" w14:textId="081778BD" w:rsidR="00140050" w:rsidRPr="00CD608E" w:rsidRDefault="00134C88" w:rsidP="000A3B6D">
            <w:pPr>
              <w:tabs>
                <w:tab w:val="clear" w:pos="284"/>
              </w:tabs>
              <w:autoSpaceDE w:val="0"/>
              <w:autoSpaceDN w:val="0"/>
              <w:adjustRightInd w:val="0"/>
              <w:spacing w:line="240" w:lineRule="auto"/>
              <w:jc w:val="center"/>
              <w:rPr>
                <w:rFonts w:cs="Calibri"/>
                <w:color w:val="auto"/>
                <w:kern w:val="0"/>
                <w:szCs w:val="20"/>
              </w:rPr>
            </w:pPr>
            <w:r>
              <w:rPr>
                <w:rFonts w:cs="Calibri"/>
                <w:color w:val="auto"/>
                <w:kern w:val="0"/>
                <w:szCs w:val="20"/>
              </w:rPr>
              <w:t>1.03</w:t>
            </w:r>
          </w:p>
        </w:tc>
      </w:tr>
      <w:tr w:rsidR="00140050" w14:paraId="3ED1516D" w14:textId="77777777" w:rsidTr="00CD608E">
        <w:trPr>
          <w:cnfStyle w:val="000000010000" w:firstRow="0" w:lastRow="0" w:firstColumn="0" w:lastColumn="0" w:oddVBand="0" w:evenVBand="0" w:oddHBand="0" w:evenHBand="1" w:firstRowFirstColumn="0" w:firstRowLastColumn="0" w:lastRowFirstColumn="0" w:lastRowLastColumn="0"/>
          <w:trHeight w:val="290"/>
          <w:jc w:val="center"/>
        </w:trPr>
        <w:tc>
          <w:tcPr>
            <w:tcW w:w="1934" w:type="dxa"/>
            <w:shd w:val="clear" w:color="auto" w:fill="auto"/>
            <w:vAlign w:val="top"/>
          </w:tcPr>
          <w:p w14:paraId="2C0A445A" w14:textId="085EC460" w:rsidR="00140050" w:rsidRPr="00CD608E" w:rsidRDefault="00CD608E" w:rsidP="000A3B6D">
            <w:pPr>
              <w:tabs>
                <w:tab w:val="clear" w:pos="284"/>
              </w:tabs>
              <w:autoSpaceDE w:val="0"/>
              <w:autoSpaceDN w:val="0"/>
              <w:adjustRightInd w:val="0"/>
              <w:spacing w:line="240" w:lineRule="auto"/>
              <w:jc w:val="center"/>
              <w:rPr>
                <w:rFonts w:cs="Calibri"/>
                <w:color w:val="auto"/>
                <w:kern w:val="0"/>
                <w:szCs w:val="20"/>
              </w:rPr>
            </w:pPr>
            <w:r w:rsidRPr="00CD608E">
              <w:rPr>
                <w:rFonts w:cs="Calibri"/>
                <w:color w:val="auto"/>
                <w:kern w:val="0"/>
                <w:szCs w:val="20"/>
              </w:rPr>
              <w:t>Spade CPD</w:t>
            </w:r>
          </w:p>
        </w:tc>
        <w:tc>
          <w:tcPr>
            <w:tcW w:w="1385" w:type="dxa"/>
            <w:shd w:val="clear" w:color="auto" w:fill="auto"/>
            <w:vAlign w:val="top"/>
          </w:tcPr>
          <w:p w14:paraId="20ECFDCC" w14:textId="12F67D41" w:rsidR="00140050" w:rsidRPr="00CD608E" w:rsidRDefault="00CD608E" w:rsidP="000A3B6D">
            <w:pPr>
              <w:tabs>
                <w:tab w:val="clear" w:pos="284"/>
              </w:tabs>
              <w:autoSpaceDE w:val="0"/>
              <w:autoSpaceDN w:val="0"/>
              <w:adjustRightInd w:val="0"/>
              <w:spacing w:line="240" w:lineRule="auto"/>
              <w:jc w:val="center"/>
              <w:rPr>
                <w:rFonts w:cs="Calibri"/>
                <w:color w:val="auto"/>
                <w:kern w:val="0"/>
                <w:szCs w:val="20"/>
              </w:rPr>
            </w:pPr>
            <w:r w:rsidRPr="00CD608E">
              <w:rPr>
                <w:rFonts w:cs="Calibri"/>
                <w:color w:val="auto"/>
                <w:kern w:val="0"/>
                <w:szCs w:val="20"/>
              </w:rPr>
              <w:t>1.87</w:t>
            </w:r>
          </w:p>
        </w:tc>
      </w:tr>
      <w:tr w:rsidR="00140050" w14:paraId="67E802F7" w14:textId="77777777" w:rsidTr="0086558D">
        <w:trPr>
          <w:cnfStyle w:val="000000100000" w:firstRow="0" w:lastRow="0" w:firstColumn="0" w:lastColumn="0" w:oddVBand="0" w:evenVBand="0" w:oddHBand="1" w:evenHBand="0" w:firstRowFirstColumn="0" w:firstRowLastColumn="0" w:lastRowFirstColumn="0" w:lastRowLastColumn="0"/>
          <w:trHeight w:val="290"/>
          <w:jc w:val="center"/>
        </w:trPr>
        <w:tc>
          <w:tcPr>
            <w:tcW w:w="1934" w:type="dxa"/>
            <w:vAlign w:val="top"/>
          </w:tcPr>
          <w:p w14:paraId="7F2DA606" w14:textId="2AC97441" w:rsidR="00140050" w:rsidRPr="00134C88" w:rsidRDefault="00134C88" w:rsidP="000A3B6D">
            <w:pPr>
              <w:tabs>
                <w:tab w:val="clear" w:pos="284"/>
              </w:tabs>
              <w:autoSpaceDE w:val="0"/>
              <w:autoSpaceDN w:val="0"/>
              <w:adjustRightInd w:val="0"/>
              <w:spacing w:line="240" w:lineRule="auto"/>
              <w:jc w:val="center"/>
              <w:rPr>
                <w:rFonts w:cs="Calibri"/>
                <w:color w:val="auto"/>
                <w:kern w:val="0"/>
                <w:szCs w:val="20"/>
              </w:rPr>
            </w:pPr>
            <w:r w:rsidRPr="00134C88">
              <w:rPr>
                <w:rFonts w:cs="Calibri"/>
                <w:color w:val="auto"/>
                <w:kern w:val="0"/>
                <w:szCs w:val="20"/>
              </w:rPr>
              <w:t>Shallowwater City</w:t>
            </w:r>
          </w:p>
        </w:tc>
        <w:tc>
          <w:tcPr>
            <w:tcW w:w="1385" w:type="dxa"/>
            <w:vAlign w:val="top"/>
          </w:tcPr>
          <w:p w14:paraId="154735CF" w14:textId="727E7D6C" w:rsidR="00140050" w:rsidRPr="00134C88" w:rsidRDefault="00134C88" w:rsidP="000A3B6D">
            <w:pPr>
              <w:tabs>
                <w:tab w:val="clear" w:pos="284"/>
              </w:tabs>
              <w:autoSpaceDE w:val="0"/>
              <w:autoSpaceDN w:val="0"/>
              <w:adjustRightInd w:val="0"/>
              <w:spacing w:line="240" w:lineRule="auto"/>
              <w:jc w:val="center"/>
              <w:rPr>
                <w:rFonts w:cs="Calibri"/>
                <w:color w:val="auto"/>
                <w:kern w:val="0"/>
                <w:szCs w:val="20"/>
              </w:rPr>
            </w:pPr>
            <w:r w:rsidRPr="00134C88">
              <w:rPr>
                <w:rFonts w:cs="Calibri"/>
                <w:color w:val="auto"/>
                <w:kern w:val="0"/>
                <w:szCs w:val="20"/>
              </w:rPr>
              <w:t>1.55</w:t>
            </w:r>
          </w:p>
        </w:tc>
      </w:tr>
      <w:tr w:rsidR="00140050" w14:paraId="65C202A2" w14:textId="77777777" w:rsidTr="0086558D">
        <w:trPr>
          <w:cnfStyle w:val="000000010000" w:firstRow="0" w:lastRow="0" w:firstColumn="0" w:lastColumn="0" w:oddVBand="0" w:evenVBand="0" w:oddHBand="0" w:evenHBand="1" w:firstRowFirstColumn="0" w:firstRowLastColumn="0" w:lastRowFirstColumn="0" w:lastRowLastColumn="0"/>
          <w:trHeight w:val="290"/>
          <w:jc w:val="center"/>
        </w:trPr>
        <w:tc>
          <w:tcPr>
            <w:tcW w:w="1934" w:type="dxa"/>
            <w:vAlign w:val="top"/>
          </w:tcPr>
          <w:p w14:paraId="43C5158E" w14:textId="4FFB79D3" w:rsidR="00140050" w:rsidRPr="00134C88" w:rsidRDefault="00134C88" w:rsidP="000A3B6D">
            <w:pPr>
              <w:tabs>
                <w:tab w:val="clear" w:pos="284"/>
              </w:tabs>
              <w:autoSpaceDE w:val="0"/>
              <w:autoSpaceDN w:val="0"/>
              <w:adjustRightInd w:val="0"/>
              <w:spacing w:line="240" w:lineRule="auto"/>
              <w:jc w:val="center"/>
              <w:rPr>
                <w:szCs w:val="20"/>
              </w:rPr>
            </w:pPr>
            <w:r w:rsidRPr="00134C88">
              <w:rPr>
                <w:szCs w:val="20"/>
              </w:rPr>
              <w:t>Lubbock City</w:t>
            </w:r>
          </w:p>
        </w:tc>
        <w:tc>
          <w:tcPr>
            <w:tcW w:w="1385" w:type="dxa"/>
            <w:vAlign w:val="top"/>
          </w:tcPr>
          <w:p w14:paraId="7AD8AF17" w14:textId="39C7130F" w:rsidR="00140050" w:rsidRPr="00134C88" w:rsidRDefault="00134C88" w:rsidP="000A3B6D">
            <w:pPr>
              <w:tabs>
                <w:tab w:val="clear" w:pos="284"/>
              </w:tabs>
              <w:autoSpaceDE w:val="0"/>
              <w:autoSpaceDN w:val="0"/>
              <w:adjustRightInd w:val="0"/>
              <w:spacing w:line="240" w:lineRule="auto"/>
              <w:jc w:val="center"/>
              <w:rPr>
                <w:rFonts w:cs="Calibri"/>
                <w:kern w:val="0"/>
                <w:szCs w:val="20"/>
              </w:rPr>
            </w:pPr>
            <w:r w:rsidRPr="00134C88">
              <w:rPr>
                <w:rFonts w:cs="Calibri"/>
                <w:kern w:val="0"/>
                <w:szCs w:val="20"/>
              </w:rPr>
              <w:t>17.92</w:t>
            </w:r>
          </w:p>
        </w:tc>
      </w:tr>
      <w:tr w:rsidR="00134C88" w14:paraId="6E5BA0DB" w14:textId="77777777" w:rsidTr="0086558D">
        <w:trPr>
          <w:cnfStyle w:val="000000100000" w:firstRow="0" w:lastRow="0" w:firstColumn="0" w:lastColumn="0" w:oddVBand="0" w:evenVBand="0" w:oddHBand="1" w:evenHBand="0" w:firstRowFirstColumn="0" w:firstRowLastColumn="0" w:lastRowFirstColumn="0" w:lastRowLastColumn="0"/>
          <w:trHeight w:val="290"/>
          <w:jc w:val="center"/>
        </w:trPr>
        <w:tc>
          <w:tcPr>
            <w:tcW w:w="1934" w:type="dxa"/>
            <w:vAlign w:val="top"/>
          </w:tcPr>
          <w:p w14:paraId="03795006" w14:textId="63DFEA2F" w:rsidR="00134C88" w:rsidRPr="00134C88" w:rsidRDefault="00134C88" w:rsidP="000A3B6D">
            <w:pPr>
              <w:tabs>
                <w:tab w:val="clear" w:pos="284"/>
              </w:tabs>
              <w:autoSpaceDE w:val="0"/>
              <w:autoSpaceDN w:val="0"/>
              <w:adjustRightInd w:val="0"/>
              <w:spacing w:line="240" w:lineRule="auto"/>
              <w:jc w:val="center"/>
              <w:rPr>
                <w:szCs w:val="20"/>
              </w:rPr>
            </w:pPr>
            <w:r w:rsidRPr="00134C88">
              <w:rPr>
                <w:szCs w:val="20"/>
              </w:rPr>
              <w:t>Levelland City</w:t>
            </w:r>
          </w:p>
        </w:tc>
        <w:tc>
          <w:tcPr>
            <w:tcW w:w="1385" w:type="dxa"/>
            <w:vAlign w:val="top"/>
          </w:tcPr>
          <w:p w14:paraId="5FFFAB4D" w14:textId="62BB317D" w:rsidR="00134C88" w:rsidRPr="00134C88" w:rsidRDefault="00134C88" w:rsidP="000A3B6D">
            <w:pPr>
              <w:tabs>
                <w:tab w:val="clear" w:pos="284"/>
              </w:tabs>
              <w:autoSpaceDE w:val="0"/>
              <w:autoSpaceDN w:val="0"/>
              <w:adjustRightInd w:val="0"/>
              <w:spacing w:line="240" w:lineRule="auto"/>
              <w:jc w:val="center"/>
              <w:rPr>
                <w:rFonts w:cs="Calibri"/>
                <w:kern w:val="0"/>
                <w:szCs w:val="20"/>
              </w:rPr>
            </w:pPr>
            <w:r w:rsidRPr="00134C88">
              <w:rPr>
                <w:rFonts w:cs="Calibri"/>
                <w:kern w:val="0"/>
                <w:szCs w:val="20"/>
              </w:rPr>
              <w:t>0.45</w:t>
            </w:r>
          </w:p>
        </w:tc>
      </w:tr>
    </w:tbl>
    <w:p w14:paraId="2D39D2C1" w14:textId="77777777" w:rsidR="005A0E97" w:rsidRDefault="005A0E97" w:rsidP="005A0E97">
      <w:pPr>
        <w:pStyle w:val="BodyText"/>
      </w:pPr>
    </w:p>
    <w:p w14:paraId="7FB72764" w14:textId="77777777" w:rsidR="002C66FE" w:rsidRDefault="002C66FE" w:rsidP="002C66FE">
      <w:pPr>
        <w:pStyle w:val="Heading3"/>
      </w:pPr>
      <w:bookmarkStart w:id="83" w:name="_Toc112877078"/>
      <w:r>
        <w:lastRenderedPageBreak/>
        <w:t>Quality Control</w:t>
      </w:r>
      <w:bookmarkEnd w:id="83"/>
    </w:p>
    <w:p w14:paraId="306F1E9E" w14:textId="2B9327AC" w:rsidR="002C66FE" w:rsidRDefault="00717B8D" w:rsidP="002C66FE">
      <w:pPr>
        <w:pStyle w:val="BodyText"/>
      </w:pPr>
      <w:r>
        <w:t xml:space="preserve">The </w:t>
      </w:r>
      <w:r w:rsidR="002C66FE">
        <w:t>2D BLE results were independently assured to meet quality standards of the project. Standard checklists compl</w:t>
      </w:r>
      <w:r w:rsidR="00A15879">
        <w:t>y</w:t>
      </w:r>
      <w:r w:rsidR="002C66FE">
        <w:t xml:space="preserve">ing with FEMA standards were used to review hydrology and hydraulics results, the resulting flood hazard area delineations and CNMS dataset. </w:t>
      </w:r>
      <w:r w:rsidR="002C66FE" w:rsidRPr="000B5E8E">
        <w:t>Quality assurance during the data development process includes, but is not lim</w:t>
      </w:r>
      <w:r w:rsidR="002C66FE">
        <w:t xml:space="preserve">ited to the following QC checks: </w:t>
      </w:r>
    </w:p>
    <w:p w14:paraId="31F64D78" w14:textId="1D9DA3E9" w:rsidR="002C66FE" w:rsidRDefault="002C66FE" w:rsidP="002C66FE">
      <w:pPr>
        <w:pStyle w:val="BodyText"/>
        <w:numPr>
          <w:ilvl w:val="0"/>
          <w:numId w:val="36"/>
        </w:numPr>
      </w:pPr>
      <w:r>
        <w:t>Hydrological QC – included checks for curve number calculation, input precipitation, flood events, areal reduction factor and human error.</w:t>
      </w:r>
    </w:p>
    <w:p w14:paraId="5106C5AA" w14:textId="77777777" w:rsidR="002C66FE" w:rsidRDefault="002C66FE" w:rsidP="002C66FE">
      <w:pPr>
        <w:pStyle w:val="BodyText"/>
        <w:numPr>
          <w:ilvl w:val="0"/>
          <w:numId w:val="36"/>
        </w:numPr>
      </w:pPr>
      <w:r>
        <w:t>Hydraulic QC – included checks for RAS geometry, breakline placement, v-notch placement to ensure water conveyance at crossings, refinement regions, roughness coefficients, boundary/initial conditions, timestep and mapping outputs</w:t>
      </w:r>
    </w:p>
    <w:p w14:paraId="0BD9F921" w14:textId="5B39B14E" w:rsidR="002C66FE" w:rsidRDefault="002C66FE" w:rsidP="00900EAE">
      <w:pPr>
        <w:pStyle w:val="BodyText"/>
        <w:numPr>
          <w:ilvl w:val="0"/>
          <w:numId w:val="36"/>
        </w:numPr>
      </w:pPr>
      <w:r>
        <w:t xml:space="preserve">Mapping – </w:t>
      </w:r>
      <w:r w:rsidR="00900EAE">
        <w:t>i</w:t>
      </w:r>
      <w:r w:rsidR="00900EAE" w:rsidRPr="00900EAE">
        <w:t xml:space="preserve">ncluded checks for spot checking flood inundation accuracies based on floodplain mapping criteria described in section </w:t>
      </w:r>
      <w:r w:rsidR="00900EAE">
        <w:fldChar w:fldCharType="begin"/>
      </w:r>
      <w:r w:rsidR="00900EAE">
        <w:instrText xml:space="preserve"> REF _Ref82505774 \r \h </w:instrText>
      </w:r>
      <w:r w:rsidR="00900EAE">
        <w:fldChar w:fldCharType="separate"/>
      </w:r>
      <w:r w:rsidR="00C9792F">
        <w:t>4.1.2</w:t>
      </w:r>
      <w:r w:rsidR="00900EAE">
        <w:fldChar w:fldCharType="end"/>
      </w:r>
      <w:r w:rsidR="00900EAE" w:rsidRPr="00900EAE">
        <w:t>, ensuring flood extents from higher frequency events did not exceed lower frequency extents due to GIS smoothing algorithms, and topological overlap and cluster tolerance errors were resolved</w:t>
      </w:r>
    </w:p>
    <w:p w14:paraId="44372FD2" w14:textId="5F15DB16" w:rsidR="002C66FE" w:rsidRPr="00102C9D" w:rsidRDefault="002C66FE" w:rsidP="00634F33">
      <w:pPr>
        <w:pStyle w:val="BodyText"/>
        <w:numPr>
          <w:ilvl w:val="0"/>
          <w:numId w:val="36"/>
        </w:numPr>
      </w:pPr>
      <w:r>
        <w:t xml:space="preserve">CNMS - </w:t>
      </w:r>
      <w:r w:rsidR="00634F33" w:rsidRPr="00634F33">
        <w:t xml:space="preserve">Included review of the A1-A5 </w:t>
      </w:r>
      <w:r w:rsidR="00634F33">
        <w:t>a</w:t>
      </w:r>
      <w:r w:rsidR="00634F33" w:rsidRPr="00634F33">
        <w:t xml:space="preserve">nalysis for all effective approximate reaches in the HUC, geometry updates to newly studied reaches added as Zone X, and removal of scoped areas which lie outside of the final BLE footprint.  </w:t>
      </w:r>
    </w:p>
    <w:p w14:paraId="4BA79D91" w14:textId="77777777" w:rsidR="0048315A" w:rsidRDefault="00976A14" w:rsidP="002C66FE">
      <w:pPr>
        <w:pStyle w:val="Heading1"/>
        <w:numPr>
          <w:ilvl w:val="0"/>
          <w:numId w:val="21"/>
        </w:numPr>
      </w:pPr>
      <w:bookmarkStart w:id="84" w:name="_Toc112877079"/>
      <w:r w:rsidRPr="00CA2219">
        <w:t>Results</w:t>
      </w:r>
      <w:bookmarkEnd w:id="84"/>
    </w:p>
    <w:p w14:paraId="50A18CAC" w14:textId="0AF9866C" w:rsidR="00E95FA9" w:rsidRDefault="00A315D3" w:rsidP="00D53292">
      <w:pPr>
        <w:pStyle w:val="BodyText"/>
      </w:pPr>
      <w:r>
        <w:t xml:space="preserve">The 2D BLE results for the study produced flood hazard area that compared reasonably well </w:t>
      </w:r>
      <w:r w:rsidRPr="00B734C1">
        <w:t>with effective SFHA in most cases, and provide</w:t>
      </w:r>
      <w:r>
        <w:t>s</w:t>
      </w:r>
      <w:r w:rsidRPr="00B734C1">
        <w:t xml:space="preserve"> additional estimated </w:t>
      </w:r>
      <w:r>
        <w:t xml:space="preserve">flood hazard risk area where not previously mapped. </w:t>
      </w:r>
      <w:r w:rsidR="00AF62B2">
        <w:t>The HEC-RAS peak (max) results were exported for mapping and the HEC-RAS model</w:t>
      </w:r>
      <w:r w:rsidR="000C3194">
        <w:t>s were</w:t>
      </w:r>
      <w:r w:rsidR="00AF62B2">
        <w:t xml:space="preserve"> run with a </w:t>
      </w:r>
      <w:r w:rsidR="00AF62B2" w:rsidRPr="00D53292">
        <w:t>hydrograph output interval of 30 minutes, mapping output interval of 1 hour and the detailed output interval of 1 hour.</w:t>
      </w:r>
      <w:r w:rsidR="00480D27">
        <w:t xml:space="preserve"> </w:t>
      </w:r>
      <w:r w:rsidRPr="00D53292">
        <w:t xml:space="preserve">The </w:t>
      </w:r>
      <w:r w:rsidR="00D53292">
        <w:t>Yellow House Draw</w:t>
      </w:r>
      <w:r w:rsidR="0023430C">
        <w:t xml:space="preserve"> </w:t>
      </w:r>
      <w:r w:rsidR="005C72F6" w:rsidRPr="005C72F6">
        <w:t>watershed</w:t>
      </w:r>
      <w:r w:rsidR="0023430C">
        <w:t xml:space="preserve"> is</w:t>
      </w:r>
      <w:r>
        <w:t xml:space="preserve"> sufficient to facilitate FEMA regulatory processes while also providing the best available information for planning purposes</w:t>
      </w:r>
      <w:r w:rsidR="00717B8D">
        <w:t xml:space="preserve">. </w:t>
      </w:r>
      <w:r>
        <w:t>T</w:t>
      </w:r>
      <w:r w:rsidRPr="00C30B92">
        <w:t xml:space="preserve">he </w:t>
      </w:r>
      <w:r>
        <w:t>2D BLE</w:t>
      </w:r>
      <w:r w:rsidRPr="00C30B92">
        <w:t xml:space="preserve"> results should be verified through community work map meetings</w:t>
      </w:r>
      <w:r>
        <w:t xml:space="preserve"> as part of the regulatory workflow</w:t>
      </w:r>
      <w:r w:rsidRPr="0077449E">
        <w:t>.</w:t>
      </w:r>
      <w:r>
        <w:t xml:space="preserve"> </w:t>
      </w:r>
    </w:p>
    <w:p w14:paraId="05B44BD2" w14:textId="77777777" w:rsidR="00976A14" w:rsidRDefault="00976A14" w:rsidP="00265A9E">
      <w:pPr>
        <w:pStyle w:val="Heading2"/>
      </w:pPr>
      <w:bookmarkStart w:id="85" w:name="_Ref63069192"/>
      <w:bookmarkStart w:id="86" w:name="_Toc112877080"/>
      <w:r>
        <w:t>Calibration</w:t>
      </w:r>
      <w:bookmarkEnd w:id="85"/>
      <w:bookmarkEnd w:id="86"/>
    </w:p>
    <w:p w14:paraId="3ED56FFF" w14:textId="491E43CD" w:rsidR="00722A15" w:rsidRDefault="00D209E4" w:rsidP="001733FE">
      <w:pPr>
        <w:pStyle w:val="BodyText"/>
        <w:rPr>
          <w:rFonts w:cstheme="minorHAnsi"/>
        </w:rPr>
      </w:pPr>
      <w:r>
        <w:rPr>
          <w:rFonts w:cstheme="minorHAnsi"/>
        </w:rPr>
        <w:t xml:space="preserve">There are no USGS gages within the Yellow House Draw work </w:t>
      </w:r>
      <w:r w:rsidR="00726C95">
        <w:rPr>
          <w:rFonts w:cstheme="minorHAnsi"/>
        </w:rPr>
        <w:t>area</w:t>
      </w:r>
      <w:r w:rsidR="00722A15">
        <w:rPr>
          <w:rFonts w:cstheme="minorHAnsi"/>
        </w:rPr>
        <w:t xml:space="preserve">. </w:t>
      </w:r>
      <w:r w:rsidR="00722A15" w:rsidRPr="00722A15">
        <w:rPr>
          <w:rFonts w:cstheme="minorHAnsi"/>
        </w:rPr>
        <w:t>Yellow House Draw includes unique regional geologic features called Playa Lakes. These features are typically small, shallow circular wetland depressions within the landscape that impact the hydrology of the area by retaining runoff. Typical regression equations assume that the entire drainage area at a given point contributes to the flow at the analysis location. For Yellow House Draw, due to the significant amount of storage from Playa Lakes located within the watershed, typical regression analysis do not account for water detained within the landscape; thus a modified regression analysis and closed basin analyses were used to identify a target range of discharges and verify model results.</w:t>
      </w:r>
      <w:r w:rsidR="002F265C">
        <w:rPr>
          <w:rFonts w:cstheme="minorHAnsi"/>
        </w:rPr>
        <w:t xml:space="preserve"> </w:t>
      </w:r>
      <w:r w:rsidR="002F265C">
        <w:rPr>
          <w:rFonts w:cstheme="minorHAnsi"/>
        </w:rPr>
        <w:fldChar w:fldCharType="begin"/>
      </w:r>
      <w:r w:rsidR="002F265C">
        <w:rPr>
          <w:rFonts w:cstheme="minorHAnsi"/>
        </w:rPr>
        <w:instrText xml:space="preserve"> REF _Ref112857373 \h </w:instrText>
      </w:r>
      <w:r w:rsidR="002F265C">
        <w:rPr>
          <w:rFonts w:cstheme="minorHAnsi"/>
        </w:rPr>
      </w:r>
      <w:r w:rsidR="002F265C">
        <w:rPr>
          <w:rFonts w:cstheme="minorHAnsi"/>
        </w:rPr>
        <w:fldChar w:fldCharType="separate"/>
      </w:r>
      <w:r w:rsidR="00C9792F">
        <w:t xml:space="preserve">Figure </w:t>
      </w:r>
      <w:r w:rsidR="00C9792F">
        <w:rPr>
          <w:noProof/>
        </w:rPr>
        <w:t>14</w:t>
      </w:r>
      <w:r w:rsidR="002F265C">
        <w:rPr>
          <w:rFonts w:cstheme="minorHAnsi"/>
        </w:rPr>
        <w:fldChar w:fldCharType="end"/>
      </w:r>
      <w:r w:rsidR="002F265C">
        <w:rPr>
          <w:rFonts w:cstheme="minorHAnsi"/>
        </w:rPr>
        <w:t xml:space="preserve"> shows the water retained in the numerous playas at the end of the simulation (after storm event). </w:t>
      </w:r>
    </w:p>
    <w:p w14:paraId="4845CB81" w14:textId="49E9E853" w:rsidR="00722A15" w:rsidRDefault="00722A15" w:rsidP="001733FE">
      <w:pPr>
        <w:pStyle w:val="BodyText"/>
        <w:rPr>
          <w:rFonts w:cstheme="minorHAnsi"/>
        </w:rPr>
      </w:pPr>
    </w:p>
    <w:p w14:paraId="192AC8B6" w14:textId="77777777" w:rsidR="002F265C" w:rsidRDefault="002F265C" w:rsidP="002F265C">
      <w:pPr>
        <w:pStyle w:val="BodyText"/>
        <w:keepNext/>
      </w:pPr>
      <w:r>
        <w:rPr>
          <w:noProof/>
        </w:rPr>
        <w:lastRenderedPageBreak/>
        <w:drawing>
          <wp:inline distT="0" distB="0" distL="0" distR="0" wp14:anchorId="78EEB4B1" wp14:editId="477B843E">
            <wp:extent cx="5406887" cy="3746118"/>
            <wp:effectExtent l="19050" t="19050" r="22860" b="2603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a:stretch>
                      <a:fillRect/>
                    </a:stretch>
                  </pic:blipFill>
                  <pic:spPr>
                    <a:xfrm>
                      <a:off x="0" y="0"/>
                      <a:ext cx="5406207" cy="3745647"/>
                    </a:xfrm>
                    <a:prstGeom prst="rect">
                      <a:avLst/>
                    </a:prstGeom>
                    <a:ln>
                      <a:solidFill>
                        <a:schemeClr val="tx1"/>
                      </a:solidFill>
                    </a:ln>
                  </pic:spPr>
                </pic:pic>
              </a:graphicData>
            </a:graphic>
          </wp:inline>
        </w:drawing>
      </w:r>
    </w:p>
    <w:p w14:paraId="1B860D8F" w14:textId="656D36A0" w:rsidR="002F265C" w:rsidRDefault="002F265C" w:rsidP="002F265C">
      <w:pPr>
        <w:pStyle w:val="Caption"/>
        <w:jc w:val="center"/>
        <w:rPr>
          <w:rFonts w:cstheme="minorHAnsi"/>
        </w:rPr>
      </w:pPr>
      <w:bookmarkStart w:id="87" w:name="_Ref112857373"/>
      <w:bookmarkStart w:id="88" w:name="_Toc112877042"/>
      <w:r>
        <w:t xml:space="preserve">Figure </w:t>
      </w:r>
      <w:r>
        <w:fldChar w:fldCharType="begin"/>
      </w:r>
      <w:r>
        <w:instrText xml:space="preserve"> SEQ Figure \* ARABIC </w:instrText>
      </w:r>
      <w:r>
        <w:fldChar w:fldCharType="separate"/>
      </w:r>
      <w:r w:rsidR="00C9792F">
        <w:rPr>
          <w:noProof/>
        </w:rPr>
        <w:t>14</w:t>
      </w:r>
      <w:r>
        <w:fldChar w:fldCharType="end"/>
      </w:r>
      <w:bookmarkEnd w:id="87"/>
      <w:r>
        <w:t xml:space="preserve">: Water </w:t>
      </w:r>
      <w:r w:rsidR="00D55765">
        <w:t>Retained in Playas After a Storm E</w:t>
      </w:r>
      <w:r>
        <w:t>vent</w:t>
      </w:r>
      <w:bookmarkEnd w:id="88"/>
    </w:p>
    <w:p w14:paraId="7C836338" w14:textId="610DE7BB" w:rsidR="00D45EAD" w:rsidRDefault="0022509E" w:rsidP="001733FE">
      <w:pPr>
        <w:pStyle w:val="BodyText"/>
        <w:rPr>
          <w:rFonts w:cstheme="minorHAnsi"/>
        </w:rPr>
      </w:pPr>
      <w:r>
        <w:rPr>
          <w:rFonts w:cs="Arial"/>
        </w:rPr>
        <w:t xml:space="preserve">The modified regression analysis included removing drainage area from the total area used for regression calculation that was determined to be retained in a Playa Lake or in a “closed basin”. </w:t>
      </w:r>
      <w:r w:rsidR="00D45EAD">
        <w:rPr>
          <w:rFonts w:cstheme="minorHAnsi"/>
        </w:rPr>
        <w:t>In order to determine if a drainage area was a closed basin, contours based on the terrain data were generated and a volume analysis was completed to establish how much water the identified basin could contain during the 100-yr event. If it was determined that the lake or playa could hold all water contributing to it from the identified drainage, then it is assumed to be a closed basin and no water will flow out. The area contributing to the identified basin was then removed from the total area included in the regression calculation. If it was found that the basin in question was not a closed basin, and the volume of water being applied was greater than the storage volume, the area was kept in the regression calculation and no changes were made.</w:t>
      </w:r>
    </w:p>
    <w:p w14:paraId="3E6E3495" w14:textId="77777777" w:rsidR="00C9792F" w:rsidRDefault="000C6387">
      <w:pPr>
        <w:tabs>
          <w:tab w:val="clear" w:pos="284"/>
        </w:tabs>
        <w:spacing w:line="240" w:lineRule="auto"/>
        <w:rPr>
          <w:rFonts w:asciiTheme="majorHAnsi" w:hAnsiTheme="majorHAnsi"/>
          <w:b/>
          <w:bCs/>
          <w:color w:val="00B5E2" w:themeColor="accent1"/>
        </w:rPr>
      </w:pPr>
      <w:r>
        <w:rPr>
          <w:rFonts w:cstheme="minorHAnsi"/>
        </w:rPr>
        <w:t>During early modeling efforts for the HUC8, it</w:t>
      </w:r>
      <w:r w:rsidR="002920FA">
        <w:rPr>
          <w:rFonts w:cstheme="minorHAnsi"/>
        </w:rPr>
        <w:t xml:space="preserve"> was determined </w:t>
      </w:r>
      <w:r w:rsidR="00115CAC">
        <w:rPr>
          <w:rFonts w:cstheme="minorHAnsi"/>
        </w:rPr>
        <w:t>based on these closed basin an</w:t>
      </w:r>
      <w:r w:rsidR="001D1E91">
        <w:rPr>
          <w:rFonts w:cstheme="minorHAnsi"/>
        </w:rPr>
        <w:t>alyses that YHD1 and YHD2, along with a small portion (approximately 65 square miles, on Texas side)</w:t>
      </w:r>
      <w:r w:rsidR="00A3583B">
        <w:rPr>
          <w:rFonts w:cstheme="minorHAnsi"/>
        </w:rPr>
        <w:t xml:space="preserve"> of YHD3, </w:t>
      </w:r>
      <w:r w:rsidR="00115CAC">
        <w:rPr>
          <w:rFonts w:cstheme="minorHAnsi"/>
        </w:rPr>
        <w:t xml:space="preserve">contribute entirely to a </w:t>
      </w:r>
      <w:r w:rsidR="006828D7">
        <w:rPr>
          <w:rFonts w:cstheme="minorHAnsi"/>
        </w:rPr>
        <w:t xml:space="preserve">closed basin, Lower White Lake. </w:t>
      </w:r>
      <w:r w:rsidR="00A3583B">
        <w:rPr>
          <w:rFonts w:cstheme="minorHAnsi"/>
        </w:rPr>
        <w:t xml:space="preserve">Flow from YHD2 leaves the model area and goes into YHD3 briefly, with the combined flows entering YHD1 near Lower White Lake. </w:t>
      </w:r>
      <w:r w:rsidR="00115CAC">
        <w:rPr>
          <w:rFonts w:cstheme="minorHAnsi"/>
        </w:rPr>
        <w:t>Based on this analysis YHD1 and YHD2 were not individually calibrated to regression. The CNs for these two work areas were adjusted identically to the remaining models that were able to calibrate.</w:t>
      </w:r>
      <w:r w:rsidR="00413FF4">
        <w:rPr>
          <w:rFonts w:cstheme="minorHAnsi"/>
        </w:rPr>
        <w:t xml:space="preserve"> </w:t>
      </w:r>
      <w:r w:rsidR="00413FF4">
        <w:rPr>
          <w:rFonts w:cstheme="minorHAnsi"/>
        </w:rPr>
        <w:fldChar w:fldCharType="begin"/>
      </w:r>
      <w:r w:rsidR="00413FF4">
        <w:rPr>
          <w:rFonts w:cstheme="minorHAnsi"/>
        </w:rPr>
        <w:instrText xml:space="preserve"> REF _Ref61266074 \h </w:instrText>
      </w:r>
      <w:r w:rsidR="00413FF4">
        <w:rPr>
          <w:rFonts w:cstheme="minorHAnsi"/>
        </w:rPr>
      </w:r>
      <w:r w:rsidR="00413FF4">
        <w:rPr>
          <w:rFonts w:cstheme="minorHAnsi"/>
        </w:rPr>
        <w:fldChar w:fldCharType="separate"/>
      </w:r>
      <w:r w:rsidR="00C9792F">
        <w:br w:type="page"/>
      </w:r>
    </w:p>
    <w:p w14:paraId="4EFAA19B" w14:textId="7D69CBE0" w:rsidR="001733FE" w:rsidRDefault="00C9792F" w:rsidP="001733FE">
      <w:pPr>
        <w:pStyle w:val="BodyText"/>
        <w:rPr>
          <w:rFonts w:cstheme="minorHAnsi"/>
        </w:rPr>
      </w:pPr>
      <w:r>
        <w:lastRenderedPageBreak/>
        <w:t xml:space="preserve">Table </w:t>
      </w:r>
      <w:r>
        <w:rPr>
          <w:noProof/>
        </w:rPr>
        <w:t>9</w:t>
      </w:r>
      <w:r w:rsidR="00413FF4">
        <w:rPr>
          <w:rFonts w:cstheme="minorHAnsi"/>
        </w:rPr>
        <w:fldChar w:fldCharType="end"/>
      </w:r>
      <w:r w:rsidR="00413FF4">
        <w:rPr>
          <w:rFonts w:cstheme="minorHAnsi"/>
        </w:rPr>
        <w:t xml:space="preserve"> below shows the calibration results for YHD3, YHD4, and YHD5.</w:t>
      </w:r>
    </w:p>
    <w:p w14:paraId="1CC113F7" w14:textId="77777777" w:rsidR="009B5454" w:rsidRDefault="009B5454">
      <w:pPr>
        <w:tabs>
          <w:tab w:val="clear" w:pos="284"/>
        </w:tabs>
        <w:spacing w:line="240" w:lineRule="auto"/>
        <w:rPr>
          <w:rFonts w:asciiTheme="majorHAnsi" w:hAnsiTheme="majorHAnsi"/>
          <w:b/>
          <w:bCs/>
          <w:color w:val="00B5E2" w:themeColor="accent1"/>
        </w:rPr>
      </w:pPr>
      <w:bookmarkStart w:id="89" w:name="_Ref61266074"/>
      <w:bookmarkStart w:id="90" w:name="_Ref82531454"/>
      <w:r>
        <w:br w:type="page"/>
      </w:r>
    </w:p>
    <w:p w14:paraId="561777E5" w14:textId="6BB513AF" w:rsidR="00A315D3" w:rsidRDefault="00A315D3" w:rsidP="007C3827">
      <w:pPr>
        <w:pStyle w:val="Caption"/>
        <w:jc w:val="center"/>
      </w:pPr>
      <w:bookmarkStart w:id="91" w:name="_Toc112877054"/>
      <w:r>
        <w:lastRenderedPageBreak/>
        <w:t xml:space="preserve">Table </w:t>
      </w:r>
      <w:r w:rsidR="0047146E">
        <w:fldChar w:fldCharType="begin"/>
      </w:r>
      <w:r w:rsidR="0047146E">
        <w:instrText xml:space="preserve"> SEQ Table \* ARABIC </w:instrText>
      </w:r>
      <w:r w:rsidR="0047146E">
        <w:fldChar w:fldCharType="separate"/>
      </w:r>
      <w:r w:rsidR="00C9792F">
        <w:rPr>
          <w:noProof/>
        </w:rPr>
        <w:t>9</w:t>
      </w:r>
      <w:r w:rsidR="0047146E">
        <w:fldChar w:fldCharType="end"/>
      </w:r>
      <w:bookmarkEnd w:id="89"/>
      <w:bookmarkEnd w:id="90"/>
      <w:r>
        <w:t>: Calibration Results</w:t>
      </w:r>
      <w:bookmarkEnd w:id="91"/>
    </w:p>
    <w:tbl>
      <w:tblPr>
        <w:tblStyle w:val="CompassTable"/>
        <w:tblW w:w="0" w:type="auto"/>
        <w:jc w:val="center"/>
        <w:tblLayout w:type="fixed"/>
        <w:tblLook w:val="04A0" w:firstRow="1" w:lastRow="0" w:firstColumn="1" w:lastColumn="0" w:noHBand="0" w:noVBand="1"/>
      </w:tblPr>
      <w:tblGrid>
        <w:gridCol w:w="943"/>
        <w:gridCol w:w="1256"/>
        <w:gridCol w:w="1409"/>
        <w:gridCol w:w="1409"/>
        <w:gridCol w:w="1180"/>
        <w:gridCol w:w="1256"/>
        <w:gridCol w:w="1027"/>
        <w:gridCol w:w="1096"/>
      </w:tblGrid>
      <w:tr w:rsidR="00AB3534" w:rsidRPr="00A315D3" w14:paraId="1EA241A3" w14:textId="77777777" w:rsidTr="00AB3534">
        <w:trPr>
          <w:cnfStyle w:val="100000000000" w:firstRow="1" w:lastRow="0" w:firstColumn="0" w:lastColumn="0" w:oddVBand="0" w:evenVBand="0" w:oddHBand="0" w:evenHBand="0" w:firstRowFirstColumn="0" w:firstRowLastColumn="0" w:lastRowFirstColumn="0" w:lastRowLastColumn="0"/>
          <w:trHeight w:val="244"/>
          <w:jc w:val="center"/>
        </w:trPr>
        <w:tc>
          <w:tcPr>
            <w:tcW w:w="943" w:type="dxa"/>
            <w:vMerge w:val="restart"/>
            <w:shd w:val="clear" w:color="auto" w:fill="00B5E2" w:themeFill="accent1"/>
            <w:hideMark/>
          </w:tcPr>
          <w:p w14:paraId="5D5F6774" w14:textId="4A398630" w:rsidR="00AB3534" w:rsidRPr="00BC6495" w:rsidRDefault="00AB3534" w:rsidP="001E44B6">
            <w:pPr>
              <w:tabs>
                <w:tab w:val="clear" w:pos="284"/>
              </w:tabs>
              <w:spacing w:line="240" w:lineRule="auto"/>
              <w:jc w:val="center"/>
              <w:rPr>
                <w:rFonts w:eastAsia="Times New Roman" w:cs="Times New Roman"/>
                <w:kern w:val="0"/>
                <w:sz w:val="20"/>
                <w:szCs w:val="20"/>
              </w:rPr>
            </w:pPr>
            <w:r>
              <w:rPr>
                <w:rFonts w:eastAsia="Times New Roman" w:cs="Times New Roman"/>
                <w:kern w:val="0"/>
                <w:sz w:val="20"/>
                <w:szCs w:val="20"/>
              </w:rPr>
              <w:t>Work Area</w:t>
            </w:r>
          </w:p>
        </w:tc>
        <w:tc>
          <w:tcPr>
            <w:tcW w:w="1256" w:type="dxa"/>
            <w:vMerge w:val="restart"/>
            <w:shd w:val="clear" w:color="auto" w:fill="00B5E2" w:themeFill="accent1"/>
            <w:hideMark/>
          </w:tcPr>
          <w:p w14:paraId="3010B01F" w14:textId="0E35B76B" w:rsidR="00AB3534" w:rsidRPr="00BC6495" w:rsidRDefault="00AB3534" w:rsidP="001E44B6">
            <w:pPr>
              <w:tabs>
                <w:tab w:val="clear" w:pos="284"/>
              </w:tabs>
              <w:spacing w:line="240" w:lineRule="auto"/>
              <w:jc w:val="center"/>
              <w:rPr>
                <w:rFonts w:eastAsia="Times New Roman" w:cs="Times New Roman"/>
                <w:kern w:val="0"/>
                <w:sz w:val="20"/>
                <w:szCs w:val="20"/>
              </w:rPr>
            </w:pPr>
            <w:r>
              <w:rPr>
                <w:rFonts w:eastAsia="Times New Roman" w:cs="Times New Roman"/>
                <w:kern w:val="0"/>
                <w:sz w:val="20"/>
                <w:szCs w:val="20"/>
              </w:rPr>
              <w:t>Location</w:t>
            </w:r>
          </w:p>
        </w:tc>
        <w:tc>
          <w:tcPr>
            <w:tcW w:w="1409" w:type="dxa"/>
            <w:vMerge w:val="restart"/>
            <w:shd w:val="clear" w:color="auto" w:fill="00B5E2" w:themeFill="accent1"/>
          </w:tcPr>
          <w:p w14:paraId="16480BAA" w14:textId="0C10775F" w:rsidR="00AB3534" w:rsidRDefault="00AB3534" w:rsidP="00AB3534">
            <w:pPr>
              <w:spacing w:line="240" w:lineRule="auto"/>
              <w:jc w:val="center"/>
              <w:rPr>
                <w:rFonts w:eastAsia="Times New Roman" w:cs="Times New Roman"/>
                <w:kern w:val="0"/>
                <w:szCs w:val="20"/>
              </w:rPr>
            </w:pPr>
            <w:r>
              <w:rPr>
                <w:rFonts w:eastAsia="Times New Roman" w:cs="Times New Roman"/>
                <w:kern w:val="0"/>
                <w:szCs w:val="20"/>
              </w:rPr>
              <w:t>Un-adjusted Drainage Area</w:t>
            </w:r>
            <w:r>
              <w:rPr>
                <w:rFonts w:eastAsia="Times New Roman" w:cs="Times New Roman"/>
                <w:kern w:val="0"/>
                <w:szCs w:val="20"/>
              </w:rPr>
              <w:br/>
            </w:r>
            <w:r w:rsidRPr="00413FF4">
              <w:rPr>
                <w:rFonts w:eastAsia="Times New Roman" w:cs="Times New Roman"/>
                <w:kern w:val="0"/>
                <w:sz w:val="20"/>
                <w:szCs w:val="20"/>
              </w:rPr>
              <w:t>(</w:t>
            </w:r>
            <w:r>
              <w:rPr>
                <w:rFonts w:eastAsia="Times New Roman" w:cs="Times New Roman"/>
                <w:kern w:val="0"/>
                <w:sz w:val="20"/>
                <w:szCs w:val="20"/>
              </w:rPr>
              <w:t>Mi</w:t>
            </w:r>
            <w:r w:rsidRPr="00AB3534">
              <w:rPr>
                <w:rFonts w:eastAsia="Times New Roman" w:cs="Times New Roman"/>
                <w:kern w:val="0"/>
                <w:sz w:val="20"/>
                <w:szCs w:val="20"/>
                <w:vertAlign w:val="superscript"/>
              </w:rPr>
              <w:t>2</w:t>
            </w:r>
            <w:r w:rsidRPr="00413FF4">
              <w:rPr>
                <w:rFonts w:eastAsia="Times New Roman" w:cs="Times New Roman"/>
                <w:kern w:val="0"/>
                <w:sz w:val="20"/>
                <w:szCs w:val="20"/>
              </w:rPr>
              <w:t>)</w:t>
            </w:r>
            <w:r>
              <w:rPr>
                <w:rFonts w:eastAsia="Times New Roman" w:cs="Times New Roman"/>
                <w:kern w:val="0"/>
                <w:szCs w:val="20"/>
              </w:rPr>
              <w:t xml:space="preserve"> </w:t>
            </w:r>
          </w:p>
        </w:tc>
        <w:tc>
          <w:tcPr>
            <w:tcW w:w="1409" w:type="dxa"/>
            <w:vMerge w:val="restart"/>
            <w:shd w:val="clear" w:color="auto" w:fill="00B5E2" w:themeFill="accent1"/>
          </w:tcPr>
          <w:p w14:paraId="0B416D15" w14:textId="5B20D995" w:rsidR="00AB3534" w:rsidRPr="00BC6495" w:rsidRDefault="00AB3534" w:rsidP="00AB3534">
            <w:pPr>
              <w:spacing w:line="240" w:lineRule="auto"/>
              <w:jc w:val="center"/>
              <w:rPr>
                <w:rFonts w:eastAsia="Times New Roman" w:cs="Times New Roman"/>
                <w:kern w:val="0"/>
                <w:sz w:val="20"/>
                <w:szCs w:val="20"/>
              </w:rPr>
            </w:pPr>
            <w:r>
              <w:rPr>
                <w:rFonts w:eastAsia="Times New Roman" w:cs="Times New Roman"/>
                <w:kern w:val="0"/>
                <w:szCs w:val="20"/>
              </w:rPr>
              <w:t xml:space="preserve">Drainage Area </w:t>
            </w:r>
            <w:r w:rsidRPr="00413FF4">
              <w:rPr>
                <w:rFonts w:eastAsia="Times New Roman" w:cs="Times New Roman"/>
                <w:kern w:val="0"/>
                <w:sz w:val="20"/>
                <w:szCs w:val="20"/>
              </w:rPr>
              <w:t>(adjusted for closed basins)</w:t>
            </w:r>
            <w:r>
              <w:rPr>
                <w:rFonts w:eastAsia="Times New Roman" w:cs="Times New Roman"/>
                <w:kern w:val="0"/>
                <w:szCs w:val="20"/>
              </w:rPr>
              <w:t xml:space="preserve"> </w:t>
            </w:r>
            <w:r w:rsidRPr="00413FF4">
              <w:rPr>
                <w:rFonts w:eastAsia="Times New Roman" w:cs="Times New Roman"/>
                <w:kern w:val="0"/>
                <w:sz w:val="20"/>
                <w:szCs w:val="20"/>
              </w:rPr>
              <w:t>(</w:t>
            </w:r>
            <w:r>
              <w:rPr>
                <w:rFonts w:eastAsia="Times New Roman" w:cs="Times New Roman"/>
                <w:kern w:val="0"/>
                <w:sz w:val="20"/>
                <w:szCs w:val="20"/>
              </w:rPr>
              <w:t>Mi</w:t>
            </w:r>
            <w:r w:rsidRPr="00AB3534">
              <w:rPr>
                <w:rFonts w:eastAsia="Times New Roman" w:cs="Times New Roman"/>
                <w:kern w:val="0"/>
                <w:sz w:val="20"/>
                <w:szCs w:val="20"/>
                <w:vertAlign w:val="superscript"/>
              </w:rPr>
              <w:t>2</w:t>
            </w:r>
            <w:r w:rsidRPr="00413FF4">
              <w:rPr>
                <w:rFonts w:eastAsia="Times New Roman" w:cs="Times New Roman"/>
                <w:kern w:val="0"/>
                <w:sz w:val="20"/>
                <w:szCs w:val="20"/>
              </w:rPr>
              <w:t>)</w:t>
            </w:r>
          </w:p>
        </w:tc>
        <w:tc>
          <w:tcPr>
            <w:tcW w:w="3463" w:type="dxa"/>
            <w:gridSpan w:val="3"/>
            <w:shd w:val="clear" w:color="auto" w:fill="00B5E2" w:themeFill="accent1"/>
          </w:tcPr>
          <w:p w14:paraId="68026D9B" w14:textId="77777777" w:rsidR="00AB3534" w:rsidRPr="00BC6495" w:rsidRDefault="00AB3534" w:rsidP="001E44B6">
            <w:pPr>
              <w:spacing w:line="240" w:lineRule="auto"/>
              <w:jc w:val="center"/>
              <w:rPr>
                <w:rFonts w:eastAsia="Times New Roman" w:cs="Times New Roman"/>
                <w:kern w:val="0"/>
                <w:szCs w:val="20"/>
              </w:rPr>
            </w:pPr>
            <w:r w:rsidRPr="00BC6495">
              <w:rPr>
                <w:rFonts w:eastAsia="Times New Roman" w:cs="Times New Roman"/>
                <w:kern w:val="0"/>
                <w:szCs w:val="20"/>
              </w:rPr>
              <w:t>Reference</w:t>
            </w:r>
          </w:p>
        </w:tc>
        <w:tc>
          <w:tcPr>
            <w:tcW w:w="1096" w:type="dxa"/>
            <w:vMerge w:val="restart"/>
            <w:shd w:val="clear" w:color="auto" w:fill="00B5E2" w:themeFill="accent1"/>
          </w:tcPr>
          <w:p w14:paraId="4033CF3E" w14:textId="50A0598F" w:rsidR="00AB3534" w:rsidRPr="00BC6495" w:rsidRDefault="00AB3534" w:rsidP="00A1605B">
            <w:pPr>
              <w:spacing w:line="240" w:lineRule="auto"/>
              <w:jc w:val="center"/>
              <w:rPr>
                <w:rFonts w:eastAsia="Times New Roman" w:cs="Times New Roman"/>
                <w:kern w:val="0"/>
                <w:szCs w:val="20"/>
              </w:rPr>
            </w:pPr>
            <w:r w:rsidRPr="00BC6495">
              <w:rPr>
                <w:rFonts w:eastAsia="Times New Roman" w:cs="Times New Roman"/>
                <w:kern w:val="0"/>
                <w:szCs w:val="20"/>
              </w:rPr>
              <w:t xml:space="preserve">HEC-RAS </w:t>
            </w:r>
            <w:r>
              <w:rPr>
                <w:rFonts w:eastAsia="Times New Roman" w:cs="Times New Roman"/>
                <w:kern w:val="0"/>
                <w:szCs w:val="20"/>
              </w:rPr>
              <w:t>6.1</w:t>
            </w:r>
            <w:r w:rsidRPr="00BC6495">
              <w:rPr>
                <w:rFonts w:eastAsia="Times New Roman" w:cs="Times New Roman"/>
                <w:kern w:val="0"/>
                <w:szCs w:val="20"/>
              </w:rPr>
              <w:t xml:space="preserve"> (2D)</w:t>
            </w:r>
            <w:r>
              <w:rPr>
                <w:rFonts w:eastAsia="Times New Roman" w:cs="Times New Roman"/>
                <w:kern w:val="0"/>
                <w:szCs w:val="20"/>
              </w:rPr>
              <w:br/>
              <w:t>(cfs)</w:t>
            </w:r>
          </w:p>
        </w:tc>
      </w:tr>
      <w:tr w:rsidR="00AB3534" w:rsidRPr="00A315D3" w14:paraId="34F5BC6A" w14:textId="77777777" w:rsidTr="00AB3534">
        <w:trPr>
          <w:cnfStyle w:val="000000100000" w:firstRow="0" w:lastRow="0" w:firstColumn="0" w:lastColumn="0" w:oddVBand="0" w:evenVBand="0" w:oddHBand="1" w:evenHBand="0" w:firstRowFirstColumn="0" w:firstRowLastColumn="0" w:lastRowFirstColumn="0" w:lastRowLastColumn="0"/>
          <w:trHeight w:val="826"/>
          <w:jc w:val="center"/>
        </w:trPr>
        <w:tc>
          <w:tcPr>
            <w:tcW w:w="943" w:type="dxa"/>
            <w:vMerge/>
            <w:shd w:val="clear" w:color="auto" w:fill="00B5E2" w:themeFill="accent1"/>
            <w:hideMark/>
          </w:tcPr>
          <w:p w14:paraId="51BCC1F6" w14:textId="77777777" w:rsidR="00AB3534" w:rsidRPr="00A315D3" w:rsidRDefault="00AB3534" w:rsidP="001E44B6">
            <w:pPr>
              <w:tabs>
                <w:tab w:val="clear" w:pos="284"/>
              </w:tabs>
              <w:spacing w:line="240" w:lineRule="auto"/>
              <w:jc w:val="center"/>
              <w:rPr>
                <w:rFonts w:eastAsia="Times New Roman" w:cs="Times New Roman"/>
                <w:b/>
                <w:bCs/>
                <w:color w:val="FFFFFF"/>
                <w:kern w:val="0"/>
                <w:szCs w:val="20"/>
              </w:rPr>
            </w:pPr>
          </w:p>
        </w:tc>
        <w:tc>
          <w:tcPr>
            <w:tcW w:w="1256" w:type="dxa"/>
            <w:vMerge/>
            <w:shd w:val="clear" w:color="auto" w:fill="00B5E2" w:themeFill="accent1"/>
            <w:hideMark/>
          </w:tcPr>
          <w:p w14:paraId="5169D99A" w14:textId="77777777" w:rsidR="00AB3534" w:rsidRPr="00A315D3" w:rsidRDefault="00AB3534" w:rsidP="001E44B6">
            <w:pPr>
              <w:tabs>
                <w:tab w:val="clear" w:pos="284"/>
              </w:tabs>
              <w:spacing w:line="240" w:lineRule="auto"/>
              <w:jc w:val="center"/>
              <w:rPr>
                <w:rFonts w:eastAsia="Times New Roman" w:cs="Times New Roman"/>
                <w:b/>
                <w:bCs/>
                <w:color w:val="FFFFFF"/>
                <w:kern w:val="0"/>
                <w:szCs w:val="20"/>
              </w:rPr>
            </w:pPr>
          </w:p>
        </w:tc>
        <w:tc>
          <w:tcPr>
            <w:tcW w:w="1409" w:type="dxa"/>
            <w:vMerge/>
            <w:shd w:val="clear" w:color="auto" w:fill="00B5E2" w:themeFill="accent1"/>
          </w:tcPr>
          <w:p w14:paraId="057FF4EA" w14:textId="77777777" w:rsidR="00AB3534" w:rsidRPr="00A315D3" w:rsidRDefault="00AB3534" w:rsidP="001E44B6">
            <w:pPr>
              <w:tabs>
                <w:tab w:val="clear" w:pos="284"/>
              </w:tabs>
              <w:spacing w:line="240" w:lineRule="auto"/>
              <w:jc w:val="center"/>
              <w:rPr>
                <w:rFonts w:eastAsia="Times New Roman" w:cs="Times New Roman"/>
                <w:b/>
                <w:bCs/>
                <w:color w:val="FFFFFF"/>
                <w:kern w:val="0"/>
                <w:szCs w:val="20"/>
              </w:rPr>
            </w:pPr>
          </w:p>
        </w:tc>
        <w:tc>
          <w:tcPr>
            <w:tcW w:w="1409" w:type="dxa"/>
            <w:vMerge/>
            <w:shd w:val="clear" w:color="auto" w:fill="00B5E2" w:themeFill="accent1"/>
          </w:tcPr>
          <w:p w14:paraId="64CDBD9D" w14:textId="64F426C3" w:rsidR="00AB3534" w:rsidRPr="00A315D3" w:rsidRDefault="00AB3534" w:rsidP="001E44B6">
            <w:pPr>
              <w:tabs>
                <w:tab w:val="clear" w:pos="284"/>
              </w:tabs>
              <w:spacing w:line="240" w:lineRule="auto"/>
              <w:jc w:val="center"/>
              <w:rPr>
                <w:rFonts w:eastAsia="Times New Roman" w:cs="Times New Roman"/>
                <w:b/>
                <w:bCs/>
                <w:color w:val="FFFFFF"/>
                <w:kern w:val="0"/>
                <w:szCs w:val="20"/>
              </w:rPr>
            </w:pPr>
          </w:p>
        </w:tc>
        <w:tc>
          <w:tcPr>
            <w:tcW w:w="1180" w:type="dxa"/>
            <w:shd w:val="clear" w:color="auto" w:fill="00B5E2" w:themeFill="accent1"/>
          </w:tcPr>
          <w:p w14:paraId="43F0139D" w14:textId="13DB6DC7" w:rsidR="00AB3534" w:rsidRPr="00BC6495" w:rsidRDefault="00AB3534" w:rsidP="001E44B6">
            <w:pPr>
              <w:tabs>
                <w:tab w:val="clear" w:pos="284"/>
              </w:tabs>
              <w:spacing w:line="240" w:lineRule="auto"/>
              <w:jc w:val="center"/>
              <w:rPr>
                <w:rFonts w:eastAsia="Times New Roman" w:cs="Times New Roman"/>
                <w:b/>
                <w:bCs/>
                <w:color w:val="FFFFFF"/>
                <w:kern w:val="0"/>
                <w:szCs w:val="20"/>
              </w:rPr>
            </w:pPr>
            <w:r w:rsidRPr="00BC6495">
              <w:rPr>
                <w:rFonts w:eastAsia="Times New Roman" w:cs="Times New Roman"/>
                <w:b/>
                <w:bCs/>
                <w:color w:val="FFFFFF"/>
                <w:kern w:val="0"/>
                <w:szCs w:val="20"/>
              </w:rPr>
              <w:t>Lower Limit</w:t>
            </w:r>
            <w:r>
              <w:rPr>
                <w:rFonts w:eastAsia="Times New Roman" w:cs="Times New Roman"/>
                <w:b/>
                <w:bCs/>
                <w:color w:val="FFFFFF"/>
                <w:kern w:val="0"/>
                <w:szCs w:val="20"/>
              </w:rPr>
              <w:t xml:space="preserve"> (cfs)</w:t>
            </w:r>
          </w:p>
        </w:tc>
        <w:tc>
          <w:tcPr>
            <w:tcW w:w="1256" w:type="dxa"/>
            <w:shd w:val="clear" w:color="auto" w:fill="00B5E2" w:themeFill="accent1"/>
          </w:tcPr>
          <w:p w14:paraId="6C2D573B" w14:textId="37214EF1" w:rsidR="00AB3534" w:rsidRPr="00BC6495" w:rsidRDefault="00AB3534" w:rsidP="001E44B6">
            <w:pPr>
              <w:tabs>
                <w:tab w:val="clear" w:pos="284"/>
              </w:tabs>
              <w:spacing w:line="240" w:lineRule="auto"/>
              <w:jc w:val="center"/>
              <w:rPr>
                <w:rFonts w:eastAsia="Times New Roman" w:cs="Times New Roman"/>
                <w:b/>
                <w:bCs/>
                <w:color w:val="FFFFFF"/>
                <w:kern w:val="0"/>
                <w:szCs w:val="20"/>
              </w:rPr>
            </w:pPr>
            <w:r>
              <w:rPr>
                <w:rFonts w:eastAsia="Times New Roman" w:cs="Times New Roman"/>
                <w:b/>
                <w:bCs/>
                <w:color w:val="FFFFFF"/>
                <w:kern w:val="0"/>
                <w:szCs w:val="20"/>
              </w:rPr>
              <w:t>1-percent</w:t>
            </w:r>
            <w:r>
              <w:rPr>
                <w:rFonts w:eastAsia="Times New Roman" w:cs="Times New Roman"/>
                <w:b/>
                <w:bCs/>
                <w:color w:val="FFFFFF"/>
                <w:kern w:val="0"/>
                <w:szCs w:val="20"/>
              </w:rPr>
              <w:br/>
              <w:t>(cfs)</w:t>
            </w:r>
          </w:p>
        </w:tc>
        <w:tc>
          <w:tcPr>
            <w:tcW w:w="1027" w:type="dxa"/>
            <w:shd w:val="clear" w:color="auto" w:fill="00B5E2" w:themeFill="accent1"/>
          </w:tcPr>
          <w:p w14:paraId="2278738A" w14:textId="13DE3B69" w:rsidR="00AB3534" w:rsidRPr="00BC6495" w:rsidRDefault="00AB3534" w:rsidP="001E44B6">
            <w:pPr>
              <w:tabs>
                <w:tab w:val="clear" w:pos="284"/>
              </w:tabs>
              <w:spacing w:line="240" w:lineRule="auto"/>
              <w:jc w:val="center"/>
              <w:rPr>
                <w:rFonts w:eastAsia="Times New Roman" w:cs="Times New Roman"/>
                <w:b/>
                <w:bCs/>
                <w:color w:val="FFFFFF"/>
                <w:kern w:val="0"/>
                <w:szCs w:val="20"/>
              </w:rPr>
            </w:pPr>
            <w:r w:rsidRPr="00BC6495">
              <w:rPr>
                <w:rFonts w:eastAsia="Times New Roman" w:cs="Times New Roman"/>
                <w:b/>
                <w:bCs/>
                <w:color w:val="FFFFFF"/>
                <w:kern w:val="0"/>
                <w:szCs w:val="20"/>
              </w:rPr>
              <w:t>Upper Limit</w:t>
            </w:r>
            <w:r>
              <w:rPr>
                <w:rFonts w:eastAsia="Times New Roman" w:cs="Times New Roman"/>
                <w:b/>
                <w:bCs/>
                <w:color w:val="FFFFFF"/>
                <w:kern w:val="0"/>
                <w:szCs w:val="20"/>
              </w:rPr>
              <w:t xml:space="preserve"> (cfs)</w:t>
            </w:r>
          </w:p>
        </w:tc>
        <w:tc>
          <w:tcPr>
            <w:tcW w:w="1096" w:type="dxa"/>
            <w:vMerge/>
            <w:shd w:val="clear" w:color="auto" w:fill="0B2F77"/>
          </w:tcPr>
          <w:p w14:paraId="01F5276A" w14:textId="77777777" w:rsidR="00AB3534" w:rsidRPr="00A315D3" w:rsidRDefault="00AB3534" w:rsidP="001E44B6">
            <w:pPr>
              <w:tabs>
                <w:tab w:val="clear" w:pos="284"/>
              </w:tabs>
              <w:spacing w:line="240" w:lineRule="auto"/>
              <w:jc w:val="center"/>
              <w:rPr>
                <w:rFonts w:eastAsia="Times New Roman" w:cs="Times New Roman"/>
                <w:b/>
                <w:bCs/>
                <w:color w:val="FFFFFF"/>
                <w:kern w:val="0"/>
                <w:szCs w:val="20"/>
              </w:rPr>
            </w:pPr>
          </w:p>
        </w:tc>
      </w:tr>
      <w:tr w:rsidR="00AB3534" w:rsidRPr="00A315D3" w14:paraId="0F576F9A" w14:textId="77777777" w:rsidTr="00AB3534">
        <w:trPr>
          <w:cnfStyle w:val="000000010000" w:firstRow="0" w:lastRow="0" w:firstColumn="0" w:lastColumn="0" w:oddVBand="0" w:evenVBand="0" w:oddHBand="0" w:evenHBand="1" w:firstRowFirstColumn="0" w:firstRowLastColumn="0" w:lastRowFirstColumn="0" w:lastRowLastColumn="0"/>
          <w:trHeight w:val="647"/>
          <w:jc w:val="center"/>
        </w:trPr>
        <w:tc>
          <w:tcPr>
            <w:tcW w:w="943" w:type="dxa"/>
          </w:tcPr>
          <w:p w14:paraId="5249FD1C" w14:textId="64675432" w:rsidR="00AB3534" w:rsidRPr="00870C34" w:rsidRDefault="00AB3534" w:rsidP="001E44B6">
            <w:pPr>
              <w:pStyle w:val="BodyText"/>
              <w:jc w:val="center"/>
              <w:rPr>
                <w:szCs w:val="20"/>
              </w:rPr>
            </w:pPr>
            <w:r>
              <w:rPr>
                <w:szCs w:val="20"/>
              </w:rPr>
              <w:t>YHD3</w:t>
            </w:r>
          </w:p>
        </w:tc>
        <w:tc>
          <w:tcPr>
            <w:tcW w:w="1256" w:type="dxa"/>
          </w:tcPr>
          <w:p w14:paraId="7B7FFA67" w14:textId="4A3EA463" w:rsidR="00AB3534" w:rsidRPr="00870C34" w:rsidRDefault="00AB3534" w:rsidP="001E44B6">
            <w:pPr>
              <w:pStyle w:val="BodyText"/>
              <w:jc w:val="center"/>
              <w:rPr>
                <w:szCs w:val="20"/>
              </w:rPr>
            </w:pPr>
            <w:r>
              <w:rPr>
                <w:szCs w:val="20"/>
              </w:rPr>
              <w:t>Basin 2</w:t>
            </w:r>
          </w:p>
        </w:tc>
        <w:tc>
          <w:tcPr>
            <w:tcW w:w="1409" w:type="dxa"/>
          </w:tcPr>
          <w:p w14:paraId="663219F8" w14:textId="418D9B51" w:rsidR="00AB3534" w:rsidRDefault="00A433B1" w:rsidP="001E44B6">
            <w:pPr>
              <w:pStyle w:val="BodyText"/>
              <w:jc w:val="center"/>
              <w:rPr>
                <w:szCs w:val="20"/>
              </w:rPr>
            </w:pPr>
            <w:r>
              <w:rPr>
                <w:szCs w:val="20"/>
              </w:rPr>
              <w:t>7.59</w:t>
            </w:r>
          </w:p>
        </w:tc>
        <w:tc>
          <w:tcPr>
            <w:tcW w:w="1409" w:type="dxa"/>
          </w:tcPr>
          <w:p w14:paraId="77B63C72" w14:textId="18E361F8" w:rsidR="00AB3534" w:rsidRPr="00870C34" w:rsidRDefault="00AB3534" w:rsidP="001E44B6">
            <w:pPr>
              <w:pStyle w:val="BodyText"/>
              <w:jc w:val="center"/>
              <w:rPr>
                <w:szCs w:val="20"/>
              </w:rPr>
            </w:pPr>
            <w:r>
              <w:rPr>
                <w:szCs w:val="20"/>
              </w:rPr>
              <w:t>5.23</w:t>
            </w:r>
          </w:p>
        </w:tc>
        <w:tc>
          <w:tcPr>
            <w:tcW w:w="1180" w:type="dxa"/>
          </w:tcPr>
          <w:p w14:paraId="2539EB82" w14:textId="4F6CC39A" w:rsidR="00AB3534" w:rsidRPr="00870C34" w:rsidRDefault="00AB3534" w:rsidP="001E44B6">
            <w:pPr>
              <w:jc w:val="center"/>
              <w:rPr>
                <w:szCs w:val="20"/>
              </w:rPr>
            </w:pPr>
            <w:r>
              <w:rPr>
                <w:szCs w:val="20"/>
              </w:rPr>
              <w:t>456</w:t>
            </w:r>
          </w:p>
        </w:tc>
        <w:tc>
          <w:tcPr>
            <w:tcW w:w="1256" w:type="dxa"/>
          </w:tcPr>
          <w:p w14:paraId="3A0CAB13" w14:textId="452F6E1C" w:rsidR="00AB3534" w:rsidRPr="00870C34" w:rsidRDefault="00AB3534" w:rsidP="001E44B6">
            <w:pPr>
              <w:spacing w:line="240" w:lineRule="auto"/>
              <w:jc w:val="center"/>
              <w:rPr>
                <w:rFonts w:eastAsia="Times New Roman" w:cs="Times New Roman"/>
                <w:kern w:val="0"/>
                <w:szCs w:val="20"/>
              </w:rPr>
            </w:pPr>
            <w:r>
              <w:rPr>
                <w:rFonts w:eastAsia="Times New Roman" w:cs="Times New Roman"/>
                <w:kern w:val="0"/>
                <w:szCs w:val="20"/>
              </w:rPr>
              <w:t>909</w:t>
            </w:r>
          </w:p>
        </w:tc>
        <w:tc>
          <w:tcPr>
            <w:tcW w:w="1027" w:type="dxa"/>
          </w:tcPr>
          <w:p w14:paraId="130BD15F" w14:textId="5536FB34" w:rsidR="00AB3534" w:rsidRPr="00870C34" w:rsidRDefault="00AB3534" w:rsidP="001E44B6">
            <w:pPr>
              <w:spacing w:line="240" w:lineRule="auto"/>
              <w:jc w:val="center"/>
              <w:rPr>
                <w:rFonts w:eastAsia="Times New Roman" w:cs="Times New Roman"/>
                <w:kern w:val="0"/>
                <w:szCs w:val="20"/>
              </w:rPr>
            </w:pPr>
            <w:r>
              <w:rPr>
                <w:rFonts w:eastAsia="Times New Roman" w:cs="Times New Roman"/>
                <w:kern w:val="0"/>
                <w:szCs w:val="20"/>
              </w:rPr>
              <w:t>1,815</w:t>
            </w:r>
          </w:p>
        </w:tc>
        <w:tc>
          <w:tcPr>
            <w:tcW w:w="1096" w:type="dxa"/>
          </w:tcPr>
          <w:p w14:paraId="476BD857" w14:textId="3E8FC6A0" w:rsidR="00AB3534" w:rsidRPr="00F4027D" w:rsidRDefault="00AB3534" w:rsidP="001E44B6">
            <w:pPr>
              <w:spacing w:line="240" w:lineRule="auto"/>
              <w:jc w:val="center"/>
              <w:rPr>
                <w:rFonts w:eastAsia="Times New Roman" w:cs="Times New Roman"/>
                <w:kern w:val="0"/>
                <w:szCs w:val="20"/>
                <w:highlight w:val="yellow"/>
              </w:rPr>
            </w:pPr>
            <w:r w:rsidRPr="004A241F">
              <w:rPr>
                <w:rFonts w:eastAsia="Times New Roman" w:cs="Times New Roman"/>
                <w:kern w:val="0"/>
                <w:szCs w:val="20"/>
              </w:rPr>
              <w:t>749</w:t>
            </w:r>
          </w:p>
        </w:tc>
      </w:tr>
      <w:tr w:rsidR="00AB3534" w:rsidRPr="00A315D3" w14:paraId="703D97F4" w14:textId="77777777" w:rsidTr="00AB3534">
        <w:trPr>
          <w:cnfStyle w:val="000000100000" w:firstRow="0" w:lastRow="0" w:firstColumn="0" w:lastColumn="0" w:oddVBand="0" w:evenVBand="0" w:oddHBand="1" w:evenHBand="0" w:firstRowFirstColumn="0" w:firstRowLastColumn="0" w:lastRowFirstColumn="0" w:lastRowLastColumn="0"/>
          <w:trHeight w:val="701"/>
          <w:jc w:val="center"/>
        </w:trPr>
        <w:tc>
          <w:tcPr>
            <w:tcW w:w="943" w:type="dxa"/>
          </w:tcPr>
          <w:p w14:paraId="0591DEF7" w14:textId="18DCC2D1" w:rsidR="00AB3534" w:rsidRPr="009B7FC2" w:rsidRDefault="00AB3534" w:rsidP="001E44B6">
            <w:pPr>
              <w:pStyle w:val="BodyText"/>
              <w:jc w:val="center"/>
              <w:rPr>
                <w:szCs w:val="20"/>
              </w:rPr>
            </w:pPr>
            <w:r>
              <w:rPr>
                <w:szCs w:val="20"/>
              </w:rPr>
              <w:t>YHD3</w:t>
            </w:r>
          </w:p>
        </w:tc>
        <w:tc>
          <w:tcPr>
            <w:tcW w:w="1256" w:type="dxa"/>
          </w:tcPr>
          <w:p w14:paraId="48236F6A" w14:textId="53C6B24B" w:rsidR="00AB3534" w:rsidRPr="009B7FC2" w:rsidRDefault="00AB3534" w:rsidP="00802718">
            <w:pPr>
              <w:pStyle w:val="BodyText"/>
              <w:jc w:val="center"/>
              <w:rPr>
                <w:szCs w:val="20"/>
              </w:rPr>
            </w:pPr>
            <w:r>
              <w:rPr>
                <w:szCs w:val="20"/>
              </w:rPr>
              <w:t>Basin 3</w:t>
            </w:r>
          </w:p>
        </w:tc>
        <w:tc>
          <w:tcPr>
            <w:tcW w:w="1409" w:type="dxa"/>
          </w:tcPr>
          <w:p w14:paraId="4B83E462" w14:textId="708C4B83" w:rsidR="00AB3534" w:rsidRDefault="00A433B1" w:rsidP="001E44B6">
            <w:pPr>
              <w:pStyle w:val="BodyText"/>
              <w:jc w:val="center"/>
              <w:rPr>
                <w:szCs w:val="20"/>
              </w:rPr>
            </w:pPr>
            <w:r>
              <w:rPr>
                <w:szCs w:val="20"/>
              </w:rPr>
              <w:t>14.80</w:t>
            </w:r>
          </w:p>
        </w:tc>
        <w:tc>
          <w:tcPr>
            <w:tcW w:w="1409" w:type="dxa"/>
          </w:tcPr>
          <w:p w14:paraId="12760C81" w14:textId="2B1B25BF" w:rsidR="00AB3534" w:rsidRPr="009B7FC2" w:rsidRDefault="00AB3534" w:rsidP="001E44B6">
            <w:pPr>
              <w:pStyle w:val="BodyText"/>
              <w:jc w:val="center"/>
              <w:rPr>
                <w:szCs w:val="20"/>
              </w:rPr>
            </w:pPr>
            <w:r>
              <w:rPr>
                <w:szCs w:val="20"/>
              </w:rPr>
              <w:t>10.11</w:t>
            </w:r>
          </w:p>
        </w:tc>
        <w:tc>
          <w:tcPr>
            <w:tcW w:w="1180" w:type="dxa"/>
          </w:tcPr>
          <w:p w14:paraId="55CA5FEB" w14:textId="7C637DD7" w:rsidR="00AB3534" w:rsidRPr="009B7FC2" w:rsidRDefault="00AB3534" w:rsidP="001E44B6">
            <w:pPr>
              <w:jc w:val="center"/>
              <w:rPr>
                <w:szCs w:val="20"/>
              </w:rPr>
            </w:pPr>
            <w:r>
              <w:rPr>
                <w:szCs w:val="20"/>
              </w:rPr>
              <w:t>693</w:t>
            </w:r>
          </w:p>
        </w:tc>
        <w:tc>
          <w:tcPr>
            <w:tcW w:w="1256" w:type="dxa"/>
          </w:tcPr>
          <w:p w14:paraId="4FCE96E8" w14:textId="66186F7C" w:rsidR="00AB3534" w:rsidRPr="009B7FC2" w:rsidRDefault="00AB3534" w:rsidP="001E44B6">
            <w:pPr>
              <w:spacing w:line="240" w:lineRule="auto"/>
              <w:jc w:val="center"/>
              <w:rPr>
                <w:rFonts w:eastAsia="Times New Roman" w:cs="Times New Roman"/>
                <w:kern w:val="0"/>
                <w:szCs w:val="20"/>
              </w:rPr>
            </w:pPr>
            <w:r>
              <w:rPr>
                <w:rFonts w:eastAsia="Times New Roman" w:cs="Times New Roman"/>
                <w:kern w:val="0"/>
                <w:szCs w:val="20"/>
              </w:rPr>
              <w:t>1,383</w:t>
            </w:r>
          </w:p>
        </w:tc>
        <w:tc>
          <w:tcPr>
            <w:tcW w:w="1027" w:type="dxa"/>
          </w:tcPr>
          <w:p w14:paraId="438028A2" w14:textId="7859260F" w:rsidR="00AB3534" w:rsidRPr="009B7FC2" w:rsidRDefault="00AB3534" w:rsidP="001E44B6">
            <w:pPr>
              <w:spacing w:line="240" w:lineRule="auto"/>
              <w:jc w:val="center"/>
              <w:rPr>
                <w:rFonts w:eastAsia="Times New Roman" w:cs="Times New Roman"/>
                <w:kern w:val="0"/>
                <w:szCs w:val="20"/>
              </w:rPr>
            </w:pPr>
            <w:r>
              <w:rPr>
                <w:rFonts w:eastAsia="Times New Roman" w:cs="Times New Roman"/>
                <w:kern w:val="0"/>
                <w:szCs w:val="20"/>
              </w:rPr>
              <w:t>2,760</w:t>
            </w:r>
          </w:p>
        </w:tc>
        <w:tc>
          <w:tcPr>
            <w:tcW w:w="1096" w:type="dxa"/>
          </w:tcPr>
          <w:p w14:paraId="26A3AD57" w14:textId="475E8BFC" w:rsidR="00AB3534" w:rsidRPr="009B7FC2" w:rsidRDefault="00AB3534" w:rsidP="001E44B6">
            <w:pPr>
              <w:spacing w:line="240" w:lineRule="auto"/>
              <w:jc w:val="center"/>
              <w:rPr>
                <w:rFonts w:eastAsia="Times New Roman" w:cs="Times New Roman"/>
                <w:kern w:val="0"/>
                <w:szCs w:val="20"/>
              </w:rPr>
            </w:pPr>
            <w:r>
              <w:rPr>
                <w:rFonts w:eastAsia="Times New Roman" w:cs="Times New Roman"/>
                <w:kern w:val="0"/>
                <w:szCs w:val="20"/>
              </w:rPr>
              <w:t>1,064</w:t>
            </w:r>
          </w:p>
        </w:tc>
      </w:tr>
      <w:tr w:rsidR="00AB3534" w:rsidRPr="00E32434" w14:paraId="7B62EEBB" w14:textId="77777777" w:rsidTr="00AB3534">
        <w:trPr>
          <w:cnfStyle w:val="000000010000" w:firstRow="0" w:lastRow="0" w:firstColumn="0" w:lastColumn="0" w:oddVBand="0" w:evenVBand="0" w:oddHBand="0" w:evenHBand="1" w:firstRowFirstColumn="0" w:firstRowLastColumn="0" w:lastRowFirstColumn="0" w:lastRowLastColumn="0"/>
          <w:trHeight w:val="692"/>
          <w:jc w:val="center"/>
        </w:trPr>
        <w:tc>
          <w:tcPr>
            <w:tcW w:w="943" w:type="dxa"/>
          </w:tcPr>
          <w:p w14:paraId="2861334D" w14:textId="32E82851" w:rsidR="00AB3534" w:rsidRPr="00870C34" w:rsidRDefault="00AB3534" w:rsidP="001E44B6">
            <w:pPr>
              <w:pStyle w:val="BodyText"/>
              <w:jc w:val="center"/>
              <w:rPr>
                <w:szCs w:val="20"/>
              </w:rPr>
            </w:pPr>
            <w:r>
              <w:rPr>
                <w:szCs w:val="20"/>
              </w:rPr>
              <w:t>YHD3</w:t>
            </w:r>
          </w:p>
        </w:tc>
        <w:tc>
          <w:tcPr>
            <w:tcW w:w="1256" w:type="dxa"/>
          </w:tcPr>
          <w:p w14:paraId="33F9C7F9" w14:textId="65CE6399" w:rsidR="00AB3534" w:rsidRPr="00870C34" w:rsidRDefault="00AB3534" w:rsidP="001E44B6">
            <w:pPr>
              <w:pStyle w:val="BodyText"/>
              <w:jc w:val="center"/>
              <w:rPr>
                <w:szCs w:val="20"/>
              </w:rPr>
            </w:pPr>
            <w:r>
              <w:rPr>
                <w:szCs w:val="20"/>
              </w:rPr>
              <w:t>Basin 4</w:t>
            </w:r>
          </w:p>
        </w:tc>
        <w:tc>
          <w:tcPr>
            <w:tcW w:w="1409" w:type="dxa"/>
          </w:tcPr>
          <w:p w14:paraId="4E2602F1" w14:textId="5139DFAB" w:rsidR="00AB3534" w:rsidRDefault="00A433B1" w:rsidP="004A241F">
            <w:pPr>
              <w:pStyle w:val="BodyText"/>
              <w:jc w:val="center"/>
              <w:rPr>
                <w:szCs w:val="20"/>
              </w:rPr>
            </w:pPr>
            <w:r>
              <w:rPr>
                <w:szCs w:val="20"/>
              </w:rPr>
              <w:t>36.15</w:t>
            </w:r>
          </w:p>
        </w:tc>
        <w:tc>
          <w:tcPr>
            <w:tcW w:w="1409" w:type="dxa"/>
          </w:tcPr>
          <w:p w14:paraId="10795B60" w14:textId="1DDD4ED5" w:rsidR="00AB3534" w:rsidRPr="00870C34" w:rsidRDefault="00AB3534" w:rsidP="004A241F">
            <w:pPr>
              <w:pStyle w:val="BodyText"/>
              <w:jc w:val="center"/>
              <w:rPr>
                <w:szCs w:val="20"/>
              </w:rPr>
            </w:pPr>
            <w:r>
              <w:rPr>
                <w:szCs w:val="20"/>
              </w:rPr>
              <w:t>24.94</w:t>
            </w:r>
          </w:p>
        </w:tc>
        <w:tc>
          <w:tcPr>
            <w:tcW w:w="1180" w:type="dxa"/>
          </w:tcPr>
          <w:p w14:paraId="1AB32308" w14:textId="0F6D5C49" w:rsidR="00AB3534" w:rsidRPr="00870C34" w:rsidRDefault="00AB3534" w:rsidP="001E44B6">
            <w:pPr>
              <w:jc w:val="center"/>
              <w:rPr>
                <w:szCs w:val="20"/>
              </w:rPr>
            </w:pPr>
            <w:r>
              <w:rPr>
                <w:szCs w:val="20"/>
              </w:rPr>
              <w:t>1,290</w:t>
            </w:r>
          </w:p>
        </w:tc>
        <w:tc>
          <w:tcPr>
            <w:tcW w:w="1256" w:type="dxa"/>
          </w:tcPr>
          <w:p w14:paraId="6553A360" w14:textId="6909420E" w:rsidR="00AB3534" w:rsidRPr="00870C34" w:rsidRDefault="00AB3534" w:rsidP="001E44B6">
            <w:pPr>
              <w:spacing w:line="240" w:lineRule="auto"/>
              <w:jc w:val="center"/>
              <w:rPr>
                <w:rFonts w:eastAsia="Times New Roman" w:cs="Times New Roman"/>
                <w:kern w:val="0"/>
                <w:szCs w:val="20"/>
              </w:rPr>
            </w:pPr>
            <w:r>
              <w:rPr>
                <w:rFonts w:eastAsia="Times New Roman" w:cs="Times New Roman"/>
                <w:kern w:val="0"/>
                <w:szCs w:val="20"/>
              </w:rPr>
              <w:t>2,574</w:t>
            </w:r>
          </w:p>
        </w:tc>
        <w:tc>
          <w:tcPr>
            <w:tcW w:w="1027" w:type="dxa"/>
          </w:tcPr>
          <w:p w14:paraId="54AF7FED" w14:textId="5A723E56" w:rsidR="00AB3534" w:rsidRPr="00870C34" w:rsidRDefault="00AB3534" w:rsidP="001E44B6">
            <w:pPr>
              <w:spacing w:line="240" w:lineRule="auto"/>
              <w:jc w:val="center"/>
              <w:rPr>
                <w:rFonts w:eastAsia="Times New Roman" w:cs="Times New Roman"/>
                <w:kern w:val="0"/>
                <w:szCs w:val="20"/>
              </w:rPr>
            </w:pPr>
            <w:r>
              <w:rPr>
                <w:rFonts w:eastAsia="Times New Roman" w:cs="Times New Roman"/>
                <w:kern w:val="0"/>
                <w:szCs w:val="20"/>
              </w:rPr>
              <w:t>5,135</w:t>
            </w:r>
          </w:p>
        </w:tc>
        <w:tc>
          <w:tcPr>
            <w:tcW w:w="1096" w:type="dxa"/>
          </w:tcPr>
          <w:p w14:paraId="6BCB9012" w14:textId="6705FC39" w:rsidR="00AB3534" w:rsidRPr="00674ABE" w:rsidRDefault="00AB3534" w:rsidP="001E44B6">
            <w:pPr>
              <w:spacing w:line="240" w:lineRule="auto"/>
              <w:jc w:val="center"/>
              <w:rPr>
                <w:rFonts w:eastAsia="Times New Roman" w:cs="Times New Roman"/>
                <w:kern w:val="0"/>
                <w:szCs w:val="20"/>
              </w:rPr>
            </w:pPr>
            <w:r>
              <w:rPr>
                <w:rFonts w:eastAsia="Times New Roman" w:cs="Times New Roman"/>
                <w:kern w:val="0"/>
                <w:szCs w:val="20"/>
              </w:rPr>
              <w:t>386</w:t>
            </w:r>
          </w:p>
        </w:tc>
      </w:tr>
      <w:tr w:rsidR="00AB3534" w:rsidRPr="00A315D3" w14:paraId="796F7EC5" w14:textId="77777777" w:rsidTr="00AB3534">
        <w:trPr>
          <w:cnfStyle w:val="000000100000" w:firstRow="0" w:lastRow="0" w:firstColumn="0" w:lastColumn="0" w:oddVBand="0" w:evenVBand="0" w:oddHBand="1" w:evenHBand="0" w:firstRowFirstColumn="0" w:firstRowLastColumn="0" w:lastRowFirstColumn="0" w:lastRowLastColumn="0"/>
          <w:trHeight w:val="809"/>
          <w:jc w:val="center"/>
        </w:trPr>
        <w:tc>
          <w:tcPr>
            <w:tcW w:w="943" w:type="dxa"/>
          </w:tcPr>
          <w:p w14:paraId="620C2454" w14:textId="3CF257C7" w:rsidR="00AB3534" w:rsidRPr="00870C34" w:rsidRDefault="00AB3534" w:rsidP="00877344">
            <w:pPr>
              <w:pStyle w:val="BodyText"/>
              <w:jc w:val="center"/>
              <w:rPr>
                <w:szCs w:val="20"/>
              </w:rPr>
            </w:pPr>
            <w:r>
              <w:rPr>
                <w:szCs w:val="20"/>
              </w:rPr>
              <w:t>YHD4</w:t>
            </w:r>
          </w:p>
        </w:tc>
        <w:tc>
          <w:tcPr>
            <w:tcW w:w="1256" w:type="dxa"/>
          </w:tcPr>
          <w:p w14:paraId="06DA90CC" w14:textId="14E87A7E" w:rsidR="00AB3534" w:rsidRPr="00870C34" w:rsidRDefault="00AB3534" w:rsidP="00877344">
            <w:pPr>
              <w:pStyle w:val="BodyText"/>
              <w:jc w:val="center"/>
              <w:rPr>
                <w:szCs w:val="20"/>
              </w:rPr>
            </w:pPr>
            <w:r>
              <w:rPr>
                <w:szCs w:val="20"/>
              </w:rPr>
              <w:t>Basin 1</w:t>
            </w:r>
          </w:p>
        </w:tc>
        <w:tc>
          <w:tcPr>
            <w:tcW w:w="1409" w:type="dxa"/>
          </w:tcPr>
          <w:p w14:paraId="29823F45" w14:textId="34467F5C" w:rsidR="00AB3534" w:rsidRDefault="00A433B1" w:rsidP="00877344">
            <w:pPr>
              <w:pStyle w:val="BodyText"/>
              <w:jc w:val="center"/>
              <w:rPr>
                <w:szCs w:val="20"/>
              </w:rPr>
            </w:pPr>
            <w:r>
              <w:rPr>
                <w:szCs w:val="20"/>
              </w:rPr>
              <w:t>28.95</w:t>
            </w:r>
          </w:p>
        </w:tc>
        <w:tc>
          <w:tcPr>
            <w:tcW w:w="1409" w:type="dxa"/>
          </w:tcPr>
          <w:p w14:paraId="09F19344" w14:textId="234BAEEB" w:rsidR="00AB3534" w:rsidRPr="00870C34" w:rsidRDefault="00AB3534" w:rsidP="00877344">
            <w:pPr>
              <w:pStyle w:val="BodyText"/>
              <w:jc w:val="center"/>
              <w:rPr>
                <w:szCs w:val="20"/>
              </w:rPr>
            </w:pPr>
            <w:r>
              <w:rPr>
                <w:szCs w:val="20"/>
              </w:rPr>
              <w:t>5.76</w:t>
            </w:r>
          </w:p>
        </w:tc>
        <w:tc>
          <w:tcPr>
            <w:tcW w:w="1180" w:type="dxa"/>
          </w:tcPr>
          <w:p w14:paraId="13AB512D" w14:textId="39A8C4F0" w:rsidR="00AB3534" w:rsidRPr="00870C34" w:rsidRDefault="00AB3534" w:rsidP="00877344">
            <w:pPr>
              <w:jc w:val="center"/>
              <w:rPr>
                <w:szCs w:val="20"/>
              </w:rPr>
            </w:pPr>
            <w:r>
              <w:rPr>
                <w:szCs w:val="20"/>
              </w:rPr>
              <w:t>465</w:t>
            </w:r>
          </w:p>
        </w:tc>
        <w:tc>
          <w:tcPr>
            <w:tcW w:w="1256" w:type="dxa"/>
          </w:tcPr>
          <w:p w14:paraId="2E55EB0A" w14:textId="63A9A8D3" w:rsidR="00AB3534" w:rsidRPr="00870C34" w:rsidRDefault="00AB3534" w:rsidP="00877344">
            <w:pPr>
              <w:spacing w:line="240" w:lineRule="auto"/>
              <w:jc w:val="center"/>
              <w:rPr>
                <w:rFonts w:eastAsia="Times New Roman" w:cs="Times New Roman"/>
                <w:kern w:val="0"/>
                <w:szCs w:val="20"/>
              </w:rPr>
            </w:pPr>
            <w:r>
              <w:rPr>
                <w:rFonts w:eastAsia="Times New Roman" w:cs="Times New Roman"/>
                <w:kern w:val="0"/>
                <w:szCs w:val="20"/>
              </w:rPr>
              <w:t>929</w:t>
            </w:r>
          </w:p>
        </w:tc>
        <w:tc>
          <w:tcPr>
            <w:tcW w:w="1027" w:type="dxa"/>
          </w:tcPr>
          <w:p w14:paraId="3126A13F" w14:textId="2A933DBD" w:rsidR="00AB3534" w:rsidRPr="00870C34" w:rsidRDefault="00AB3534" w:rsidP="00877344">
            <w:pPr>
              <w:spacing w:line="240" w:lineRule="auto"/>
              <w:jc w:val="center"/>
              <w:rPr>
                <w:rFonts w:eastAsia="Times New Roman" w:cs="Times New Roman"/>
                <w:kern w:val="0"/>
                <w:szCs w:val="20"/>
              </w:rPr>
            </w:pPr>
            <w:r>
              <w:rPr>
                <w:rFonts w:eastAsia="Times New Roman" w:cs="Times New Roman"/>
                <w:kern w:val="0"/>
                <w:szCs w:val="20"/>
              </w:rPr>
              <w:t>1,853</w:t>
            </w:r>
          </w:p>
        </w:tc>
        <w:tc>
          <w:tcPr>
            <w:tcW w:w="1096" w:type="dxa"/>
          </w:tcPr>
          <w:p w14:paraId="3204B3B9" w14:textId="2272C0C8" w:rsidR="00AB3534" w:rsidRPr="00F4027D" w:rsidRDefault="00AB3534" w:rsidP="00877344">
            <w:pPr>
              <w:spacing w:line="240" w:lineRule="auto"/>
              <w:jc w:val="center"/>
              <w:rPr>
                <w:rFonts w:eastAsia="Times New Roman" w:cs="Times New Roman"/>
                <w:kern w:val="0"/>
                <w:szCs w:val="20"/>
                <w:highlight w:val="yellow"/>
              </w:rPr>
            </w:pPr>
            <w:r w:rsidRPr="00232EF1">
              <w:rPr>
                <w:rFonts w:eastAsia="Times New Roman" w:cs="Times New Roman"/>
                <w:kern w:val="0"/>
                <w:szCs w:val="20"/>
              </w:rPr>
              <w:t>26</w:t>
            </w:r>
            <w:r>
              <w:rPr>
                <w:rFonts w:eastAsia="Times New Roman" w:cs="Times New Roman"/>
                <w:kern w:val="0"/>
                <w:szCs w:val="20"/>
              </w:rPr>
              <w:t>8</w:t>
            </w:r>
          </w:p>
        </w:tc>
      </w:tr>
      <w:tr w:rsidR="00AB3534" w:rsidRPr="00A315D3" w14:paraId="554A0790" w14:textId="77777777" w:rsidTr="00AB3534">
        <w:trPr>
          <w:cnfStyle w:val="000000010000" w:firstRow="0" w:lastRow="0" w:firstColumn="0" w:lastColumn="0" w:oddVBand="0" w:evenVBand="0" w:oddHBand="0" w:evenHBand="1" w:firstRowFirstColumn="0" w:firstRowLastColumn="0" w:lastRowFirstColumn="0" w:lastRowLastColumn="0"/>
          <w:trHeight w:val="809"/>
          <w:jc w:val="center"/>
        </w:trPr>
        <w:tc>
          <w:tcPr>
            <w:tcW w:w="943" w:type="dxa"/>
          </w:tcPr>
          <w:p w14:paraId="455F3F1B" w14:textId="178AFB22" w:rsidR="00AB3534" w:rsidRPr="009B7FC2" w:rsidRDefault="00AB3534" w:rsidP="00232EF1">
            <w:pPr>
              <w:pStyle w:val="BodyText"/>
              <w:jc w:val="center"/>
              <w:rPr>
                <w:szCs w:val="20"/>
              </w:rPr>
            </w:pPr>
            <w:r>
              <w:rPr>
                <w:szCs w:val="20"/>
              </w:rPr>
              <w:t>YHD4</w:t>
            </w:r>
          </w:p>
        </w:tc>
        <w:tc>
          <w:tcPr>
            <w:tcW w:w="1256" w:type="dxa"/>
          </w:tcPr>
          <w:p w14:paraId="7204CC17" w14:textId="4524F7B1" w:rsidR="00AB3534" w:rsidRPr="009B7FC2" w:rsidRDefault="00AB3534" w:rsidP="00232EF1">
            <w:pPr>
              <w:pStyle w:val="BodyText"/>
              <w:jc w:val="center"/>
              <w:rPr>
                <w:szCs w:val="20"/>
              </w:rPr>
            </w:pPr>
            <w:r>
              <w:rPr>
                <w:szCs w:val="20"/>
              </w:rPr>
              <w:t>Basin 2</w:t>
            </w:r>
          </w:p>
        </w:tc>
        <w:tc>
          <w:tcPr>
            <w:tcW w:w="1409" w:type="dxa"/>
          </w:tcPr>
          <w:p w14:paraId="21D37BDD" w14:textId="0F90B6E7" w:rsidR="00AB3534" w:rsidRDefault="00A433B1" w:rsidP="00232EF1">
            <w:pPr>
              <w:pStyle w:val="BodyText"/>
              <w:jc w:val="center"/>
              <w:rPr>
                <w:szCs w:val="20"/>
              </w:rPr>
            </w:pPr>
            <w:r>
              <w:rPr>
                <w:szCs w:val="20"/>
              </w:rPr>
              <w:t>15.61</w:t>
            </w:r>
          </w:p>
        </w:tc>
        <w:tc>
          <w:tcPr>
            <w:tcW w:w="1409" w:type="dxa"/>
          </w:tcPr>
          <w:p w14:paraId="3D169407" w14:textId="04C20200" w:rsidR="00AB3534" w:rsidRPr="009B7FC2" w:rsidRDefault="00AB3534" w:rsidP="00232EF1">
            <w:pPr>
              <w:pStyle w:val="BodyText"/>
              <w:jc w:val="center"/>
              <w:rPr>
                <w:szCs w:val="20"/>
              </w:rPr>
            </w:pPr>
            <w:r>
              <w:rPr>
                <w:szCs w:val="20"/>
              </w:rPr>
              <w:t>10.73</w:t>
            </w:r>
          </w:p>
        </w:tc>
        <w:tc>
          <w:tcPr>
            <w:tcW w:w="1180" w:type="dxa"/>
          </w:tcPr>
          <w:p w14:paraId="2639AC2F" w14:textId="33F89985" w:rsidR="00AB3534" w:rsidRPr="009B7FC2" w:rsidRDefault="00AB3534" w:rsidP="00232EF1">
            <w:pPr>
              <w:jc w:val="center"/>
              <w:rPr>
                <w:szCs w:val="20"/>
              </w:rPr>
            </w:pPr>
            <w:r>
              <w:rPr>
                <w:szCs w:val="20"/>
              </w:rPr>
              <w:t>1,231</w:t>
            </w:r>
          </w:p>
        </w:tc>
        <w:tc>
          <w:tcPr>
            <w:tcW w:w="1256" w:type="dxa"/>
          </w:tcPr>
          <w:p w14:paraId="0D8F402C" w14:textId="2A42C415" w:rsidR="00AB3534" w:rsidRPr="009B7FC2" w:rsidRDefault="00AB3534" w:rsidP="00232EF1">
            <w:pPr>
              <w:spacing w:line="240" w:lineRule="auto"/>
              <w:jc w:val="center"/>
              <w:rPr>
                <w:rFonts w:eastAsia="Times New Roman" w:cs="Times New Roman"/>
                <w:kern w:val="0"/>
                <w:szCs w:val="20"/>
              </w:rPr>
            </w:pPr>
            <w:r>
              <w:rPr>
                <w:rFonts w:eastAsia="Times New Roman" w:cs="Times New Roman"/>
                <w:kern w:val="0"/>
                <w:szCs w:val="20"/>
              </w:rPr>
              <w:t>2,456</w:t>
            </w:r>
          </w:p>
        </w:tc>
        <w:tc>
          <w:tcPr>
            <w:tcW w:w="1027" w:type="dxa"/>
          </w:tcPr>
          <w:p w14:paraId="4B9D9B32" w14:textId="05B5F61F" w:rsidR="00AB3534" w:rsidRPr="009B7FC2" w:rsidRDefault="00AB3534" w:rsidP="00232EF1">
            <w:pPr>
              <w:spacing w:line="240" w:lineRule="auto"/>
              <w:jc w:val="center"/>
              <w:rPr>
                <w:rFonts w:eastAsia="Times New Roman" w:cs="Times New Roman"/>
                <w:kern w:val="0"/>
                <w:szCs w:val="20"/>
              </w:rPr>
            </w:pPr>
            <w:r>
              <w:rPr>
                <w:rFonts w:eastAsia="Times New Roman" w:cs="Times New Roman"/>
                <w:kern w:val="0"/>
                <w:szCs w:val="20"/>
              </w:rPr>
              <w:t>4,901</w:t>
            </w:r>
          </w:p>
        </w:tc>
        <w:tc>
          <w:tcPr>
            <w:tcW w:w="1096" w:type="dxa"/>
          </w:tcPr>
          <w:p w14:paraId="7857A461" w14:textId="3FC373D4" w:rsidR="00AB3534" w:rsidRPr="009B7FC2" w:rsidRDefault="00AB3534" w:rsidP="00232EF1">
            <w:pPr>
              <w:spacing w:line="240" w:lineRule="auto"/>
              <w:jc w:val="center"/>
              <w:rPr>
                <w:rFonts w:eastAsia="Times New Roman" w:cs="Times New Roman"/>
                <w:kern w:val="0"/>
                <w:szCs w:val="20"/>
              </w:rPr>
            </w:pPr>
            <w:r>
              <w:rPr>
                <w:rFonts w:eastAsia="Times New Roman" w:cs="Times New Roman"/>
                <w:kern w:val="0"/>
                <w:szCs w:val="20"/>
              </w:rPr>
              <w:t>3,128</w:t>
            </w:r>
          </w:p>
        </w:tc>
      </w:tr>
      <w:tr w:rsidR="00AB3534" w:rsidRPr="00A315D3" w14:paraId="1BE12645" w14:textId="77777777" w:rsidTr="00AB3534">
        <w:trPr>
          <w:cnfStyle w:val="000000100000" w:firstRow="0" w:lastRow="0" w:firstColumn="0" w:lastColumn="0" w:oddVBand="0" w:evenVBand="0" w:oddHBand="1" w:evenHBand="0" w:firstRowFirstColumn="0" w:firstRowLastColumn="0" w:lastRowFirstColumn="0" w:lastRowLastColumn="0"/>
          <w:trHeight w:val="737"/>
          <w:jc w:val="center"/>
        </w:trPr>
        <w:tc>
          <w:tcPr>
            <w:tcW w:w="943" w:type="dxa"/>
          </w:tcPr>
          <w:p w14:paraId="78378D2B" w14:textId="717D4ED5" w:rsidR="00AB3534" w:rsidRDefault="00AB3534" w:rsidP="00232EF1">
            <w:pPr>
              <w:pStyle w:val="BodyText"/>
              <w:jc w:val="center"/>
              <w:rPr>
                <w:szCs w:val="20"/>
              </w:rPr>
            </w:pPr>
            <w:r>
              <w:rPr>
                <w:szCs w:val="20"/>
              </w:rPr>
              <w:t>YHD4</w:t>
            </w:r>
          </w:p>
        </w:tc>
        <w:tc>
          <w:tcPr>
            <w:tcW w:w="1256" w:type="dxa"/>
          </w:tcPr>
          <w:p w14:paraId="062F9639" w14:textId="363F2D80" w:rsidR="00AB3534" w:rsidRPr="0022732E" w:rsidRDefault="00AB3534" w:rsidP="00232EF1">
            <w:pPr>
              <w:pStyle w:val="BodyText"/>
              <w:jc w:val="center"/>
              <w:rPr>
                <w:szCs w:val="20"/>
              </w:rPr>
            </w:pPr>
            <w:r>
              <w:rPr>
                <w:szCs w:val="20"/>
              </w:rPr>
              <w:t>Basin 3</w:t>
            </w:r>
          </w:p>
        </w:tc>
        <w:tc>
          <w:tcPr>
            <w:tcW w:w="1409" w:type="dxa"/>
          </w:tcPr>
          <w:p w14:paraId="417DFEAC" w14:textId="3DC58486" w:rsidR="00AB3534" w:rsidRDefault="00A433B1" w:rsidP="00232EF1">
            <w:pPr>
              <w:pStyle w:val="BodyText"/>
              <w:jc w:val="center"/>
              <w:rPr>
                <w:szCs w:val="20"/>
              </w:rPr>
            </w:pPr>
            <w:r>
              <w:rPr>
                <w:szCs w:val="20"/>
              </w:rPr>
              <w:t>9.42</w:t>
            </w:r>
          </w:p>
        </w:tc>
        <w:tc>
          <w:tcPr>
            <w:tcW w:w="1409" w:type="dxa"/>
          </w:tcPr>
          <w:p w14:paraId="6AA2B5E3" w14:textId="49439A29" w:rsidR="00AB3534" w:rsidRDefault="00AB3534" w:rsidP="00232EF1">
            <w:pPr>
              <w:pStyle w:val="BodyText"/>
              <w:jc w:val="center"/>
              <w:rPr>
                <w:szCs w:val="20"/>
              </w:rPr>
            </w:pPr>
            <w:r>
              <w:rPr>
                <w:szCs w:val="20"/>
              </w:rPr>
              <w:t>6.87</w:t>
            </w:r>
          </w:p>
        </w:tc>
        <w:tc>
          <w:tcPr>
            <w:tcW w:w="1180" w:type="dxa"/>
          </w:tcPr>
          <w:p w14:paraId="7F28B39B" w14:textId="6B78B053" w:rsidR="00AB3534" w:rsidRPr="004A417D" w:rsidRDefault="00AB3534" w:rsidP="00232EF1">
            <w:pPr>
              <w:jc w:val="center"/>
            </w:pPr>
            <w:r>
              <w:t>928</w:t>
            </w:r>
          </w:p>
        </w:tc>
        <w:tc>
          <w:tcPr>
            <w:tcW w:w="1256" w:type="dxa"/>
          </w:tcPr>
          <w:p w14:paraId="577F41F6" w14:textId="7CB363DB" w:rsidR="00AB3534" w:rsidRPr="004A417D" w:rsidRDefault="00AB3534" w:rsidP="00232EF1">
            <w:pPr>
              <w:spacing w:line="240" w:lineRule="auto"/>
              <w:jc w:val="center"/>
            </w:pPr>
            <w:r>
              <w:t>1,851</w:t>
            </w:r>
          </w:p>
        </w:tc>
        <w:tc>
          <w:tcPr>
            <w:tcW w:w="1027" w:type="dxa"/>
          </w:tcPr>
          <w:p w14:paraId="48124F8F" w14:textId="20FB5C29" w:rsidR="00AB3534" w:rsidRPr="004A417D" w:rsidRDefault="00AB3534" w:rsidP="00232EF1">
            <w:pPr>
              <w:spacing w:line="240" w:lineRule="auto"/>
              <w:jc w:val="center"/>
            </w:pPr>
            <w:r>
              <w:t>3,694</w:t>
            </w:r>
          </w:p>
        </w:tc>
        <w:tc>
          <w:tcPr>
            <w:tcW w:w="1096" w:type="dxa"/>
          </w:tcPr>
          <w:p w14:paraId="01830EF3" w14:textId="52DBD60F" w:rsidR="00AB3534" w:rsidRPr="005121A4" w:rsidRDefault="00AB3534" w:rsidP="00232EF1">
            <w:pPr>
              <w:spacing w:line="240" w:lineRule="auto"/>
              <w:jc w:val="center"/>
            </w:pPr>
            <w:r>
              <w:t>1,686</w:t>
            </w:r>
          </w:p>
        </w:tc>
      </w:tr>
      <w:tr w:rsidR="00AB3534" w:rsidRPr="00A315D3" w14:paraId="63B0CFEA" w14:textId="77777777" w:rsidTr="00AB3534">
        <w:trPr>
          <w:cnfStyle w:val="000000010000" w:firstRow="0" w:lastRow="0" w:firstColumn="0" w:lastColumn="0" w:oddVBand="0" w:evenVBand="0" w:oddHBand="0" w:evenHBand="1" w:firstRowFirstColumn="0" w:firstRowLastColumn="0" w:lastRowFirstColumn="0" w:lastRowLastColumn="0"/>
          <w:trHeight w:val="809"/>
          <w:jc w:val="center"/>
        </w:trPr>
        <w:tc>
          <w:tcPr>
            <w:tcW w:w="943" w:type="dxa"/>
          </w:tcPr>
          <w:p w14:paraId="06603897" w14:textId="733CE438" w:rsidR="00AB3534" w:rsidRDefault="00AB3534" w:rsidP="00232EF1">
            <w:pPr>
              <w:pStyle w:val="BodyText"/>
              <w:jc w:val="center"/>
              <w:rPr>
                <w:szCs w:val="20"/>
              </w:rPr>
            </w:pPr>
            <w:r>
              <w:rPr>
                <w:szCs w:val="20"/>
              </w:rPr>
              <w:t>YHD5</w:t>
            </w:r>
          </w:p>
        </w:tc>
        <w:tc>
          <w:tcPr>
            <w:tcW w:w="1256" w:type="dxa"/>
          </w:tcPr>
          <w:p w14:paraId="3467BD7E" w14:textId="6F9BEB9D" w:rsidR="00AB3534" w:rsidRPr="0022732E" w:rsidRDefault="00AB3534" w:rsidP="00232EF1">
            <w:pPr>
              <w:pStyle w:val="BodyText"/>
              <w:jc w:val="center"/>
              <w:rPr>
                <w:szCs w:val="20"/>
              </w:rPr>
            </w:pPr>
            <w:r>
              <w:rPr>
                <w:szCs w:val="20"/>
              </w:rPr>
              <w:t>Basin 1</w:t>
            </w:r>
          </w:p>
        </w:tc>
        <w:tc>
          <w:tcPr>
            <w:tcW w:w="1409" w:type="dxa"/>
          </w:tcPr>
          <w:p w14:paraId="23DE4C26" w14:textId="5D79E2E4" w:rsidR="00AB3534" w:rsidRDefault="00A433B1" w:rsidP="00232EF1">
            <w:pPr>
              <w:pStyle w:val="BodyText"/>
              <w:jc w:val="center"/>
              <w:rPr>
                <w:szCs w:val="20"/>
              </w:rPr>
            </w:pPr>
            <w:r>
              <w:rPr>
                <w:szCs w:val="20"/>
              </w:rPr>
              <w:t>51.43</w:t>
            </w:r>
          </w:p>
        </w:tc>
        <w:tc>
          <w:tcPr>
            <w:tcW w:w="1409" w:type="dxa"/>
          </w:tcPr>
          <w:p w14:paraId="0ADD4CF0" w14:textId="199FD5EB" w:rsidR="00AB3534" w:rsidRDefault="00AB3534" w:rsidP="00232EF1">
            <w:pPr>
              <w:pStyle w:val="BodyText"/>
              <w:jc w:val="center"/>
              <w:rPr>
                <w:szCs w:val="20"/>
              </w:rPr>
            </w:pPr>
            <w:r>
              <w:rPr>
                <w:szCs w:val="20"/>
              </w:rPr>
              <w:t>3.12</w:t>
            </w:r>
          </w:p>
        </w:tc>
        <w:tc>
          <w:tcPr>
            <w:tcW w:w="1180" w:type="dxa"/>
          </w:tcPr>
          <w:p w14:paraId="66DD5592" w14:textId="55EF201C" w:rsidR="00AB3534" w:rsidRPr="004A417D" w:rsidRDefault="00AB3534" w:rsidP="00232EF1">
            <w:pPr>
              <w:jc w:val="center"/>
            </w:pPr>
            <w:r>
              <w:t>221</w:t>
            </w:r>
          </w:p>
        </w:tc>
        <w:tc>
          <w:tcPr>
            <w:tcW w:w="1256" w:type="dxa"/>
          </w:tcPr>
          <w:p w14:paraId="5428BFB1" w14:textId="04283D9B" w:rsidR="00AB3534" w:rsidRPr="004A417D" w:rsidRDefault="00AB3534" w:rsidP="00232EF1">
            <w:pPr>
              <w:spacing w:line="240" w:lineRule="auto"/>
              <w:jc w:val="center"/>
            </w:pPr>
            <w:r>
              <w:t>441</w:t>
            </w:r>
          </w:p>
        </w:tc>
        <w:tc>
          <w:tcPr>
            <w:tcW w:w="1027" w:type="dxa"/>
          </w:tcPr>
          <w:p w14:paraId="3A4EDA98" w14:textId="45B5AA91" w:rsidR="00AB3534" w:rsidRPr="004A417D" w:rsidRDefault="00AB3534" w:rsidP="00232EF1">
            <w:pPr>
              <w:spacing w:line="240" w:lineRule="auto"/>
              <w:jc w:val="center"/>
            </w:pPr>
            <w:r>
              <w:t>879</w:t>
            </w:r>
          </w:p>
        </w:tc>
        <w:tc>
          <w:tcPr>
            <w:tcW w:w="1096" w:type="dxa"/>
          </w:tcPr>
          <w:p w14:paraId="7E24C544" w14:textId="01ADA138" w:rsidR="00AB3534" w:rsidRPr="005121A4" w:rsidRDefault="00AB3534" w:rsidP="00232EF1">
            <w:pPr>
              <w:spacing w:line="240" w:lineRule="auto"/>
              <w:jc w:val="center"/>
            </w:pPr>
            <w:r>
              <w:t>272</w:t>
            </w:r>
          </w:p>
        </w:tc>
      </w:tr>
      <w:tr w:rsidR="00AB3534" w:rsidRPr="00A315D3" w14:paraId="2A4233B5" w14:textId="77777777" w:rsidTr="00AB3534">
        <w:trPr>
          <w:cnfStyle w:val="000000100000" w:firstRow="0" w:lastRow="0" w:firstColumn="0" w:lastColumn="0" w:oddVBand="0" w:evenVBand="0" w:oddHBand="1" w:evenHBand="0" w:firstRowFirstColumn="0" w:firstRowLastColumn="0" w:lastRowFirstColumn="0" w:lastRowLastColumn="0"/>
          <w:trHeight w:val="809"/>
          <w:jc w:val="center"/>
        </w:trPr>
        <w:tc>
          <w:tcPr>
            <w:tcW w:w="943" w:type="dxa"/>
          </w:tcPr>
          <w:p w14:paraId="6B151FDB" w14:textId="131BD403" w:rsidR="00AB3534" w:rsidRDefault="00AB3534" w:rsidP="00232EF1">
            <w:pPr>
              <w:pStyle w:val="BodyText"/>
              <w:jc w:val="center"/>
              <w:rPr>
                <w:szCs w:val="20"/>
              </w:rPr>
            </w:pPr>
            <w:r>
              <w:rPr>
                <w:szCs w:val="20"/>
              </w:rPr>
              <w:t>YHD5</w:t>
            </w:r>
          </w:p>
        </w:tc>
        <w:tc>
          <w:tcPr>
            <w:tcW w:w="1256" w:type="dxa"/>
          </w:tcPr>
          <w:p w14:paraId="24740F25" w14:textId="4BAAEAF5" w:rsidR="00AB3534" w:rsidRPr="0022732E" w:rsidRDefault="00AB3534" w:rsidP="00232EF1">
            <w:pPr>
              <w:pStyle w:val="BodyText"/>
              <w:jc w:val="center"/>
              <w:rPr>
                <w:szCs w:val="20"/>
              </w:rPr>
            </w:pPr>
            <w:r>
              <w:rPr>
                <w:szCs w:val="20"/>
              </w:rPr>
              <w:t>Basin 2</w:t>
            </w:r>
          </w:p>
        </w:tc>
        <w:tc>
          <w:tcPr>
            <w:tcW w:w="1409" w:type="dxa"/>
          </w:tcPr>
          <w:p w14:paraId="2A5DF6D1" w14:textId="28023958" w:rsidR="00AB3534" w:rsidRDefault="00A433B1" w:rsidP="00232EF1">
            <w:pPr>
              <w:pStyle w:val="BodyText"/>
              <w:jc w:val="center"/>
              <w:rPr>
                <w:szCs w:val="20"/>
              </w:rPr>
            </w:pPr>
            <w:r>
              <w:rPr>
                <w:szCs w:val="20"/>
              </w:rPr>
              <w:t>9.43</w:t>
            </w:r>
          </w:p>
        </w:tc>
        <w:tc>
          <w:tcPr>
            <w:tcW w:w="1409" w:type="dxa"/>
          </w:tcPr>
          <w:p w14:paraId="1375B837" w14:textId="221C14FD" w:rsidR="00AB3534" w:rsidRDefault="00AB3534" w:rsidP="00232EF1">
            <w:pPr>
              <w:pStyle w:val="BodyText"/>
              <w:jc w:val="center"/>
              <w:rPr>
                <w:szCs w:val="20"/>
              </w:rPr>
            </w:pPr>
            <w:r>
              <w:rPr>
                <w:szCs w:val="20"/>
              </w:rPr>
              <w:t>6.49</w:t>
            </w:r>
          </w:p>
        </w:tc>
        <w:tc>
          <w:tcPr>
            <w:tcW w:w="1180" w:type="dxa"/>
          </w:tcPr>
          <w:p w14:paraId="2628CB2E" w14:textId="14271697" w:rsidR="00AB3534" w:rsidRPr="004A417D" w:rsidRDefault="00AB3534" w:rsidP="00232EF1">
            <w:pPr>
              <w:jc w:val="center"/>
            </w:pPr>
            <w:r>
              <w:t>833</w:t>
            </w:r>
          </w:p>
        </w:tc>
        <w:tc>
          <w:tcPr>
            <w:tcW w:w="1256" w:type="dxa"/>
          </w:tcPr>
          <w:p w14:paraId="06077C35" w14:textId="35AFD2F5" w:rsidR="00AB3534" w:rsidRPr="004A417D" w:rsidRDefault="00AB3534" w:rsidP="00232EF1">
            <w:pPr>
              <w:spacing w:line="240" w:lineRule="auto"/>
              <w:jc w:val="center"/>
            </w:pPr>
            <w:r>
              <w:t>1,663</w:t>
            </w:r>
          </w:p>
        </w:tc>
        <w:tc>
          <w:tcPr>
            <w:tcW w:w="1027" w:type="dxa"/>
          </w:tcPr>
          <w:p w14:paraId="68349E38" w14:textId="445CB63B" w:rsidR="00AB3534" w:rsidRPr="004A417D" w:rsidRDefault="00AB3534" w:rsidP="00232EF1">
            <w:pPr>
              <w:spacing w:line="240" w:lineRule="auto"/>
              <w:jc w:val="center"/>
            </w:pPr>
            <w:r>
              <w:t>3,318</w:t>
            </w:r>
          </w:p>
        </w:tc>
        <w:tc>
          <w:tcPr>
            <w:tcW w:w="1096" w:type="dxa"/>
          </w:tcPr>
          <w:p w14:paraId="45A6C78D" w14:textId="072A4699" w:rsidR="00AB3534" w:rsidRPr="005121A4" w:rsidRDefault="00AB3534" w:rsidP="00232EF1">
            <w:pPr>
              <w:spacing w:line="240" w:lineRule="auto"/>
              <w:jc w:val="center"/>
            </w:pPr>
            <w:r>
              <w:t>998</w:t>
            </w:r>
          </w:p>
        </w:tc>
      </w:tr>
      <w:tr w:rsidR="00AB3534" w:rsidRPr="00A315D3" w14:paraId="12B26B02" w14:textId="77777777" w:rsidTr="00AB3534">
        <w:trPr>
          <w:cnfStyle w:val="000000010000" w:firstRow="0" w:lastRow="0" w:firstColumn="0" w:lastColumn="0" w:oddVBand="0" w:evenVBand="0" w:oddHBand="0" w:evenHBand="1" w:firstRowFirstColumn="0" w:firstRowLastColumn="0" w:lastRowFirstColumn="0" w:lastRowLastColumn="0"/>
          <w:trHeight w:val="809"/>
          <w:jc w:val="center"/>
        </w:trPr>
        <w:tc>
          <w:tcPr>
            <w:tcW w:w="943" w:type="dxa"/>
          </w:tcPr>
          <w:p w14:paraId="41BA8BFF" w14:textId="1B80C2E2" w:rsidR="00AB3534" w:rsidRDefault="00AB3534" w:rsidP="00232EF1">
            <w:pPr>
              <w:pStyle w:val="BodyText"/>
              <w:jc w:val="center"/>
              <w:rPr>
                <w:szCs w:val="20"/>
              </w:rPr>
            </w:pPr>
            <w:r>
              <w:rPr>
                <w:szCs w:val="20"/>
              </w:rPr>
              <w:t>YHD5</w:t>
            </w:r>
          </w:p>
        </w:tc>
        <w:tc>
          <w:tcPr>
            <w:tcW w:w="1256" w:type="dxa"/>
          </w:tcPr>
          <w:p w14:paraId="2C998F67" w14:textId="77049BD5" w:rsidR="00AB3534" w:rsidRDefault="00AB3534" w:rsidP="00232EF1">
            <w:pPr>
              <w:pStyle w:val="BodyText"/>
              <w:jc w:val="center"/>
              <w:rPr>
                <w:szCs w:val="20"/>
              </w:rPr>
            </w:pPr>
            <w:r>
              <w:rPr>
                <w:szCs w:val="20"/>
              </w:rPr>
              <w:t>Basin 3</w:t>
            </w:r>
          </w:p>
        </w:tc>
        <w:tc>
          <w:tcPr>
            <w:tcW w:w="1409" w:type="dxa"/>
          </w:tcPr>
          <w:p w14:paraId="3377E756" w14:textId="785EA9C0" w:rsidR="00AB3534" w:rsidRDefault="00A433B1" w:rsidP="00232EF1">
            <w:pPr>
              <w:pStyle w:val="BodyText"/>
              <w:jc w:val="center"/>
              <w:rPr>
                <w:szCs w:val="20"/>
              </w:rPr>
            </w:pPr>
            <w:r>
              <w:rPr>
                <w:szCs w:val="20"/>
              </w:rPr>
              <w:t>28.91</w:t>
            </w:r>
          </w:p>
        </w:tc>
        <w:tc>
          <w:tcPr>
            <w:tcW w:w="1409" w:type="dxa"/>
          </w:tcPr>
          <w:p w14:paraId="1A1F2D20" w14:textId="71D27FA6" w:rsidR="00AB3534" w:rsidRPr="00870C34" w:rsidRDefault="00AB3534" w:rsidP="00232EF1">
            <w:pPr>
              <w:pStyle w:val="BodyText"/>
              <w:jc w:val="center"/>
              <w:rPr>
                <w:szCs w:val="20"/>
              </w:rPr>
            </w:pPr>
            <w:r>
              <w:rPr>
                <w:szCs w:val="20"/>
              </w:rPr>
              <w:t>6.87</w:t>
            </w:r>
          </w:p>
        </w:tc>
        <w:tc>
          <w:tcPr>
            <w:tcW w:w="1180" w:type="dxa"/>
          </w:tcPr>
          <w:p w14:paraId="3912DBC6" w14:textId="12F17C66" w:rsidR="00AB3534" w:rsidRPr="00B86704" w:rsidRDefault="00AB3534" w:rsidP="00232EF1">
            <w:pPr>
              <w:jc w:val="center"/>
            </w:pPr>
            <w:r>
              <w:t>532</w:t>
            </w:r>
          </w:p>
        </w:tc>
        <w:tc>
          <w:tcPr>
            <w:tcW w:w="1256" w:type="dxa"/>
          </w:tcPr>
          <w:p w14:paraId="238608C8" w14:textId="70AF5A2F" w:rsidR="00AB3534" w:rsidRPr="00B86704" w:rsidRDefault="00AB3534" w:rsidP="00232EF1">
            <w:pPr>
              <w:spacing w:line="240" w:lineRule="auto"/>
              <w:jc w:val="center"/>
            </w:pPr>
            <w:r>
              <w:t>1,062</w:t>
            </w:r>
          </w:p>
        </w:tc>
        <w:tc>
          <w:tcPr>
            <w:tcW w:w="1027" w:type="dxa"/>
          </w:tcPr>
          <w:p w14:paraId="680BAFEE" w14:textId="3ABEA675" w:rsidR="00AB3534" w:rsidRPr="00B86704" w:rsidRDefault="00AB3534" w:rsidP="00232EF1">
            <w:pPr>
              <w:spacing w:line="240" w:lineRule="auto"/>
              <w:jc w:val="center"/>
            </w:pPr>
            <w:r>
              <w:t>2,120</w:t>
            </w:r>
          </w:p>
        </w:tc>
        <w:tc>
          <w:tcPr>
            <w:tcW w:w="1096" w:type="dxa"/>
          </w:tcPr>
          <w:p w14:paraId="23691E0C" w14:textId="7E699A25" w:rsidR="00AB3534" w:rsidRPr="009A049C" w:rsidRDefault="00AB3534" w:rsidP="00232EF1">
            <w:pPr>
              <w:spacing w:line="240" w:lineRule="auto"/>
              <w:jc w:val="center"/>
            </w:pPr>
            <w:r>
              <w:t>381</w:t>
            </w:r>
          </w:p>
        </w:tc>
      </w:tr>
    </w:tbl>
    <w:p w14:paraId="080F57B4" w14:textId="12048554" w:rsidR="00877344" w:rsidRPr="004A241F" w:rsidRDefault="004A241F" w:rsidP="0048315A">
      <w:pPr>
        <w:pStyle w:val="BodyText"/>
        <w:rPr>
          <w:sz w:val="22"/>
          <w:szCs w:val="22"/>
          <w:vertAlign w:val="superscript"/>
        </w:rPr>
      </w:pPr>
      <w:r>
        <w:rPr>
          <w:sz w:val="16"/>
          <w:szCs w:val="16"/>
          <w:vertAlign w:val="superscript"/>
        </w:rPr>
        <w:t xml:space="preserve"> </w:t>
      </w:r>
      <w:r>
        <w:rPr>
          <w:sz w:val="22"/>
          <w:szCs w:val="22"/>
          <w:vertAlign w:val="superscript"/>
        </w:rPr>
        <w:t>The closed basin volume analysis for YHD3-Basin 4 shows that only approximately 60% of volume flows out of the basin.</w:t>
      </w:r>
    </w:p>
    <w:p w14:paraId="06D37DE0" w14:textId="77777777" w:rsidR="000F1315" w:rsidRDefault="005C04C0" w:rsidP="000F1315">
      <w:pPr>
        <w:pStyle w:val="BodyText"/>
        <w:rPr>
          <w:szCs w:val="16"/>
        </w:rPr>
      </w:pPr>
      <w:r w:rsidRPr="001733FE">
        <w:rPr>
          <w:szCs w:val="16"/>
        </w:rPr>
        <w:fldChar w:fldCharType="begin"/>
      </w:r>
      <w:r w:rsidRPr="001733FE">
        <w:rPr>
          <w:szCs w:val="16"/>
        </w:rPr>
        <w:instrText xml:space="preserve"> REF _Ref61266175 \h </w:instrText>
      </w:r>
      <w:r w:rsidR="00C94E71" w:rsidRPr="001733FE">
        <w:rPr>
          <w:szCs w:val="16"/>
        </w:rPr>
        <w:instrText xml:space="preserve"> \* MERGEFORMAT </w:instrText>
      </w:r>
      <w:r w:rsidRPr="001733FE">
        <w:rPr>
          <w:szCs w:val="16"/>
        </w:rPr>
      </w:r>
      <w:r w:rsidRPr="001733FE">
        <w:rPr>
          <w:szCs w:val="16"/>
        </w:rPr>
        <w:fldChar w:fldCharType="separate"/>
      </w:r>
      <w:r w:rsidR="00C9792F">
        <w:t xml:space="preserve">Figure </w:t>
      </w:r>
      <w:r w:rsidR="00C9792F">
        <w:rPr>
          <w:noProof/>
        </w:rPr>
        <w:t>15</w:t>
      </w:r>
      <w:r w:rsidRPr="001733FE">
        <w:rPr>
          <w:szCs w:val="16"/>
        </w:rPr>
        <w:fldChar w:fldCharType="end"/>
      </w:r>
      <w:r w:rsidRPr="001733FE">
        <w:rPr>
          <w:szCs w:val="16"/>
        </w:rPr>
        <w:t xml:space="preserve"> </w:t>
      </w:r>
      <w:r w:rsidR="006F6670" w:rsidRPr="001733FE">
        <w:rPr>
          <w:szCs w:val="16"/>
        </w:rPr>
        <w:t>sh</w:t>
      </w:r>
      <w:r w:rsidR="00955C4B" w:rsidRPr="001733FE">
        <w:rPr>
          <w:szCs w:val="16"/>
        </w:rPr>
        <w:t xml:space="preserve">ows the final results of the </w:t>
      </w:r>
      <w:r w:rsidRPr="001733FE">
        <w:rPr>
          <w:szCs w:val="16"/>
        </w:rPr>
        <w:t>calibration locations compared to modeled flows</w:t>
      </w:r>
      <w:r w:rsidR="006F6670" w:rsidRPr="001733FE">
        <w:rPr>
          <w:szCs w:val="16"/>
        </w:rPr>
        <w:t xml:space="preserve"> throughout the </w:t>
      </w:r>
      <w:r w:rsidR="00DF701E">
        <w:rPr>
          <w:szCs w:val="16"/>
        </w:rPr>
        <w:t>Yellow House Draw</w:t>
      </w:r>
      <w:r w:rsidR="00A91F0D" w:rsidRPr="001733FE">
        <w:rPr>
          <w:szCs w:val="16"/>
        </w:rPr>
        <w:t xml:space="preserve"> </w:t>
      </w:r>
      <w:r w:rsidR="00E07907" w:rsidRPr="001733FE">
        <w:rPr>
          <w:szCs w:val="16"/>
        </w:rPr>
        <w:t>watershed along with error bars created using the difference between 1</w:t>
      </w:r>
      <w:r w:rsidR="005C72F6">
        <w:rPr>
          <w:rFonts w:cstheme="minorHAnsi"/>
        </w:rPr>
        <w:t>-percent</w:t>
      </w:r>
      <w:r w:rsidR="00E07907" w:rsidRPr="001733FE">
        <w:rPr>
          <w:szCs w:val="16"/>
        </w:rPr>
        <w:t xml:space="preserve"> and 1</w:t>
      </w:r>
      <w:r w:rsidR="005C72F6">
        <w:rPr>
          <w:rFonts w:cstheme="minorHAnsi"/>
        </w:rPr>
        <w:t>-percent plus</w:t>
      </w:r>
      <w:r w:rsidR="00E07907" w:rsidRPr="001733FE">
        <w:rPr>
          <w:szCs w:val="16"/>
        </w:rPr>
        <w:t xml:space="preserve"> discharges and 1</w:t>
      </w:r>
      <w:r w:rsidR="005C72F6">
        <w:rPr>
          <w:rFonts w:cstheme="minorHAnsi"/>
        </w:rPr>
        <w:t>-percent</w:t>
      </w:r>
      <w:r w:rsidR="00E07907" w:rsidRPr="001733FE">
        <w:rPr>
          <w:szCs w:val="16"/>
        </w:rPr>
        <w:t xml:space="preserve"> and 1</w:t>
      </w:r>
      <w:r w:rsidR="005C72F6">
        <w:rPr>
          <w:rFonts w:cstheme="minorHAnsi"/>
        </w:rPr>
        <w:t>-percent</w:t>
      </w:r>
      <w:r w:rsidR="005C72F6" w:rsidRPr="001733FE">
        <w:rPr>
          <w:rFonts w:cstheme="minorHAnsi"/>
        </w:rPr>
        <w:t xml:space="preserve"> </w:t>
      </w:r>
      <w:r w:rsidR="005C72F6">
        <w:rPr>
          <w:rFonts w:cstheme="minorHAnsi"/>
        </w:rPr>
        <w:t>minus</w:t>
      </w:r>
      <w:r w:rsidR="00E07907" w:rsidRPr="001733FE">
        <w:rPr>
          <w:szCs w:val="16"/>
        </w:rPr>
        <w:t xml:space="preserve"> discharge as minimum and maximum values. </w:t>
      </w:r>
      <w:r w:rsidR="00DF701E">
        <w:rPr>
          <w:szCs w:val="16"/>
        </w:rPr>
        <w:t>Nine</w:t>
      </w:r>
      <w:r w:rsidR="005B4FBF">
        <w:rPr>
          <w:szCs w:val="16"/>
        </w:rPr>
        <w:t xml:space="preserve"> </w:t>
      </w:r>
      <w:r w:rsidR="006F6670" w:rsidRPr="001733FE">
        <w:rPr>
          <w:szCs w:val="16"/>
        </w:rPr>
        <w:t>comparisons were m</w:t>
      </w:r>
      <w:r w:rsidRPr="001733FE">
        <w:rPr>
          <w:szCs w:val="16"/>
        </w:rPr>
        <w:t xml:space="preserve">ade with varying drainage areas </w:t>
      </w:r>
      <w:r w:rsidR="006F6670" w:rsidRPr="001733FE">
        <w:rPr>
          <w:szCs w:val="16"/>
        </w:rPr>
        <w:t>to ensure the calibration of excess precipitation for different points over the entire watershed area.</w:t>
      </w:r>
      <w:r w:rsidR="00467431" w:rsidRPr="001733FE">
        <w:rPr>
          <w:szCs w:val="16"/>
        </w:rPr>
        <w:t xml:space="preserve"> This large collection of calibration points provides confidence in results throughout the entire </w:t>
      </w:r>
      <w:r w:rsidR="005C72F6" w:rsidRPr="005C72F6">
        <w:t>watershed</w:t>
      </w:r>
      <w:r w:rsidR="00467431" w:rsidRPr="001733FE">
        <w:rPr>
          <w:szCs w:val="16"/>
        </w:rPr>
        <w:t>.</w:t>
      </w:r>
      <w:r w:rsidR="00467431">
        <w:rPr>
          <w:szCs w:val="16"/>
        </w:rPr>
        <w:t xml:space="preserve"> </w:t>
      </w:r>
    </w:p>
    <w:p w14:paraId="78ADBA3B" w14:textId="7A90B318" w:rsidR="000F1315" w:rsidRDefault="002D046B" w:rsidP="000F1315">
      <w:pPr>
        <w:pStyle w:val="BodyText"/>
        <w:rPr>
          <w:szCs w:val="16"/>
        </w:rPr>
      </w:pPr>
      <w:r>
        <w:rPr>
          <w:szCs w:val="16"/>
        </w:rPr>
        <w:t xml:space="preserve">Several calibration locations fall below the target range of regression values. It was determined that these results were acceptable after several efforts were made to increase the flow, including raising the CN and modifying the total basin area used in regression for closed basins. </w:t>
      </w:r>
      <w:r w:rsidR="00D8684C">
        <w:rPr>
          <w:szCs w:val="16"/>
        </w:rPr>
        <w:t>The lower flows are justified by any smaller closed basin areas that were not included as part of the closed basin analysis, as performing the closed basin analysis on every individual playa was not feasible as part of the scope. Additionally, certain basins that were analyzed and determined to be not closed still held a significant amount of flow from passing which helps explain the low modeled flows in some basins.</w:t>
      </w:r>
    </w:p>
    <w:p w14:paraId="74738646" w14:textId="3BCE7314" w:rsidR="00D55F6F" w:rsidRDefault="003D1CA8" w:rsidP="008B119C">
      <w:pPr>
        <w:pStyle w:val="BodyText"/>
        <w:keepNext/>
        <w:jc w:val="center"/>
      </w:pPr>
      <w:r>
        <w:rPr>
          <w:noProof/>
        </w:rPr>
        <w:lastRenderedPageBreak/>
        <w:drawing>
          <wp:inline distT="0" distB="0" distL="0" distR="0" wp14:anchorId="5AC5C790" wp14:editId="2707943A">
            <wp:extent cx="5934075" cy="4019550"/>
            <wp:effectExtent l="0" t="0" r="9525" b="19050"/>
            <wp:docPr id="5" name="Chart 5">
              <a:extLst xmlns:a="http://schemas.openxmlformats.org/drawingml/2006/main">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2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p w14:paraId="33DAC64F" w14:textId="14AF728C" w:rsidR="009B7FC2" w:rsidRDefault="00D55F6F" w:rsidP="000F1315">
      <w:pPr>
        <w:pStyle w:val="Caption"/>
        <w:jc w:val="center"/>
      </w:pPr>
      <w:bookmarkStart w:id="92" w:name="_Ref61266175"/>
      <w:bookmarkStart w:id="93" w:name="_Toc112877043"/>
      <w:r>
        <w:t xml:space="preserve">Figure </w:t>
      </w:r>
      <w:r>
        <w:fldChar w:fldCharType="begin"/>
      </w:r>
      <w:r>
        <w:instrText xml:space="preserve"> SEQ Figure \* ARABIC </w:instrText>
      </w:r>
      <w:r>
        <w:fldChar w:fldCharType="separate"/>
      </w:r>
      <w:r w:rsidR="00C9792F">
        <w:rPr>
          <w:noProof/>
        </w:rPr>
        <w:t>15</w:t>
      </w:r>
      <w:r>
        <w:fldChar w:fldCharType="end"/>
      </w:r>
      <w:bookmarkEnd w:id="92"/>
      <w:r>
        <w:t xml:space="preserve">: </w:t>
      </w:r>
      <w:r w:rsidR="005C04C0">
        <w:t>Calibration Comparison</w:t>
      </w:r>
      <w:bookmarkEnd w:id="93"/>
      <w:r w:rsidR="005C04C0">
        <w:t xml:space="preserve"> </w:t>
      </w:r>
    </w:p>
    <w:p w14:paraId="26A5161B" w14:textId="77862C4D" w:rsidR="00AD6178" w:rsidRDefault="00AD6178" w:rsidP="00AD6178">
      <w:pPr>
        <w:pStyle w:val="Heading2"/>
      </w:pPr>
      <w:bookmarkStart w:id="94" w:name="_Toc112877081"/>
      <w:r>
        <w:t>Challenges</w:t>
      </w:r>
      <w:bookmarkEnd w:id="94"/>
      <w:r>
        <w:t xml:space="preserve"> </w:t>
      </w:r>
    </w:p>
    <w:p w14:paraId="2327B918" w14:textId="53329573" w:rsidR="00B12BC6" w:rsidRDefault="00B12BC6" w:rsidP="001D03B0">
      <w:pPr>
        <w:pStyle w:val="BodyText"/>
      </w:pPr>
      <w:r>
        <w:t xml:space="preserve">A considerable challenge for </w:t>
      </w:r>
      <w:r w:rsidR="00D209E4">
        <w:t>the Yellow House Draw</w:t>
      </w:r>
      <w:r>
        <w:t xml:space="preserve"> watershed was the size of the HUC</w:t>
      </w:r>
      <w:r w:rsidR="00570522">
        <w:t>-</w:t>
      </w:r>
      <w:r>
        <w:t xml:space="preserve">8 basin. In order to create this model without creating runtime or cell number issues, it was decided that the watershed would be split into </w:t>
      </w:r>
      <w:r w:rsidR="00D209E4">
        <w:t>five</w:t>
      </w:r>
      <w:r>
        <w:t xml:space="preserve"> working models. The outflow from the upstream </w:t>
      </w:r>
      <w:r w:rsidR="00D209E4">
        <w:t>models was</w:t>
      </w:r>
      <w:r>
        <w:t xml:space="preserve"> then used as an inflow boundary condition to the </w:t>
      </w:r>
      <w:r w:rsidR="00D209E4">
        <w:t xml:space="preserve">corresponding </w:t>
      </w:r>
      <w:r>
        <w:t xml:space="preserve">downstream model. </w:t>
      </w:r>
      <w:r w:rsidR="00D209E4">
        <w:t>Additionally, several closed basins within the HUC</w:t>
      </w:r>
      <w:r w:rsidR="00570522">
        <w:t>-</w:t>
      </w:r>
      <w:r w:rsidR="00D209E4">
        <w:t xml:space="preserve">8 basin were identified, including </w:t>
      </w:r>
      <w:r w:rsidR="00634241">
        <w:t>Lower White Lake</w:t>
      </w:r>
      <w:r w:rsidR="00D209E4">
        <w:t>.</w:t>
      </w:r>
      <w:r>
        <w:t xml:space="preserve"> </w:t>
      </w:r>
      <w:r w:rsidR="00D209E4">
        <w:t xml:space="preserve">These closed basins prevented flow </w:t>
      </w:r>
      <w:r w:rsidR="00BC0EE8">
        <w:t xml:space="preserve">from </w:t>
      </w:r>
      <w:r w:rsidR="00D209E4">
        <w:t>continu</w:t>
      </w:r>
      <w:r w:rsidR="00BC0EE8">
        <w:t>ing</w:t>
      </w:r>
      <w:r w:rsidR="00D209E4">
        <w:t xml:space="preserve"> downstream, making calibration to regression values difficult as the initial regression values calculated did not account for these area</w:t>
      </w:r>
      <w:r w:rsidR="00BC0EE8">
        <w:t>s</w:t>
      </w:r>
      <w:r w:rsidR="00480D27">
        <w:t xml:space="preserve"> and as a result</w:t>
      </w:r>
      <w:r w:rsidR="00BC0EE8">
        <w:t>,</w:t>
      </w:r>
      <w:r w:rsidR="00480D27">
        <w:t xml:space="preserve"> highly overestimated the amount of flow</w:t>
      </w:r>
      <w:r w:rsidR="00D209E4">
        <w:t>.</w:t>
      </w:r>
      <w:r w:rsidR="00BC0EE8">
        <w:t xml:space="preserve"> The number of playas in the Yellow House Draw watershed coupled with the lack of gage data and effective data presented a challenge for calibrating; as did the approximate study (BLE) done for the upstream contributing areas in New Mexico. In future more detailed studies, a more in-depth analysis of the hydrology in the area is recommended.</w:t>
      </w:r>
    </w:p>
    <w:p w14:paraId="05FF7B22" w14:textId="6C9CEE45" w:rsidR="009678F9" w:rsidRDefault="009678F9" w:rsidP="001D03B0">
      <w:pPr>
        <w:pStyle w:val="BodyText"/>
      </w:pPr>
      <w:r>
        <w:t>Yellow House Draw and Black</w:t>
      </w:r>
      <w:r w:rsidR="00644615">
        <w:t xml:space="preserve"> W</w:t>
      </w:r>
      <w:r>
        <w:t>ater Draw HUC-8s are adjacent</w:t>
      </w:r>
      <w:r w:rsidR="008467B0">
        <w:t xml:space="preserve"> to each other</w:t>
      </w:r>
      <w:r w:rsidR="0023150D">
        <w:t>, and even the shared watershed boundary area</w:t>
      </w:r>
      <w:r w:rsidR="00644615">
        <w:t xml:space="preserve"> is extremely flat and consists of </w:t>
      </w:r>
      <w:r>
        <w:t xml:space="preserve">several playas </w:t>
      </w:r>
      <w:r w:rsidR="00644615">
        <w:t xml:space="preserve">that </w:t>
      </w:r>
      <w:r w:rsidR="008467B0">
        <w:t>retain water. B</w:t>
      </w:r>
      <w:r>
        <w:t>ecause of this</w:t>
      </w:r>
      <w:r w:rsidR="008467B0">
        <w:t>,</w:t>
      </w:r>
      <w:r>
        <w:t xml:space="preserve"> </w:t>
      </w:r>
      <w:r w:rsidR="0023150D">
        <w:t>many areas of shallow pluvial flow or playa storage straddle the boundary between the modeled areas of the t</w:t>
      </w:r>
      <w:r w:rsidR="00A3583B">
        <w:t>wo HUC8s. While these areas are</w:t>
      </w:r>
      <w:r w:rsidR="0023150D">
        <w:t xml:space="preserve"> numerous, their impact to downstream flood flows is minimal as they do not convey, but rather retain, much of the flow that reaches these locations. This creates a challenge for edge matching these small flooded areas since minor differences in excess precipitation and other coarsely-defined model parameters (such as CN or even n-value) used for the two watersheds can lead to discrepancies in mapping extent</w:t>
      </w:r>
      <w:r>
        <w:t>.</w:t>
      </w:r>
      <w:r w:rsidR="00644615">
        <w:t xml:space="preserve"> </w:t>
      </w:r>
      <w:r w:rsidR="0023150D">
        <w:t>While many of these areas along the shared boundaries do edge match reasonably well, extensive efforts using modeing and/or mapping techniques is not feasible for a BLE analysis, and is limited to checking for similar WSEs across the HUCs (which was verified), so that the primary focus for achieving good tie in between model areas and HUC8 watersheds remain</w:t>
      </w:r>
      <w:r w:rsidR="00D56FD4">
        <w:t>s along primary flood channels. Some lessons learned can be carried forward for future BLE modeling in flat areas like these, such as coordination of model parameters with adjacent model teams, if feasible, intentional delineation of model domain areas in an attempt to keep entire ponded or shallow flow areas on one side of the model divide, and more detailed focus on areas of interest during future modeling efforts.</w:t>
      </w:r>
    </w:p>
    <w:p w14:paraId="3304A2D6" w14:textId="29D573FD" w:rsidR="00644615" w:rsidRDefault="00D76176" w:rsidP="001D03B0">
      <w:pPr>
        <w:pStyle w:val="BodyText"/>
      </w:pPr>
      <w:r>
        <w:lastRenderedPageBreak/>
        <w:t>Within the watershed, there are several populated areas and agricultural fields that appear to be trapping water which prevents runoff from reaching the channel in the model.</w:t>
      </w:r>
      <w:r w:rsidR="00D209E4">
        <w:t xml:space="preserve"> </w:t>
      </w:r>
      <w:r>
        <w:t xml:space="preserve">Various v-notches were applied to represent cross culverts and improve conveyance. </w:t>
      </w:r>
      <w:r w:rsidR="00B7795C" w:rsidRPr="00B621D8">
        <w:rPr>
          <w:color w:val="000000" w:themeColor="text1"/>
        </w:rPr>
        <w:t xml:space="preserve">Further detail and study of the flow patterns and likely runoff conveyance would be recommended as part of a future study if more detailed flood risk information was needed in these areas. </w:t>
      </w:r>
      <w:r w:rsidR="00B7795C">
        <w:rPr>
          <w:color w:val="000000" w:themeColor="text1"/>
        </w:rPr>
        <w:t>In addition, s</w:t>
      </w:r>
      <w:r>
        <w:t>everal breaklines and refinement regions increased the total number of cells and thereby increasing the model runtime.</w:t>
      </w:r>
      <w:r w:rsidR="0095040D">
        <w:t xml:space="preserve"> </w:t>
      </w:r>
    </w:p>
    <w:p w14:paraId="58A56F8F" w14:textId="77777777" w:rsidR="00D76176" w:rsidRDefault="00AD6178" w:rsidP="00AD6178">
      <w:pPr>
        <w:pStyle w:val="Heading2"/>
      </w:pPr>
      <w:bookmarkStart w:id="95" w:name="_Toc112877082"/>
      <w:r>
        <w:t>Recommendations</w:t>
      </w:r>
      <w:bookmarkEnd w:id="95"/>
    </w:p>
    <w:p w14:paraId="515C757B" w14:textId="77777777" w:rsidR="00D76176" w:rsidRDefault="00D76176" w:rsidP="00D76176">
      <w:pPr>
        <w:pStyle w:val="BodyText"/>
      </w:pPr>
      <w:bookmarkStart w:id="96" w:name="_Hlk12020115"/>
      <w:r w:rsidRPr="00D76176">
        <w:t>This study provides significant information useful for flood identification and communication among those affected.  The study is highly scalable, and stakeholder input and further analysis would enhance the product and inform implementation of regulatory flood hazard areas.  In addition, the validity of the 2D BLE results should be verified through community work map meetings before being applied as a regulatory product.</w:t>
      </w:r>
      <w:bookmarkStart w:id="97" w:name="_Toc456175435"/>
      <w:bookmarkStart w:id="98" w:name="_Toc456176054"/>
      <w:bookmarkStart w:id="99" w:name="_Toc455987085"/>
      <w:bookmarkStart w:id="100" w:name="_Toc455992949"/>
      <w:bookmarkStart w:id="101" w:name="_Toc455994051"/>
      <w:bookmarkStart w:id="102" w:name="_Toc456005458"/>
      <w:bookmarkStart w:id="103" w:name="_Toc456175436"/>
      <w:bookmarkStart w:id="104" w:name="_Toc456176055"/>
      <w:bookmarkStart w:id="105" w:name="_Toc455987086"/>
      <w:bookmarkStart w:id="106" w:name="_Toc455992950"/>
      <w:bookmarkStart w:id="107" w:name="_Toc455994052"/>
      <w:bookmarkStart w:id="108" w:name="_Toc456005459"/>
      <w:bookmarkStart w:id="109" w:name="_Toc456175437"/>
      <w:bookmarkStart w:id="110" w:name="_Toc456176056"/>
      <w:bookmarkStart w:id="111" w:name="_Toc455987087"/>
      <w:bookmarkStart w:id="112" w:name="_Toc455992951"/>
      <w:bookmarkStart w:id="113" w:name="_Toc455994053"/>
      <w:bookmarkStart w:id="114" w:name="_Toc456005460"/>
      <w:bookmarkStart w:id="115" w:name="_Toc456175438"/>
      <w:bookmarkStart w:id="116" w:name="_Toc456176057"/>
      <w:bookmarkStart w:id="117" w:name="_Toc455987088"/>
      <w:bookmarkStart w:id="118" w:name="_Toc455992952"/>
      <w:bookmarkStart w:id="119" w:name="_Toc455994054"/>
      <w:bookmarkStart w:id="120" w:name="_Toc456005461"/>
      <w:bookmarkStart w:id="121" w:name="_Toc456175439"/>
      <w:bookmarkStart w:id="122" w:name="_Toc456176058"/>
      <w:bookmarkStart w:id="123" w:name="_Toc455987089"/>
      <w:bookmarkStart w:id="124" w:name="_Toc455992953"/>
      <w:bookmarkStart w:id="125" w:name="_Toc455994055"/>
      <w:bookmarkStart w:id="126" w:name="_Toc456005462"/>
      <w:bookmarkStart w:id="127" w:name="_Toc456175440"/>
      <w:bookmarkStart w:id="128" w:name="_Toc456176059"/>
      <w:bookmarkStart w:id="129" w:name="_Toc455987090"/>
      <w:bookmarkStart w:id="130" w:name="_Toc455992954"/>
      <w:bookmarkStart w:id="131" w:name="_Toc455994056"/>
      <w:bookmarkStart w:id="132" w:name="_Toc456005463"/>
      <w:bookmarkStart w:id="133" w:name="_Toc456175441"/>
      <w:bookmarkStart w:id="134" w:name="_Toc456176060"/>
      <w:bookmarkStart w:id="135" w:name="_Toc455987091"/>
      <w:bookmarkStart w:id="136" w:name="_Toc455992955"/>
      <w:bookmarkStart w:id="137" w:name="_Toc455994057"/>
      <w:bookmarkStart w:id="138" w:name="_Toc456005464"/>
      <w:bookmarkStart w:id="139" w:name="_Toc456175442"/>
      <w:bookmarkStart w:id="140" w:name="_Toc456176061"/>
      <w:bookmarkStart w:id="141" w:name="_Toc455987092"/>
      <w:bookmarkStart w:id="142" w:name="_Toc455992956"/>
      <w:bookmarkStart w:id="143" w:name="_Toc455994058"/>
      <w:bookmarkStart w:id="144" w:name="_Toc456005465"/>
      <w:bookmarkStart w:id="145" w:name="_Toc456175443"/>
      <w:bookmarkStart w:id="146" w:name="_Toc456176062"/>
      <w:bookmarkStart w:id="147" w:name="_Toc455987093"/>
      <w:bookmarkStart w:id="148" w:name="_Toc455992957"/>
      <w:bookmarkStart w:id="149" w:name="_Toc455994059"/>
      <w:bookmarkStart w:id="150" w:name="_Toc456005466"/>
      <w:bookmarkStart w:id="151" w:name="_Toc456175444"/>
      <w:bookmarkStart w:id="152" w:name="_Toc456176063"/>
      <w:bookmarkStart w:id="153" w:name="_Toc455987094"/>
      <w:bookmarkStart w:id="154" w:name="_Toc455992958"/>
      <w:bookmarkStart w:id="155" w:name="_Toc455994060"/>
      <w:bookmarkStart w:id="156" w:name="_Toc456005467"/>
      <w:bookmarkStart w:id="157" w:name="_Toc456175445"/>
      <w:bookmarkStart w:id="158" w:name="_Toc456176064"/>
      <w:bookmarkStart w:id="159" w:name="_Toc455987095"/>
      <w:bookmarkStart w:id="160" w:name="_Toc455992959"/>
      <w:bookmarkStart w:id="161" w:name="_Toc455994061"/>
      <w:bookmarkStart w:id="162" w:name="_Toc456005468"/>
      <w:bookmarkStart w:id="163" w:name="_Toc456175446"/>
      <w:bookmarkStart w:id="164" w:name="_Toc456176065"/>
      <w:bookmarkStart w:id="165" w:name="_Toc455987096"/>
      <w:bookmarkStart w:id="166" w:name="_Toc455992960"/>
      <w:bookmarkStart w:id="167" w:name="_Toc455994062"/>
      <w:bookmarkStart w:id="168" w:name="_Toc456005469"/>
      <w:bookmarkStart w:id="169" w:name="_Toc456175447"/>
      <w:bookmarkStart w:id="170" w:name="_Toc456176066"/>
      <w:bookmarkStart w:id="171" w:name="_Toc455987097"/>
      <w:bookmarkStart w:id="172" w:name="_Toc455992961"/>
      <w:bookmarkStart w:id="173" w:name="_Toc455994063"/>
      <w:bookmarkStart w:id="174" w:name="_Toc456005470"/>
      <w:bookmarkStart w:id="175" w:name="_Toc456175448"/>
      <w:bookmarkStart w:id="176" w:name="_Toc456176067"/>
      <w:bookmarkStart w:id="177" w:name="_Toc455987098"/>
      <w:bookmarkStart w:id="178" w:name="_Toc455992962"/>
      <w:bookmarkStart w:id="179" w:name="_Toc455994064"/>
      <w:bookmarkStart w:id="180" w:name="_Toc456005471"/>
      <w:bookmarkStart w:id="181" w:name="_Toc456175449"/>
      <w:bookmarkStart w:id="182" w:name="_Toc456176068"/>
      <w:bookmarkStart w:id="183" w:name="_Toc455987099"/>
      <w:bookmarkStart w:id="184" w:name="_Toc455992963"/>
      <w:bookmarkStart w:id="185" w:name="_Toc455994065"/>
      <w:bookmarkStart w:id="186" w:name="_Toc456005472"/>
      <w:bookmarkStart w:id="187" w:name="_Toc456175450"/>
      <w:bookmarkStart w:id="188" w:name="_Toc456176069"/>
      <w:bookmarkStart w:id="189" w:name="_Toc455987100"/>
      <w:bookmarkStart w:id="190" w:name="_Toc455992964"/>
      <w:bookmarkStart w:id="191" w:name="_Toc455994066"/>
      <w:bookmarkStart w:id="192" w:name="_Toc456005473"/>
      <w:bookmarkStart w:id="193" w:name="_Toc456175451"/>
      <w:bookmarkStart w:id="194" w:name="_Toc456176070"/>
      <w:bookmarkStart w:id="195" w:name="_Toc455987101"/>
      <w:bookmarkStart w:id="196" w:name="_Toc455992965"/>
      <w:bookmarkStart w:id="197" w:name="_Toc455994067"/>
      <w:bookmarkStart w:id="198" w:name="_Toc456005474"/>
      <w:bookmarkStart w:id="199" w:name="_Toc456175452"/>
      <w:bookmarkStart w:id="200" w:name="_Toc456176071"/>
      <w:bookmarkStart w:id="201" w:name="_Toc455987102"/>
      <w:bookmarkStart w:id="202" w:name="_Toc455992966"/>
      <w:bookmarkStart w:id="203" w:name="_Toc455994068"/>
      <w:bookmarkStart w:id="204" w:name="_Toc456005475"/>
      <w:bookmarkStart w:id="205" w:name="_Toc456175453"/>
      <w:bookmarkStart w:id="206" w:name="_Toc456176072"/>
      <w:bookmarkStart w:id="207" w:name="_Toc455987103"/>
      <w:bookmarkStart w:id="208" w:name="_Toc455992967"/>
      <w:bookmarkStart w:id="209" w:name="_Toc455994069"/>
      <w:bookmarkStart w:id="210" w:name="_Toc456005476"/>
      <w:bookmarkStart w:id="211" w:name="_Toc456175454"/>
      <w:bookmarkStart w:id="212" w:name="_Toc456176073"/>
      <w:bookmarkStart w:id="213" w:name="_Toc455987104"/>
      <w:bookmarkStart w:id="214" w:name="_Toc455992968"/>
      <w:bookmarkStart w:id="215" w:name="_Toc455994070"/>
      <w:bookmarkStart w:id="216" w:name="_Toc456005477"/>
      <w:bookmarkStart w:id="217" w:name="_Toc456175455"/>
      <w:bookmarkStart w:id="218" w:name="_Toc456176074"/>
      <w:bookmarkStart w:id="219" w:name="_Toc455987105"/>
      <w:bookmarkStart w:id="220" w:name="_Toc455992969"/>
      <w:bookmarkStart w:id="221" w:name="_Toc455994071"/>
      <w:bookmarkStart w:id="222" w:name="_Toc456005478"/>
      <w:bookmarkStart w:id="223" w:name="_Toc456175456"/>
      <w:bookmarkStart w:id="224" w:name="_Toc456176075"/>
      <w:bookmarkStart w:id="225" w:name="_Toc455987106"/>
      <w:bookmarkStart w:id="226" w:name="_Toc455992970"/>
      <w:bookmarkStart w:id="227" w:name="_Toc455994072"/>
      <w:bookmarkStart w:id="228" w:name="_Toc456005479"/>
      <w:bookmarkStart w:id="229" w:name="_Toc456175457"/>
      <w:bookmarkStart w:id="230" w:name="_Toc456176076"/>
      <w:bookmarkStart w:id="231" w:name="_Toc455987107"/>
      <w:bookmarkStart w:id="232" w:name="_Toc455992971"/>
      <w:bookmarkStart w:id="233" w:name="_Toc455994073"/>
      <w:bookmarkStart w:id="234" w:name="_Toc456005480"/>
      <w:bookmarkStart w:id="235" w:name="_Toc456175458"/>
      <w:bookmarkStart w:id="236" w:name="_Toc456176077"/>
      <w:bookmarkStart w:id="237" w:name="_Toc455987108"/>
      <w:bookmarkStart w:id="238" w:name="_Toc455992972"/>
      <w:bookmarkStart w:id="239" w:name="_Toc455994074"/>
      <w:bookmarkStart w:id="240" w:name="_Toc456005481"/>
      <w:bookmarkStart w:id="241" w:name="_Toc456175459"/>
      <w:bookmarkStart w:id="242" w:name="_Toc456176078"/>
      <w:bookmarkStart w:id="243" w:name="_Toc455987109"/>
      <w:bookmarkStart w:id="244" w:name="_Toc455992973"/>
      <w:bookmarkStart w:id="245" w:name="_Toc455994075"/>
      <w:bookmarkStart w:id="246" w:name="_Toc456005482"/>
      <w:bookmarkStart w:id="247" w:name="_Toc456175460"/>
      <w:bookmarkStart w:id="248" w:name="_Toc456176079"/>
      <w:bookmarkStart w:id="249" w:name="_Toc455987110"/>
      <w:bookmarkStart w:id="250" w:name="_Toc455992974"/>
      <w:bookmarkStart w:id="251" w:name="_Toc455994076"/>
      <w:bookmarkStart w:id="252" w:name="_Toc456005483"/>
      <w:bookmarkStart w:id="253" w:name="_Toc456175461"/>
      <w:bookmarkStart w:id="254" w:name="_Toc456176080"/>
      <w:bookmarkStart w:id="255" w:name="_Toc455987111"/>
      <w:bookmarkStart w:id="256" w:name="_Toc455992975"/>
      <w:bookmarkStart w:id="257" w:name="_Toc455994077"/>
      <w:bookmarkStart w:id="258" w:name="_Toc456005484"/>
      <w:bookmarkStart w:id="259" w:name="_Toc456175462"/>
      <w:bookmarkStart w:id="260" w:name="_Toc456176081"/>
      <w:bookmarkStart w:id="261" w:name="_Toc455987112"/>
      <w:bookmarkStart w:id="262" w:name="_Toc455992976"/>
      <w:bookmarkStart w:id="263" w:name="_Toc455994078"/>
      <w:bookmarkStart w:id="264" w:name="_Toc456005485"/>
      <w:bookmarkStart w:id="265" w:name="_Toc456175463"/>
      <w:bookmarkStart w:id="266" w:name="_Toc456176082"/>
      <w:bookmarkStart w:id="267" w:name="_Toc455987113"/>
      <w:bookmarkStart w:id="268" w:name="_Toc455992977"/>
      <w:bookmarkStart w:id="269" w:name="_Toc455994079"/>
      <w:bookmarkStart w:id="270" w:name="_Toc456005486"/>
      <w:bookmarkStart w:id="271" w:name="_Toc456175464"/>
      <w:bookmarkStart w:id="272" w:name="_Toc456176083"/>
      <w:bookmarkStart w:id="273" w:name="_Toc455987114"/>
      <w:bookmarkStart w:id="274" w:name="_Toc455992978"/>
      <w:bookmarkStart w:id="275" w:name="_Toc455994080"/>
      <w:bookmarkStart w:id="276" w:name="_Toc456005487"/>
      <w:bookmarkStart w:id="277" w:name="_Toc456175465"/>
      <w:bookmarkStart w:id="278" w:name="_Toc456176084"/>
      <w:bookmarkStart w:id="279" w:name="_Toc455987115"/>
      <w:bookmarkStart w:id="280" w:name="_Toc455992979"/>
      <w:bookmarkStart w:id="281" w:name="_Toc455994081"/>
      <w:bookmarkStart w:id="282" w:name="_Toc456005488"/>
      <w:bookmarkStart w:id="283" w:name="_Toc456175466"/>
      <w:bookmarkStart w:id="284" w:name="_Toc456176085"/>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p>
    <w:p w14:paraId="6A3C180D" w14:textId="0CEEF88F" w:rsidR="00DB51AA" w:rsidRPr="00DB51AA" w:rsidRDefault="00DB51AA" w:rsidP="00DB51AA">
      <w:pPr>
        <w:pStyle w:val="BodyText"/>
      </w:pPr>
      <w:bookmarkStart w:id="285" w:name="_Toc29880995"/>
      <w:bookmarkEnd w:id="96"/>
      <w:r w:rsidRPr="00DB51AA">
        <w:t xml:space="preserve">Point source Atlas 14 rainfall was used in the analysis, and due to the large size of the modeled area (the entire HUC-8 watershed), the point rainfall used has a tendency to vary more widely from the actual point rainfall data at any specific location within the watershed. For detailed modeling and further improvements, smaller-sized modeled areas are recommended, which will result in smaller rainfall and </w:t>
      </w:r>
      <w:r w:rsidR="00AF4A79">
        <w:t>CN</w:t>
      </w:r>
      <w:r w:rsidRPr="00DB51AA">
        <w:t xml:space="preserve"> variability. In addition, future versions of HEC-RAS are anticipated to include the capability to utilize spatially varying rainfall, which may result in additional improvements</w:t>
      </w:r>
      <w:r w:rsidR="00AF4A79">
        <w:t xml:space="preserve"> in the reasonability in some of these aspects</w:t>
      </w:r>
      <w:r w:rsidRPr="00DB51AA">
        <w:t>. The hydraulic model can further be improved by using a smaller cell size than 200 f</w:t>
      </w:r>
      <w:r w:rsidR="005C72F6">
        <w:t>oot</w:t>
      </w:r>
      <w:r w:rsidRPr="00DB51AA">
        <w:t xml:space="preserve"> along with adding structural and survey data for each crossing. </w:t>
      </w:r>
    </w:p>
    <w:p w14:paraId="209BC616" w14:textId="60899F4E" w:rsidR="00BA7A78" w:rsidRPr="00E209B0" w:rsidRDefault="00BA7A78" w:rsidP="00CA2219">
      <w:pPr>
        <w:pStyle w:val="Heading1"/>
        <w:numPr>
          <w:ilvl w:val="0"/>
          <w:numId w:val="21"/>
        </w:numPr>
      </w:pPr>
      <w:bookmarkStart w:id="286" w:name="_Toc112877083"/>
      <w:r w:rsidRPr="00E209B0">
        <w:t>Floodplain Mapping</w:t>
      </w:r>
      <w:bookmarkEnd w:id="285"/>
      <w:r w:rsidR="00E209B0" w:rsidRPr="00E209B0">
        <w:t xml:space="preserve"> and Effective Zone A Validation</w:t>
      </w:r>
      <w:bookmarkEnd w:id="286"/>
    </w:p>
    <w:p w14:paraId="5EEB54C6" w14:textId="7242B7F6" w:rsidR="00E209B0" w:rsidRDefault="00BA7A78" w:rsidP="00BA7A78">
      <w:pPr>
        <w:pStyle w:val="BodyText"/>
      </w:pPr>
      <w:r>
        <w:t>The</w:t>
      </w:r>
      <w:r>
        <w:rPr>
          <w:spacing w:val="1"/>
        </w:rPr>
        <w:t xml:space="preserve"> </w:t>
      </w:r>
      <w:r>
        <w:rPr>
          <w:spacing w:val="-3"/>
        </w:rPr>
        <w:t>f</w:t>
      </w:r>
      <w:r>
        <w:rPr>
          <w:spacing w:val="1"/>
        </w:rPr>
        <w:t>o</w:t>
      </w:r>
      <w:r>
        <w:t>ll</w:t>
      </w:r>
      <w:r>
        <w:rPr>
          <w:spacing w:val="-2"/>
        </w:rPr>
        <w:t>o</w:t>
      </w:r>
      <w:r>
        <w:t>wing se</w:t>
      </w:r>
      <w:r>
        <w:rPr>
          <w:spacing w:val="-3"/>
        </w:rPr>
        <w:t>c</w:t>
      </w:r>
      <w:r>
        <w:t>ti</w:t>
      </w:r>
      <w:r>
        <w:rPr>
          <w:spacing w:val="1"/>
        </w:rPr>
        <w:t>o</w:t>
      </w:r>
      <w:r>
        <w:t>ns p</w:t>
      </w:r>
      <w:r>
        <w:rPr>
          <w:spacing w:val="-3"/>
        </w:rPr>
        <w:t>r</w:t>
      </w:r>
      <w:r>
        <w:rPr>
          <w:spacing w:val="-2"/>
        </w:rPr>
        <w:t>ov</w:t>
      </w:r>
      <w:r>
        <w:t>ide</w:t>
      </w:r>
      <w:r>
        <w:rPr>
          <w:spacing w:val="1"/>
        </w:rPr>
        <w:t xml:space="preserve"> </w:t>
      </w:r>
      <w:r>
        <w:t>a sy</w:t>
      </w:r>
      <w:r>
        <w:rPr>
          <w:spacing w:val="-4"/>
        </w:rPr>
        <w:t>n</w:t>
      </w:r>
      <w:r>
        <w:rPr>
          <w:spacing w:val="1"/>
        </w:rPr>
        <w:t>o</w:t>
      </w:r>
      <w:r>
        <w:t>psis</w:t>
      </w:r>
      <w:r>
        <w:rPr>
          <w:spacing w:val="-2"/>
        </w:rPr>
        <w:t xml:space="preserve"> </w:t>
      </w:r>
      <w:r>
        <w:rPr>
          <w:spacing w:val="1"/>
        </w:rPr>
        <w:t>o</w:t>
      </w:r>
      <w:r>
        <w:t xml:space="preserve">f </w:t>
      </w:r>
      <w:r>
        <w:rPr>
          <w:spacing w:val="-4"/>
        </w:rPr>
        <w:t>h</w:t>
      </w:r>
      <w:r>
        <w:rPr>
          <w:spacing w:val="1"/>
        </w:rPr>
        <w:t>o</w:t>
      </w:r>
      <w:r>
        <w:t>w</w:t>
      </w:r>
      <w:r>
        <w:rPr>
          <w:spacing w:val="-2"/>
        </w:rPr>
        <w:t xml:space="preserve"> </w:t>
      </w:r>
      <w:r>
        <w:t>raw</w:t>
      </w:r>
      <w:r>
        <w:rPr>
          <w:spacing w:val="-2"/>
        </w:rPr>
        <w:t xml:space="preserve"> </w:t>
      </w:r>
      <w:r>
        <w:rPr>
          <w:spacing w:val="1"/>
        </w:rPr>
        <w:t>mo</w:t>
      </w:r>
      <w:r>
        <w:rPr>
          <w:spacing w:val="-4"/>
        </w:rPr>
        <w:t>d</w:t>
      </w:r>
      <w:r>
        <w:t>eled depths</w:t>
      </w:r>
      <w:r>
        <w:rPr>
          <w:spacing w:val="-2"/>
        </w:rPr>
        <w:t xml:space="preserve"> w</w:t>
      </w:r>
      <w:r>
        <w:t>ere</w:t>
      </w:r>
      <w:r>
        <w:rPr>
          <w:spacing w:val="-2"/>
        </w:rPr>
        <w:t xml:space="preserve"> </w:t>
      </w:r>
      <w:r>
        <w:t>tra</w:t>
      </w:r>
      <w:r>
        <w:rPr>
          <w:spacing w:val="-4"/>
        </w:rPr>
        <w:t>n</w:t>
      </w:r>
      <w:r>
        <w:t>slated in</w:t>
      </w:r>
      <w:r>
        <w:rPr>
          <w:spacing w:val="-2"/>
        </w:rPr>
        <w:t>t</w:t>
      </w:r>
      <w:r>
        <w:t>o</w:t>
      </w:r>
      <w:r>
        <w:rPr>
          <w:spacing w:val="1"/>
        </w:rPr>
        <w:t xml:space="preserve"> </w:t>
      </w:r>
      <w:r>
        <w:t>SFHA.</w:t>
      </w:r>
      <w:r>
        <w:rPr>
          <w:spacing w:val="49"/>
        </w:rPr>
        <w:t xml:space="preserve"> </w:t>
      </w:r>
      <w:r>
        <w:t>In a</w:t>
      </w:r>
      <w:r>
        <w:rPr>
          <w:spacing w:val="-4"/>
        </w:rPr>
        <w:t>d</w:t>
      </w:r>
      <w:r>
        <w:t>diti</w:t>
      </w:r>
      <w:r>
        <w:rPr>
          <w:spacing w:val="1"/>
        </w:rPr>
        <w:t>o</w:t>
      </w:r>
      <w:r>
        <w:t xml:space="preserve">n </w:t>
      </w:r>
      <w:r>
        <w:rPr>
          <w:spacing w:val="-2"/>
        </w:rPr>
        <w:t>t</w:t>
      </w:r>
      <w:r>
        <w:t>o</w:t>
      </w:r>
      <w:r>
        <w:rPr>
          <w:spacing w:val="1"/>
        </w:rPr>
        <w:t xml:space="preserve"> </w:t>
      </w:r>
      <w:r>
        <w:t>d</w:t>
      </w:r>
      <w:r>
        <w:rPr>
          <w:spacing w:val="-2"/>
        </w:rPr>
        <w:t>e</w:t>
      </w:r>
      <w:r>
        <w:rPr>
          <w:spacing w:val="1"/>
        </w:rPr>
        <w:t>v</w:t>
      </w:r>
      <w:r>
        <w:t>e</w:t>
      </w:r>
      <w:r>
        <w:rPr>
          <w:spacing w:val="-3"/>
        </w:rPr>
        <w:t>l</w:t>
      </w:r>
      <w:r>
        <w:rPr>
          <w:spacing w:val="1"/>
        </w:rPr>
        <w:t>o</w:t>
      </w:r>
      <w:r>
        <w:t>ping a n</w:t>
      </w:r>
      <w:r>
        <w:rPr>
          <w:spacing w:val="-2"/>
        </w:rPr>
        <w:t>e</w:t>
      </w:r>
      <w:r>
        <w:t>w</w:t>
      </w:r>
      <w:r>
        <w:rPr>
          <w:spacing w:val="-2"/>
        </w:rPr>
        <w:t xml:space="preserve"> </w:t>
      </w:r>
      <w:r>
        <w:t>SFHA, the</w:t>
      </w:r>
      <w:r>
        <w:rPr>
          <w:spacing w:val="1"/>
        </w:rPr>
        <w:t xml:space="preserve"> </w:t>
      </w:r>
      <w:r>
        <w:t>BLE</w:t>
      </w:r>
      <w:r>
        <w:rPr>
          <w:spacing w:val="-2"/>
        </w:rPr>
        <w:t xml:space="preserve"> m</w:t>
      </w:r>
      <w:r>
        <w:rPr>
          <w:spacing w:val="1"/>
        </w:rPr>
        <w:t>o</w:t>
      </w:r>
      <w:r>
        <w:t>del d</w:t>
      </w:r>
      <w:r>
        <w:rPr>
          <w:spacing w:val="-3"/>
        </w:rPr>
        <w:t>a</w:t>
      </w:r>
      <w:r>
        <w:t>ta</w:t>
      </w:r>
      <w:r>
        <w:rPr>
          <w:spacing w:val="-2"/>
        </w:rPr>
        <w:t xml:space="preserve"> </w:t>
      </w:r>
      <w:r>
        <w:t xml:space="preserve">was </w:t>
      </w:r>
      <w:r>
        <w:rPr>
          <w:spacing w:val="-3"/>
        </w:rPr>
        <w:t>l</w:t>
      </w:r>
      <w:r>
        <w:t>e</w:t>
      </w:r>
      <w:r>
        <w:rPr>
          <w:spacing w:val="-2"/>
        </w:rPr>
        <w:t>v</w:t>
      </w:r>
      <w:r>
        <w:t xml:space="preserve">eraged </w:t>
      </w:r>
      <w:r>
        <w:rPr>
          <w:spacing w:val="-2"/>
        </w:rPr>
        <w:t>t</w:t>
      </w:r>
      <w:r>
        <w:t xml:space="preserve">o </w:t>
      </w:r>
      <w:r>
        <w:rPr>
          <w:spacing w:val="1"/>
        </w:rPr>
        <w:t>v</w:t>
      </w:r>
      <w:r>
        <w:t>alidate</w:t>
      </w:r>
      <w:r>
        <w:rPr>
          <w:spacing w:val="-2"/>
        </w:rPr>
        <w:t xml:space="preserve"> </w:t>
      </w:r>
      <w:r>
        <w:t>the</w:t>
      </w:r>
      <w:r>
        <w:rPr>
          <w:spacing w:val="-2"/>
        </w:rPr>
        <w:t xml:space="preserve"> </w:t>
      </w:r>
      <w:r>
        <w:t>effe</w:t>
      </w:r>
      <w:r>
        <w:rPr>
          <w:spacing w:val="-3"/>
        </w:rPr>
        <w:t>c</w:t>
      </w:r>
      <w:r>
        <w:t>ti</w:t>
      </w:r>
      <w:r>
        <w:rPr>
          <w:spacing w:val="-2"/>
        </w:rPr>
        <w:t>v</w:t>
      </w:r>
      <w:r>
        <w:t>e</w:t>
      </w:r>
      <w:r>
        <w:rPr>
          <w:spacing w:val="1"/>
        </w:rPr>
        <w:t xml:space="preserve"> </w:t>
      </w:r>
      <w:r>
        <w:t>Zone A studies</w:t>
      </w:r>
      <w:r>
        <w:rPr>
          <w:spacing w:val="-2"/>
        </w:rPr>
        <w:t xml:space="preserve"> </w:t>
      </w:r>
      <w:r>
        <w:t>within the</w:t>
      </w:r>
      <w:r>
        <w:rPr>
          <w:spacing w:val="-2"/>
        </w:rPr>
        <w:t xml:space="preserve"> </w:t>
      </w:r>
      <w:r>
        <w:t>pr</w:t>
      </w:r>
      <w:r>
        <w:rPr>
          <w:spacing w:val="1"/>
        </w:rPr>
        <w:t>o</w:t>
      </w:r>
      <w:r>
        <w:rPr>
          <w:spacing w:val="-3"/>
        </w:rPr>
        <w:t>j</w:t>
      </w:r>
      <w:r>
        <w:t>e</w:t>
      </w:r>
      <w:r>
        <w:rPr>
          <w:spacing w:val="-3"/>
        </w:rPr>
        <w:t>c</w:t>
      </w:r>
      <w:r>
        <w:t>t</w:t>
      </w:r>
      <w:r>
        <w:rPr>
          <w:spacing w:val="1"/>
        </w:rPr>
        <w:t xml:space="preserve"> </w:t>
      </w:r>
      <w:r>
        <w:t>f</w:t>
      </w:r>
      <w:r>
        <w:rPr>
          <w:spacing w:val="-2"/>
        </w:rPr>
        <w:t>o</w:t>
      </w:r>
      <w:r>
        <w:rPr>
          <w:spacing w:val="1"/>
        </w:rPr>
        <w:t>o</w:t>
      </w:r>
      <w:r>
        <w:t>tprint.</w:t>
      </w:r>
    </w:p>
    <w:p w14:paraId="130AF530" w14:textId="3DF7A4A1" w:rsidR="00BA7A78" w:rsidRDefault="00E209B0" w:rsidP="00E209B0">
      <w:pPr>
        <w:pStyle w:val="Heading2"/>
      </w:pPr>
      <w:bookmarkStart w:id="287" w:name="_Toc112877084"/>
      <w:r>
        <w:t>Special Flood Hazard Area</w:t>
      </w:r>
      <w:bookmarkEnd w:id="287"/>
      <w:r w:rsidR="00BA7A78">
        <w:t xml:space="preserve"> </w:t>
      </w:r>
    </w:p>
    <w:p w14:paraId="266CF8F2" w14:textId="77777777" w:rsidR="00BA7A78" w:rsidRDefault="00BA7A78" w:rsidP="00E209B0">
      <w:pPr>
        <w:pStyle w:val="Heading3"/>
      </w:pPr>
      <w:bookmarkStart w:id="288" w:name="_Toc112877085"/>
      <w:r>
        <w:t>Model Outputs</w:t>
      </w:r>
      <w:bookmarkEnd w:id="288"/>
    </w:p>
    <w:p w14:paraId="44D42C9E" w14:textId="77777777" w:rsidR="00FD1616" w:rsidRDefault="00FD1616" w:rsidP="00FD1616">
      <w:pPr>
        <w:pStyle w:val="BodyText"/>
      </w:pPr>
      <w:r w:rsidRPr="00C76965">
        <w:t xml:space="preserve">The HEC acknowledged RAS Mapper may not render water surface elevation values and/or delineate inundation extent appropriately for direct use in FEMA regulatory mapping products. To maintain a high level of consistency between modeling results and final mapping, minimal map clean up was performed while maintaining identification of both fluvial and pluvial flood risk as reflected by the models. Additional processing may be required to make the mapping products FEMA compliant.  </w:t>
      </w:r>
    </w:p>
    <w:p w14:paraId="1AC08BEF" w14:textId="77777777" w:rsidR="00FD1616" w:rsidRDefault="00FD1616" w:rsidP="00FD1616">
      <w:pPr>
        <w:pStyle w:val="Heading3"/>
      </w:pPr>
      <w:bookmarkStart w:id="289" w:name="_Ref82505774"/>
      <w:bookmarkStart w:id="290" w:name="_Toc106976528"/>
      <w:bookmarkStart w:id="291" w:name="_Toc112877086"/>
      <w:r>
        <w:t>Methodology</w:t>
      </w:r>
      <w:bookmarkEnd w:id="289"/>
      <w:bookmarkEnd w:id="290"/>
      <w:bookmarkEnd w:id="291"/>
    </w:p>
    <w:p w14:paraId="67C4FDD4" w14:textId="2F748243" w:rsidR="00FD1616" w:rsidRDefault="00FD1616" w:rsidP="00FD1616">
      <w:pPr>
        <w:rPr>
          <w:rFonts w:ascii="Arial" w:eastAsia="Times New Roman" w:hAnsi="Arial" w:cs="Times New Roman"/>
        </w:rPr>
      </w:pPr>
      <w:r>
        <w:rPr>
          <w:rFonts w:ascii="Arial" w:eastAsia="Times New Roman" w:hAnsi="Arial" w:cs="Times New Roman"/>
        </w:rPr>
        <w:t xml:space="preserve">The sloping render mode plots water surface elevation (WSE) by interpolating the WSE between the 2D cell faces, producing a more continuous flood inundation extent. Depth rasters from the sloping render mode were exported for the 10-percent, 1-percent, and </w:t>
      </w:r>
      <w:r>
        <w:t>0.2-percent</w:t>
      </w:r>
      <w:r>
        <w:rPr>
          <w:rFonts w:ascii="Arial" w:eastAsia="Times New Roman" w:hAnsi="Arial" w:cs="Times New Roman"/>
        </w:rPr>
        <w:t xml:space="preserve"> flood events with a tolerance of 0.333333 feet because the </w:t>
      </w:r>
      <w:r w:rsidR="007052A6">
        <w:rPr>
          <w:rFonts w:ascii="Arial" w:eastAsia="Times New Roman" w:hAnsi="Arial" w:cs="Times New Roman"/>
        </w:rPr>
        <w:t>Yellow House</w:t>
      </w:r>
      <w:r>
        <w:rPr>
          <w:rFonts w:ascii="Arial" w:eastAsia="Times New Roman" w:hAnsi="Arial" w:cs="Times New Roman"/>
        </w:rPr>
        <w:t xml:space="preserve"> Draw watershed is in an area categorized as ‘High Plains’ per TWDB guidelines. To reduce the extent of disconnected flood areas, raster grid processing is used to filter and remove disconnected, small, or shallow areas of flooding by processing through the ‘</w:t>
      </w:r>
      <w:r>
        <w:rPr>
          <w:rFonts w:ascii="Arial" w:eastAsia="Times New Roman" w:hAnsi="Arial" w:cs="Times New Roman"/>
        </w:rPr>
        <w:fldChar w:fldCharType="begin"/>
      </w:r>
      <w:r>
        <w:rPr>
          <w:rFonts w:ascii="Arial" w:eastAsia="Times New Roman" w:hAnsi="Arial" w:cs="Times New Roman"/>
        </w:rPr>
        <w:instrText xml:space="preserve"> REF _Ref108767572 \h </w:instrText>
      </w:r>
      <w:r>
        <w:rPr>
          <w:rFonts w:ascii="Arial" w:eastAsia="Times New Roman" w:hAnsi="Arial" w:cs="Times New Roman"/>
        </w:rPr>
      </w:r>
      <w:r>
        <w:rPr>
          <w:rFonts w:ascii="Arial" w:eastAsia="Times New Roman" w:hAnsi="Arial" w:cs="Times New Roman"/>
        </w:rPr>
        <w:fldChar w:fldCharType="separate"/>
      </w:r>
      <w:r w:rsidR="00C9792F">
        <w:t>Mapping Threshold Matrix</w:t>
      </w:r>
      <w:r>
        <w:rPr>
          <w:rFonts w:ascii="Arial" w:eastAsia="Times New Roman" w:hAnsi="Arial" w:cs="Times New Roman"/>
        </w:rPr>
        <w:fldChar w:fldCharType="end"/>
      </w:r>
      <w:r>
        <w:rPr>
          <w:rFonts w:ascii="Arial" w:eastAsia="Times New Roman" w:hAnsi="Arial" w:cs="Times New Roman"/>
        </w:rPr>
        <w:t xml:space="preserve">’ shown in </w:t>
      </w:r>
      <w:r>
        <w:rPr>
          <w:rFonts w:ascii="Arial" w:eastAsia="Times New Roman" w:hAnsi="Arial" w:cs="Times New Roman"/>
        </w:rPr>
        <w:fldChar w:fldCharType="begin"/>
      </w:r>
      <w:r>
        <w:rPr>
          <w:rFonts w:ascii="Arial" w:eastAsia="Times New Roman" w:hAnsi="Arial" w:cs="Times New Roman"/>
        </w:rPr>
        <w:instrText xml:space="preserve"> REF _Ref108767630 \h </w:instrText>
      </w:r>
      <w:r>
        <w:rPr>
          <w:rFonts w:ascii="Arial" w:eastAsia="Times New Roman" w:hAnsi="Arial" w:cs="Times New Roman"/>
        </w:rPr>
      </w:r>
      <w:r>
        <w:rPr>
          <w:rFonts w:ascii="Arial" w:eastAsia="Times New Roman" w:hAnsi="Arial" w:cs="Times New Roman"/>
        </w:rPr>
        <w:fldChar w:fldCharType="separate"/>
      </w:r>
      <w:r w:rsidR="00C9792F">
        <w:t xml:space="preserve">Table </w:t>
      </w:r>
      <w:r w:rsidR="00C9792F">
        <w:rPr>
          <w:noProof/>
        </w:rPr>
        <w:t>10</w:t>
      </w:r>
      <w:r>
        <w:rPr>
          <w:rFonts w:ascii="Arial" w:eastAsia="Times New Roman" w:hAnsi="Arial" w:cs="Times New Roman"/>
        </w:rPr>
        <w:fldChar w:fldCharType="end"/>
      </w:r>
      <w:r>
        <w:rPr>
          <w:rFonts w:ascii="Arial" w:eastAsia="Times New Roman" w:hAnsi="Arial" w:cs="Times New Roman"/>
        </w:rPr>
        <w:t>.</w:t>
      </w:r>
    </w:p>
    <w:p w14:paraId="0B4A9C17" w14:textId="77777777" w:rsidR="00FD1616" w:rsidRPr="00EB5F21" w:rsidRDefault="00FD1616" w:rsidP="00FD1616">
      <w:pPr>
        <w:rPr>
          <w:rFonts w:ascii="Arial" w:eastAsia="Times New Roman" w:hAnsi="Arial" w:cs="Times New Roman"/>
        </w:rPr>
      </w:pPr>
      <w:r w:rsidRPr="00EB5F21">
        <w:rPr>
          <w:rFonts w:ascii="Arial" w:eastAsia="Times New Roman" w:hAnsi="Arial" w:cs="Times New Roman"/>
        </w:rPr>
        <w:t xml:space="preserve">.  </w:t>
      </w:r>
    </w:p>
    <w:p w14:paraId="4852CB50" w14:textId="77777777" w:rsidR="00FD1616" w:rsidRDefault="00FD1616" w:rsidP="00FD1616">
      <w:pPr>
        <w:pStyle w:val="Caption"/>
        <w:jc w:val="center"/>
      </w:pPr>
      <w:bookmarkStart w:id="292" w:name="_Ref108767630"/>
      <w:bookmarkStart w:id="293" w:name="_Ref108767267"/>
      <w:bookmarkStart w:id="294" w:name="_Toc108894146"/>
      <w:bookmarkStart w:id="295" w:name="_Toc109341838"/>
      <w:bookmarkStart w:id="296" w:name="_Toc112877055"/>
      <w:r>
        <w:t xml:space="preserve">Table </w:t>
      </w:r>
      <w:r>
        <w:fldChar w:fldCharType="begin"/>
      </w:r>
      <w:r>
        <w:instrText xml:space="preserve"> SEQ Table \* ARABIC </w:instrText>
      </w:r>
      <w:r>
        <w:fldChar w:fldCharType="separate"/>
      </w:r>
      <w:r w:rsidR="00C9792F">
        <w:rPr>
          <w:noProof/>
        </w:rPr>
        <w:t>10</w:t>
      </w:r>
      <w:r>
        <w:fldChar w:fldCharType="end"/>
      </w:r>
      <w:bookmarkEnd w:id="292"/>
      <w:r>
        <w:t xml:space="preserve">: </w:t>
      </w:r>
      <w:bookmarkStart w:id="297" w:name="_Ref108767572"/>
      <w:r>
        <w:t>Mapping Threshold Matrix</w:t>
      </w:r>
      <w:bookmarkEnd w:id="293"/>
      <w:bookmarkEnd w:id="294"/>
      <w:bookmarkEnd w:id="295"/>
      <w:bookmarkEnd w:id="297"/>
      <w:bookmarkEnd w:id="296"/>
    </w:p>
    <w:tbl>
      <w:tblPr>
        <w:tblStyle w:val="CompassTable"/>
        <w:tblW w:w="0" w:type="auto"/>
        <w:jc w:val="center"/>
        <w:tblLook w:val="04A0" w:firstRow="1" w:lastRow="0" w:firstColumn="1" w:lastColumn="0" w:noHBand="0" w:noVBand="1"/>
      </w:tblPr>
      <w:tblGrid>
        <w:gridCol w:w="1857"/>
        <w:gridCol w:w="1890"/>
      </w:tblGrid>
      <w:tr w:rsidR="00FD1616" w14:paraId="43597B1F" w14:textId="77777777" w:rsidTr="00D54AEC">
        <w:trPr>
          <w:cnfStyle w:val="100000000000" w:firstRow="1" w:lastRow="0" w:firstColumn="0" w:lastColumn="0" w:oddVBand="0" w:evenVBand="0" w:oddHBand="0" w:evenHBand="0" w:firstRowFirstColumn="0" w:firstRowLastColumn="0" w:lastRowFirstColumn="0" w:lastRowLastColumn="0"/>
          <w:jc w:val="center"/>
        </w:trPr>
        <w:tc>
          <w:tcPr>
            <w:tcW w:w="1857" w:type="dxa"/>
            <w:shd w:val="clear" w:color="auto" w:fill="00B0F0"/>
          </w:tcPr>
          <w:p w14:paraId="2B4E954E" w14:textId="77777777" w:rsidR="00FD1616" w:rsidRPr="008D701F" w:rsidRDefault="00FD1616" w:rsidP="00D54AEC">
            <w:pPr>
              <w:jc w:val="center"/>
              <w:rPr>
                <w:rFonts w:eastAsia="Times New Roman" w:cs="Times New Roman"/>
                <w:color w:val="FFFFFF" w:themeColor="background1"/>
                <w:sz w:val="20"/>
                <w:szCs w:val="20"/>
              </w:rPr>
            </w:pPr>
            <w:r w:rsidRPr="008D701F">
              <w:rPr>
                <w:rFonts w:eastAsia="Times New Roman" w:cs="Times New Roman"/>
                <w:color w:val="FFFFFF" w:themeColor="background1"/>
                <w:sz w:val="20"/>
                <w:szCs w:val="20"/>
              </w:rPr>
              <w:t>Area (ac</w:t>
            </w:r>
            <w:r>
              <w:rPr>
                <w:rFonts w:eastAsia="Times New Roman" w:cs="Times New Roman"/>
                <w:color w:val="FFFFFF" w:themeColor="background1"/>
                <w:sz w:val="20"/>
                <w:szCs w:val="20"/>
              </w:rPr>
              <w:t>res</w:t>
            </w:r>
            <w:r w:rsidRPr="008D701F">
              <w:rPr>
                <w:rFonts w:eastAsia="Times New Roman" w:cs="Times New Roman"/>
                <w:color w:val="FFFFFF" w:themeColor="background1"/>
                <w:sz w:val="20"/>
                <w:szCs w:val="20"/>
              </w:rPr>
              <w:t>)</w:t>
            </w:r>
          </w:p>
        </w:tc>
        <w:tc>
          <w:tcPr>
            <w:tcW w:w="1890" w:type="dxa"/>
            <w:shd w:val="clear" w:color="auto" w:fill="00B0F0"/>
          </w:tcPr>
          <w:p w14:paraId="00C291A1" w14:textId="77777777" w:rsidR="00FD1616" w:rsidRPr="008D701F" w:rsidRDefault="00FD1616" w:rsidP="00D54AEC">
            <w:pPr>
              <w:jc w:val="center"/>
              <w:rPr>
                <w:rFonts w:eastAsia="Times New Roman" w:cs="Times New Roman"/>
                <w:color w:val="FFFFFF" w:themeColor="background1"/>
                <w:sz w:val="20"/>
                <w:szCs w:val="20"/>
              </w:rPr>
            </w:pPr>
            <w:r w:rsidRPr="008D701F">
              <w:rPr>
                <w:rFonts w:eastAsia="Times New Roman" w:cs="Times New Roman"/>
                <w:color w:val="FFFFFF" w:themeColor="background1"/>
                <w:sz w:val="20"/>
                <w:szCs w:val="20"/>
              </w:rPr>
              <w:t>Average Depth</w:t>
            </w:r>
            <w:r>
              <w:rPr>
                <w:rFonts w:eastAsia="Times New Roman" w:cs="Times New Roman"/>
                <w:color w:val="FFFFFF" w:themeColor="background1"/>
                <w:sz w:val="20"/>
                <w:szCs w:val="20"/>
              </w:rPr>
              <w:t xml:space="preserve"> </w:t>
            </w:r>
            <w:r w:rsidRPr="008D701F">
              <w:rPr>
                <w:rFonts w:eastAsia="Times New Roman" w:cs="Times New Roman"/>
                <w:color w:val="FFFFFF" w:themeColor="background1"/>
                <w:sz w:val="20"/>
                <w:szCs w:val="20"/>
              </w:rPr>
              <w:t>(f</w:t>
            </w:r>
            <w:r>
              <w:rPr>
                <w:rFonts w:eastAsia="Times New Roman" w:cs="Times New Roman"/>
                <w:color w:val="FFFFFF" w:themeColor="background1"/>
                <w:sz w:val="20"/>
                <w:szCs w:val="20"/>
              </w:rPr>
              <w:t>ee</w:t>
            </w:r>
            <w:r w:rsidRPr="008D701F">
              <w:rPr>
                <w:rFonts w:eastAsia="Times New Roman" w:cs="Times New Roman"/>
                <w:color w:val="FFFFFF" w:themeColor="background1"/>
                <w:sz w:val="20"/>
                <w:szCs w:val="20"/>
              </w:rPr>
              <w:t>t)</w:t>
            </w:r>
          </w:p>
        </w:tc>
      </w:tr>
      <w:tr w:rsidR="00FD1616" w14:paraId="73BA14D2" w14:textId="77777777" w:rsidTr="00D54AEC">
        <w:trPr>
          <w:cnfStyle w:val="000000100000" w:firstRow="0" w:lastRow="0" w:firstColumn="0" w:lastColumn="0" w:oddVBand="0" w:evenVBand="0" w:oddHBand="1" w:evenHBand="0" w:firstRowFirstColumn="0" w:firstRowLastColumn="0" w:lastRowFirstColumn="0" w:lastRowLastColumn="0"/>
          <w:jc w:val="center"/>
        </w:trPr>
        <w:tc>
          <w:tcPr>
            <w:tcW w:w="1857" w:type="dxa"/>
          </w:tcPr>
          <w:p w14:paraId="5AD51F7D" w14:textId="77777777" w:rsidR="00FD1616" w:rsidRPr="008D701F" w:rsidRDefault="00FD1616" w:rsidP="00D54AEC">
            <w:pPr>
              <w:jc w:val="center"/>
              <w:rPr>
                <w:rFonts w:eastAsia="Times New Roman" w:cs="Times New Roman"/>
                <w:szCs w:val="20"/>
              </w:rPr>
            </w:pPr>
            <w:r w:rsidRPr="008D701F">
              <w:rPr>
                <w:rFonts w:eastAsia="Times New Roman" w:cs="Times New Roman"/>
                <w:szCs w:val="20"/>
              </w:rPr>
              <w:t>&lt; 0.33</w:t>
            </w:r>
          </w:p>
        </w:tc>
        <w:tc>
          <w:tcPr>
            <w:tcW w:w="1890" w:type="dxa"/>
          </w:tcPr>
          <w:p w14:paraId="3D25F1CD" w14:textId="77777777" w:rsidR="00FD1616" w:rsidRPr="008D701F" w:rsidRDefault="00FD1616" w:rsidP="00D54AEC">
            <w:pPr>
              <w:jc w:val="center"/>
              <w:rPr>
                <w:rFonts w:eastAsia="Times New Roman" w:cs="Times New Roman"/>
                <w:szCs w:val="20"/>
              </w:rPr>
            </w:pPr>
            <w:r w:rsidRPr="008D701F">
              <w:rPr>
                <w:rFonts w:eastAsia="Times New Roman" w:cs="Times New Roman"/>
                <w:szCs w:val="20"/>
              </w:rPr>
              <w:t>-</w:t>
            </w:r>
          </w:p>
        </w:tc>
      </w:tr>
      <w:tr w:rsidR="00FD1616" w14:paraId="427A7BC7" w14:textId="77777777" w:rsidTr="00D54AEC">
        <w:trPr>
          <w:cnfStyle w:val="000000010000" w:firstRow="0" w:lastRow="0" w:firstColumn="0" w:lastColumn="0" w:oddVBand="0" w:evenVBand="0" w:oddHBand="0" w:evenHBand="1" w:firstRowFirstColumn="0" w:firstRowLastColumn="0" w:lastRowFirstColumn="0" w:lastRowLastColumn="0"/>
          <w:jc w:val="center"/>
        </w:trPr>
        <w:tc>
          <w:tcPr>
            <w:tcW w:w="1857" w:type="dxa"/>
          </w:tcPr>
          <w:p w14:paraId="44BDA3D7" w14:textId="77777777" w:rsidR="00FD1616" w:rsidRPr="008D701F" w:rsidRDefault="00FD1616" w:rsidP="00D54AEC">
            <w:pPr>
              <w:jc w:val="center"/>
              <w:rPr>
                <w:rFonts w:eastAsia="Times New Roman" w:cs="Times New Roman"/>
                <w:szCs w:val="20"/>
              </w:rPr>
            </w:pPr>
            <w:r w:rsidRPr="008D701F">
              <w:rPr>
                <w:rFonts w:eastAsia="Times New Roman" w:cs="Times New Roman"/>
                <w:szCs w:val="20"/>
              </w:rPr>
              <w:t>0.33 – 0.5</w:t>
            </w:r>
          </w:p>
        </w:tc>
        <w:tc>
          <w:tcPr>
            <w:tcW w:w="1890" w:type="dxa"/>
          </w:tcPr>
          <w:p w14:paraId="3A4349FF" w14:textId="77777777" w:rsidR="00FD1616" w:rsidRPr="008D701F" w:rsidRDefault="00FD1616" w:rsidP="00D54AEC">
            <w:pPr>
              <w:jc w:val="center"/>
              <w:rPr>
                <w:rFonts w:eastAsia="Times New Roman" w:cs="Times New Roman"/>
                <w:szCs w:val="20"/>
              </w:rPr>
            </w:pPr>
            <w:r w:rsidRPr="008D701F">
              <w:rPr>
                <w:rFonts w:eastAsia="Times New Roman" w:cs="Times New Roman"/>
                <w:szCs w:val="20"/>
              </w:rPr>
              <w:t xml:space="preserve">&lt; </w:t>
            </w:r>
            <w:r>
              <w:rPr>
                <w:rFonts w:eastAsia="Times New Roman" w:cs="Times New Roman"/>
                <w:szCs w:val="20"/>
              </w:rPr>
              <w:t>0.5</w:t>
            </w:r>
          </w:p>
        </w:tc>
      </w:tr>
    </w:tbl>
    <w:p w14:paraId="6FEB4759" w14:textId="77777777" w:rsidR="00FD1616" w:rsidRDefault="00FD1616" w:rsidP="00FD1616">
      <w:pPr>
        <w:rPr>
          <w:rFonts w:ascii="Arial" w:eastAsia="Times New Roman" w:hAnsi="Arial" w:cs="Times New Roman"/>
        </w:rPr>
      </w:pPr>
    </w:p>
    <w:p w14:paraId="67A8016F" w14:textId="1B68EB21" w:rsidR="00FD1616" w:rsidRDefault="00FD1616" w:rsidP="00FD1616">
      <w:pPr>
        <w:rPr>
          <w:rFonts w:ascii="Arial" w:eastAsia="Times New Roman" w:hAnsi="Arial" w:cs="Times New Roman"/>
        </w:rPr>
      </w:pPr>
      <w:r>
        <w:rPr>
          <w:rFonts w:ascii="Arial" w:eastAsia="Times New Roman" w:hAnsi="Arial" w:cs="Times New Roman"/>
        </w:rPr>
        <w:t>Polygon outputs from the ‘</w:t>
      </w:r>
      <w:r>
        <w:rPr>
          <w:rFonts w:ascii="Arial" w:eastAsia="Times New Roman" w:hAnsi="Arial" w:cs="Times New Roman"/>
        </w:rPr>
        <w:fldChar w:fldCharType="begin"/>
      </w:r>
      <w:r>
        <w:rPr>
          <w:rFonts w:ascii="Arial" w:eastAsia="Times New Roman" w:hAnsi="Arial" w:cs="Times New Roman"/>
        </w:rPr>
        <w:instrText xml:space="preserve"> REF _Ref108767572 \h </w:instrText>
      </w:r>
      <w:r>
        <w:rPr>
          <w:rFonts w:ascii="Arial" w:eastAsia="Times New Roman" w:hAnsi="Arial" w:cs="Times New Roman"/>
        </w:rPr>
      </w:r>
      <w:r>
        <w:rPr>
          <w:rFonts w:ascii="Arial" w:eastAsia="Times New Roman" w:hAnsi="Arial" w:cs="Times New Roman"/>
        </w:rPr>
        <w:fldChar w:fldCharType="separate"/>
      </w:r>
      <w:r w:rsidR="00C9792F">
        <w:t>Mapping Threshold Matrix</w:t>
      </w:r>
      <w:r>
        <w:rPr>
          <w:rFonts w:ascii="Arial" w:eastAsia="Times New Roman" w:hAnsi="Arial" w:cs="Times New Roman"/>
        </w:rPr>
        <w:fldChar w:fldCharType="end"/>
      </w:r>
      <w:r>
        <w:rPr>
          <w:rFonts w:ascii="Arial" w:eastAsia="Times New Roman" w:hAnsi="Arial" w:cs="Times New Roman"/>
        </w:rPr>
        <w:t xml:space="preserve">’ also fill in minor areas of high ground (islands) that are less than 0.33 acre. The outputs are then modified through a simplication and smoothing process to reduce unnecessary/erroneous vertices, remove rough edges and reduce the size and complexity of the raw floodplain </w:t>
      </w:r>
      <w:r>
        <w:rPr>
          <w:rFonts w:ascii="Arial" w:eastAsia="Times New Roman" w:hAnsi="Arial" w:cs="Times New Roman"/>
        </w:rPr>
        <w:lastRenderedPageBreak/>
        <w:t xml:space="preserve">polygons for the 1-percent, and </w:t>
      </w:r>
      <w:r>
        <w:t>0.2-percent</w:t>
      </w:r>
      <w:r>
        <w:rPr>
          <w:rFonts w:ascii="Arial" w:eastAsia="Times New Roman" w:hAnsi="Arial" w:cs="Times New Roman"/>
        </w:rPr>
        <w:t xml:space="preserve"> flood events. For the </w:t>
      </w:r>
      <w:r w:rsidR="007052A6">
        <w:rPr>
          <w:rFonts w:ascii="Arial" w:eastAsia="Times New Roman" w:hAnsi="Arial" w:cs="Times New Roman"/>
        </w:rPr>
        <w:t>Yellow House</w:t>
      </w:r>
      <w:r>
        <w:rPr>
          <w:rFonts w:ascii="Arial" w:eastAsia="Times New Roman" w:hAnsi="Arial" w:cs="Times New Roman"/>
        </w:rPr>
        <w:t xml:space="preserve"> Draw watershed, the polygon outputs were simplified by retaining critical points at a 5 foot tolerance. The simplified polygon outputs were then smoothed utilizing the PAEK algorithm and the tolerance was set to 25 feet. The 10-percent flood event polygons are not modified through the simplification and smoothing process and are delivered in the rasterized polygon shape.</w:t>
      </w:r>
    </w:p>
    <w:p w14:paraId="334BDDBC" w14:textId="77777777" w:rsidR="00FD1616" w:rsidRDefault="00FD1616" w:rsidP="00FD1616">
      <w:pPr>
        <w:rPr>
          <w:rFonts w:ascii="Arial" w:eastAsia="Times New Roman" w:hAnsi="Arial" w:cs="Times New Roman"/>
        </w:rPr>
      </w:pPr>
    </w:p>
    <w:p w14:paraId="00864A0C" w14:textId="77777777" w:rsidR="00FD1616" w:rsidRDefault="00FD1616" w:rsidP="00FD1616">
      <w:pPr>
        <w:rPr>
          <w:rFonts w:ascii="Arial" w:eastAsia="Times New Roman" w:hAnsi="Arial" w:cs="Times New Roman"/>
        </w:rPr>
      </w:pPr>
      <w:r>
        <w:rPr>
          <w:rFonts w:ascii="Arial" w:eastAsia="Times New Roman" w:hAnsi="Arial" w:cs="Times New Roman"/>
        </w:rPr>
        <w:t xml:space="preserve">Due to topographic differences within a lake footprint, these areas sometimes appear partially mapped in the flood extents from the model results. Lakes and reservoirs larger than 40 acres are reviewed to ensure full inundation on the 1-percent, and </w:t>
      </w:r>
      <w:r>
        <w:t>0.2-percent</w:t>
      </w:r>
      <w:r>
        <w:rPr>
          <w:rFonts w:ascii="Arial" w:eastAsia="Times New Roman" w:hAnsi="Arial" w:cs="Times New Roman"/>
        </w:rPr>
        <w:t xml:space="preserve"> polygon extents. If necessary, lake boundaries were copied into the flood event polygons to make sure they are fully mapped.  </w:t>
      </w:r>
    </w:p>
    <w:p w14:paraId="3AD34C2E" w14:textId="77777777" w:rsidR="00FD1616" w:rsidRDefault="00FD1616" w:rsidP="00FD1616">
      <w:pPr>
        <w:rPr>
          <w:rFonts w:ascii="Arial" w:eastAsia="Times New Roman" w:hAnsi="Arial" w:cs="Times New Roman"/>
        </w:rPr>
      </w:pPr>
    </w:p>
    <w:p w14:paraId="2D1A78D1" w14:textId="7CCF7EE8" w:rsidR="009B5454" w:rsidRDefault="00FD1616" w:rsidP="00FD1616">
      <w:pPr>
        <w:rPr>
          <w:rFonts w:ascii="Arial" w:eastAsia="Times New Roman" w:hAnsi="Arial" w:cs="Times New Roman"/>
        </w:rPr>
      </w:pPr>
      <w:r>
        <w:rPr>
          <w:rFonts w:ascii="Arial" w:eastAsia="Times New Roman" w:hAnsi="Arial" w:cs="Times New Roman"/>
        </w:rPr>
        <w:t>Once the final polygon flood extents are complete, it is necessary to merge the 10-percent boundaries into the 1-percent and the 1-percent extents into the 0.2-percent extents. This step ensures that the extents of the 10-percent floodplain is smaller than the 1-percent floodplain, and the 1-percent is smaller than the extents of the 0.2-percent floodplain.</w:t>
      </w:r>
    </w:p>
    <w:p w14:paraId="6B99C4D0" w14:textId="77777777" w:rsidR="009B5454" w:rsidRPr="008E2745" w:rsidRDefault="009B5454" w:rsidP="00FD1616">
      <w:pPr>
        <w:rPr>
          <w:rFonts w:ascii="Arial" w:eastAsia="Times New Roman" w:hAnsi="Arial" w:cs="Times New Roman"/>
        </w:rPr>
      </w:pPr>
    </w:p>
    <w:p w14:paraId="5AC0D41C" w14:textId="77777777" w:rsidR="00BA7A78" w:rsidRDefault="00BA7A78" w:rsidP="00E209B0">
      <w:pPr>
        <w:pStyle w:val="Heading3"/>
      </w:pPr>
      <w:bookmarkStart w:id="298" w:name="_Toc112877087"/>
      <w:r>
        <w:t>BLE Flood Hazard Layer</w:t>
      </w:r>
      <w:bookmarkEnd w:id="298"/>
    </w:p>
    <w:p w14:paraId="5DD60D84" w14:textId="78288C2D" w:rsidR="00DB3CFE" w:rsidRPr="002502C9" w:rsidRDefault="00DB3CFE" w:rsidP="00DB3CFE">
      <w:pPr>
        <w:tabs>
          <w:tab w:val="clear" w:pos="284"/>
        </w:tabs>
        <w:spacing w:after="180"/>
        <w:rPr>
          <w:rFonts w:ascii="Arial" w:eastAsia="Times New Roman" w:hAnsi="Arial" w:cs="Times New Roman"/>
        </w:rPr>
      </w:pPr>
      <w:r w:rsidRPr="002502C9">
        <w:rPr>
          <w:rFonts w:ascii="Arial" w:eastAsia="Times New Roman" w:hAnsi="Arial" w:cs="Times New Roman"/>
          <w:spacing w:val="-1"/>
        </w:rPr>
        <w:t>BLE database f</w:t>
      </w:r>
      <w:r w:rsidRPr="002502C9">
        <w:rPr>
          <w:rFonts w:ascii="Arial" w:eastAsia="Times New Roman" w:hAnsi="Arial" w:cs="Times New Roman"/>
          <w:spacing w:val="1"/>
        </w:rPr>
        <w:t>o</w:t>
      </w:r>
      <w:r w:rsidRPr="002502C9">
        <w:rPr>
          <w:rFonts w:ascii="Arial" w:eastAsia="Times New Roman" w:hAnsi="Arial" w:cs="Times New Roman"/>
          <w:spacing w:val="-3"/>
        </w:rPr>
        <w:t>r</w:t>
      </w:r>
      <w:r w:rsidRPr="002502C9">
        <w:rPr>
          <w:rFonts w:ascii="Arial" w:eastAsia="Times New Roman" w:hAnsi="Arial" w:cs="Times New Roman"/>
          <w:spacing w:val="1"/>
        </w:rPr>
        <w:t>m</w:t>
      </w:r>
      <w:r w:rsidRPr="002502C9">
        <w:rPr>
          <w:rFonts w:ascii="Arial" w:eastAsia="Times New Roman" w:hAnsi="Arial" w:cs="Times New Roman"/>
          <w:spacing w:val="-1"/>
        </w:rPr>
        <w:t>at F</w:t>
      </w:r>
      <w:r w:rsidRPr="002502C9">
        <w:rPr>
          <w:rFonts w:ascii="Arial" w:eastAsia="Times New Roman" w:hAnsi="Arial" w:cs="Times New Roman"/>
        </w:rPr>
        <w:t>LD_</w:t>
      </w:r>
      <w:r w:rsidRPr="002502C9">
        <w:rPr>
          <w:rFonts w:ascii="Arial" w:eastAsia="Times New Roman" w:hAnsi="Arial" w:cs="Times New Roman"/>
          <w:spacing w:val="-1"/>
        </w:rPr>
        <w:t>HA</w:t>
      </w:r>
      <w:r w:rsidRPr="002502C9">
        <w:rPr>
          <w:rFonts w:ascii="Arial" w:eastAsia="Times New Roman" w:hAnsi="Arial" w:cs="Times New Roman"/>
          <w:spacing w:val="-3"/>
        </w:rPr>
        <w:t>Z</w:t>
      </w:r>
      <w:r w:rsidRPr="002502C9">
        <w:rPr>
          <w:rFonts w:ascii="Arial" w:eastAsia="Times New Roman" w:hAnsi="Arial" w:cs="Times New Roman"/>
        </w:rPr>
        <w:t>_</w:t>
      </w:r>
      <w:r w:rsidRPr="002502C9">
        <w:rPr>
          <w:rFonts w:ascii="Arial" w:eastAsia="Times New Roman" w:hAnsi="Arial" w:cs="Times New Roman"/>
          <w:spacing w:val="-1"/>
        </w:rPr>
        <w:t>A</w:t>
      </w:r>
      <w:r w:rsidRPr="002502C9">
        <w:rPr>
          <w:rFonts w:ascii="Arial" w:eastAsia="Times New Roman" w:hAnsi="Arial" w:cs="Times New Roman"/>
        </w:rPr>
        <w:t>R feature classes were developed and attributed with Zone A and Shaded Zone X features.</w:t>
      </w:r>
      <w:r w:rsidRPr="002502C9">
        <w:rPr>
          <w:rFonts w:ascii="Arial" w:eastAsia="Times New Roman" w:hAnsi="Arial" w:cs="Times New Roman"/>
          <w:spacing w:val="47"/>
        </w:rPr>
        <w:t xml:space="preserve"> </w:t>
      </w:r>
      <w:r w:rsidRPr="002502C9">
        <w:rPr>
          <w:rFonts w:ascii="Arial" w:eastAsia="Times New Roman" w:hAnsi="Arial" w:cs="Times New Roman"/>
        </w:rPr>
        <w:t>T</w:t>
      </w:r>
      <w:r w:rsidRPr="002502C9">
        <w:rPr>
          <w:rFonts w:ascii="Arial" w:eastAsia="Times New Roman" w:hAnsi="Arial" w:cs="Times New Roman"/>
          <w:spacing w:val="-1"/>
        </w:rPr>
        <w:t>h</w:t>
      </w:r>
      <w:r w:rsidRPr="002502C9">
        <w:rPr>
          <w:rFonts w:ascii="Arial" w:eastAsia="Times New Roman" w:hAnsi="Arial" w:cs="Times New Roman"/>
        </w:rPr>
        <w:t>e BLE FLD_HAZ_AR</w:t>
      </w:r>
      <w:r w:rsidRPr="002502C9">
        <w:rPr>
          <w:rFonts w:ascii="Arial" w:eastAsia="Times New Roman" w:hAnsi="Arial" w:cs="Times New Roman"/>
          <w:spacing w:val="1"/>
        </w:rPr>
        <w:t xml:space="preserve"> </w:t>
      </w:r>
      <w:r w:rsidRPr="002502C9">
        <w:rPr>
          <w:rFonts w:ascii="Arial" w:eastAsia="Times New Roman" w:hAnsi="Arial" w:cs="Times New Roman"/>
          <w:spacing w:val="-3"/>
        </w:rPr>
        <w:t>f</w:t>
      </w:r>
      <w:r w:rsidRPr="002502C9">
        <w:rPr>
          <w:rFonts w:ascii="Arial" w:eastAsia="Times New Roman" w:hAnsi="Arial" w:cs="Times New Roman"/>
        </w:rPr>
        <w:t>e</w:t>
      </w:r>
      <w:r w:rsidRPr="002502C9">
        <w:rPr>
          <w:rFonts w:ascii="Arial" w:eastAsia="Times New Roman" w:hAnsi="Arial" w:cs="Times New Roman"/>
          <w:spacing w:val="-1"/>
        </w:rPr>
        <w:t>a</w:t>
      </w:r>
      <w:r w:rsidRPr="002502C9">
        <w:rPr>
          <w:rFonts w:ascii="Arial" w:eastAsia="Times New Roman" w:hAnsi="Arial" w:cs="Times New Roman"/>
        </w:rPr>
        <w:t>t</w:t>
      </w:r>
      <w:r w:rsidRPr="002502C9">
        <w:rPr>
          <w:rFonts w:ascii="Arial" w:eastAsia="Times New Roman" w:hAnsi="Arial" w:cs="Times New Roman"/>
          <w:spacing w:val="-1"/>
        </w:rPr>
        <w:t>ur</w:t>
      </w:r>
      <w:r w:rsidRPr="002502C9">
        <w:rPr>
          <w:rFonts w:ascii="Arial" w:eastAsia="Times New Roman" w:hAnsi="Arial" w:cs="Times New Roman"/>
        </w:rPr>
        <w:t>e</w:t>
      </w:r>
      <w:r w:rsidRPr="002502C9">
        <w:rPr>
          <w:rFonts w:ascii="Arial" w:eastAsia="Times New Roman" w:hAnsi="Arial" w:cs="Times New Roman"/>
          <w:spacing w:val="-2"/>
        </w:rPr>
        <w:t xml:space="preserve"> </w:t>
      </w:r>
      <w:r w:rsidRPr="002502C9">
        <w:rPr>
          <w:rFonts w:ascii="Arial" w:eastAsia="Times New Roman" w:hAnsi="Arial" w:cs="Times New Roman"/>
        </w:rPr>
        <w:t>c</w:t>
      </w:r>
      <w:r w:rsidRPr="002502C9">
        <w:rPr>
          <w:rFonts w:ascii="Arial" w:eastAsia="Times New Roman" w:hAnsi="Arial" w:cs="Times New Roman"/>
          <w:spacing w:val="-1"/>
        </w:rPr>
        <w:t>las</w:t>
      </w:r>
      <w:r w:rsidRPr="002502C9">
        <w:rPr>
          <w:rFonts w:ascii="Arial" w:eastAsia="Times New Roman" w:hAnsi="Arial" w:cs="Times New Roman"/>
        </w:rPr>
        <w:t>s</w:t>
      </w:r>
      <w:r w:rsidRPr="002502C9">
        <w:rPr>
          <w:rFonts w:ascii="Arial" w:eastAsia="Times New Roman" w:hAnsi="Arial" w:cs="Times New Roman"/>
          <w:spacing w:val="-2"/>
        </w:rPr>
        <w:t xml:space="preserve"> </w:t>
      </w:r>
      <w:r w:rsidRPr="002502C9">
        <w:rPr>
          <w:rFonts w:ascii="Arial" w:eastAsia="Times New Roman" w:hAnsi="Arial" w:cs="Times New Roman"/>
        </w:rPr>
        <w:t>w</w:t>
      </w:r>
      <w:r w:rsidRPr="002502C9">
        <w:rPr>
          <w:rFonts w:ascii="Arial" w:eastAsia="Times New Roman" w:hAnsi="Arial" w:cs="Times New Roman"/>
          <w:spacing w:val="-1"/>
        </w:rPr>
        <w:t>a</w:t>
      </w:r>
      <w:r w:rsidRPr="002502C9">
        <w:rPr>
          <w:rFonts w:ascii="Arial" w:eastAsia="Times New Roman" w:hAnsi="Arial" w:cs="Times New Roman"/>
        </w:rPr>
        <w:t xml:space="preserve">s </w:t>
      </w:r>
      <w:r w:rsidRPr="002502C9">
        <w:rPr>
          <w:rFonts w:ascii="Arial" w:eastAsia="Times New Roman" w:hAnsi="Arial" w:cs="Times New Roman"/>
          <w:spacing w:val="-2"/>
        </w:rPr>
        <w:t>t</w:t>
      </w:r>
      <w:r w:rsidRPr="002502C9">
        <w:rPr>
          <w:rFonts w:ascii="Arial" w:eastAsia="Times New Roman" w:hAnsi="Arial" w:cs="Times New Roman"/>
        </w:rPr>
        <w:t>es</w:t>
      </w:r>
      <w:r w:rsidRPr="002502C9">
        <w:rPr>
          <w:rFonts w:ascii="Arial" w:eastAsia="Times New Roman" w:hAnsi="Arial" w:cs="Times New Roman"/>
          <w:spacing w:val="-2"/>
        </w:rPr>
        <w:t>t</w:t>
      </w:r>
      <w:r w:rsidRPr="002502C9">
        <w:rPr>
          <w:rFonts w:ascii="Arial" w:eastAsia="Times New Roman" w:hAnsi="Arial" w:cs="Times New Roman"/>
        </w:rPr>
        <w:t>ed</w:t>
      </w:r>
      <w:r w:rsidRPr="002502C9">
        <w:rPr>
          <w:rFonts w:ascii="Arial" w:eastAsia="Times New Roman" w:hAnsi="Arial" w:cs="Times New Roman"/>
          <w:spacing w:val="-1"/>
        </w:rPr>
        <w:t xml:space="preserve"> f</w:t>
      </w:r>
      <w:r w:rsidRPr="002502C9">
        <w:rPr>
          <w:rFonts w:ascii="Arial" w:eastAsia="Times New Roman" w:hAnsi="Arial" w:cs="Times New Roman"/>
          <w:spacing w:val="1"/>
        </w:rPr>
        <w:t>o</w:t>
      </w:r>
      <w:r w:rsidRPr="002502C9">
        <w:rPr>
          <w:rFonts w:ascii="Arial" w:eastAsia="Times New Roman" w:hAnsi="Arial" w:cs="Times New Roman"/>
        </w:rPr>
        <w:t>r</w:t>
      </w:r>
      <w:r w:rsidRPr="002502C9">
        <w:rPr>
          <w:rFonts w:ascii="Arial" w:eastAsia="Times New Roman" w:hAnsi="Arial" w:cs="Times New Roman"/>
          <w:spacing w:val="-5"/>
        </w:rPr>
        <w:t xml:space="preserve"> </w:t>
      </w:r>
      <w:r w:rsidRPr="002502C9">
        <w:rPr>
          <w:rFonts w:ascii="Arial" w:eastAsia="Times New Roman" w:hAnsi="Arial" w:cs="Times New Roman"/>
        </w:rPr>
        <w:t>t</w:t>
      </w:r>
      <w:r w:rsidRPr="002502C9">
        <w:rPr>
          <w:rFonts w:ascii="Arial" w:eastAsia="Times New Roman" w:hAnsi="Arial" w:cs="Times New Roman"/>
          <w:spacing w:val="1"/>
        </w:rPr>
        <w:t>o</w:t>
      </w:r>
      <w:r w:rsidRPr="002502C9">
        <w:rPr>
          <w:rFonts w:ascii="Arial" w:eastAsia="Times New Roman" w:hAnsi="Arial" w:cs="Times New Roman"/>
          <w:spacing w:val="-1"/>
        </w:rPr>
        <w:t>p</w:t>
      </w:r>
      <w:r w:rsidRPr="002502C9">
        <w:rPr>
          <w:rFonts w:ascii="Arial" w:eastAsia="Times New Roman" w:hAnsi="Arial" w:cs="Times New Roman"/>
          <w:spacing w:val="1"/>
        </w:rPr>
        <w:t>o</w:t>
      </w:r>
      <w:r w:rsidRPr="002502C9">
        <w:rPr>
          <w:rFonts w:ascii="Arial" w:eastAsia="Times New Roman" w:hAnsi="Arial" w:cs="Times New Roman"/>
          <w:spacing w:val="-3"/>
        </w:rPr>
        <w:t>l</w:t>
      </w:r>
      <w:r w:rsidRPr="002502C9">
        <w:rPr>
          <w:rFonts w:ascii="Arial" w:eastAsia="Times New Roman" w:hAnsi="Arial" w:cs="Times New Roman"/>
          <w:spacing w:val="1"/>
        </w:rPr>
        <w:t>o</w:t>
      </w:r>
      <w:r w:rsidRPr="002502C9">
        <w:rPr>
          <w:rFonts w:ascii="Arial" w:eastAsia="Times New Roman" w:hAnsi="Arial" w:cs="Times New Roman"/>
          <w:spacing w:val="-1"/>
        </w:rPr>
        <w:t>gi</w:t>
      </w:r>
      <w:r w:rsidRPr="002502C9">
        <w:rPr>
          <w:rFonts w:ascii="Arial" w:eastAsia="Times New Roman" w:hAnsi="Arial" w:cs="Times New Roman"/>
        </w:rPr>
        <w:t>c</w:t>
      </w:r>
      <w:r w:rsidRPr="002502C9">
        <w:rPr>
          <w:rFonts w:ascii="Arial" w:eastAsia="Times New Roman" w:hAnsi="Arial" w:cs="Times New Roman"/>
          <w:spacing w:val="-1"/>
        </w:rPr>
        <w:t>a</w:t>
      </w:r>
      <w:r w:rsidRPr="002502C9">
        <w:rPr>
          <w:rFonts w:ascii="Arial" w:eastAsia="Times New Roman" w:hAnsi="Arial" w:cs="Times New Roman"/>
        </w:rPr>
        <w:t>l</w:t>
      </w:r>
      <w:r w:rsidRPr="002502C9">
        <w:rPr>
          <w:rFonts w:ascii="Arial" w:eastAsia="Times New Roman" w:hAnsi="Arial" w:cs="Times New Roman"/>
          <w:spacing w:val="-3"/>
        </w:rPr>
        <w:t xml:space="preserve"> </w:t>
      </w:r>
      <w:r w:rsidRPr="002502C9">
        <w:rPr>
          <w:rFonts w:ascii="Arial" w:eastAsia="Times New Roman" w:hAnsi="Arial" w:cs="Times New Roman"/>
        </w:rPr>
        <w:t>e</w:t>
      </w:r>
      <w:r w:rsidRPr="002502C9">
        <w:rPr>
          <w:rFonts w:ascii="Arial" w:eastAsia="Times New Roman" w:hAnsi="Arial" w:cs="Times New Roman"/>
          <w:spacing w:val="-1"/>
        </w:rPr>
        <w:t>r</w:t>
      </w:r>
      <w:r w:rsidRPr="002502C9">
        <w:rPr>
          <w:rFonts w:ascii="Arial" w:eastAsia="Times New Roman" w:hAnsi="Arial" w:cs="Times New Roman"/>
          <w:spacing w:val="-3"/>
        </w:rPr>
        <w:t>r</w:t>
      </w:r>
      <w:r w:rsidRPr="002502C9">
        <w:rPr>
          <w:rFonts w:ascii="Arial" w:eastAsia="Times New Roman" w:hAnsi="Arial" w:cs="Times New Roman"/>
          <w:spacing w:val="1"/>
        </w:rPr>
        <w:t>o</w:t>
      </w:r>
      <w:r w:rsidRPr="002502C9">
        <w:rPr>
          <w:rFonts w:ascii="Arial" w:eastAsia="Times New Roman" w:hAnsi="Arial" w:cs="Times New Roman"/>
          <w:spacing w:val="-1"/>
        </w:rPr>
        <w:t>r</w:t>
      </w:r>
      <w:r w:rsidRPr="002502C9">
        <w:rPr>
          <w:rFonts w:ascii="Arial" w:eastAsia="Times New Roman" w:hAnsi="Arial" w:cs="Times New Roman"/>
        </w:rPr>
        <w:t xml:space="preserve">s </w:t>
      </w:r>
      <w:r w:rsidRPr="002502C9">
        <w:rPr>
          <w:rFonts w:ascii="Arial" w:eastAsia="Times New Roman" w:hAnsi="Arial" w:cs="Times New Roman"/>
          <w:spacing w:val="-1"/>
        </w:rPr>
        <w:t>d</w:t>
      </w:r>
      <w:r w:rsidRPr="002502C9">
        <w:rPr>
          <w:rFonts w:ascii="Arial" w:eastAsia="Times New Roman" w:hAnsi="Arial" w:cs="Times New Roman"/>
        </w:rPr>
        <w:t>e</w:t>
      </w:r>
      <w:r w:rsidRPr="002502C9">
        <w:rPr>
          <w:rFonts w:ascii="Arial" w:eastAsia="Times New Roman" w:hAnsi="Arial" w:cs="Times New Roman"/>
          <w:spacing w:val="-3"/>
        </w:rPr>
        <w:t>s</w:t>
      </w:r>
      <w:r w:rsidRPr="002502C9">
        <w:rPr>
          <w:rFonts w:ascii="Arial" w:eastAsia="Times New Roman" w:hAnsi="Arial" w:cs="Times New Roman"/>
        </w:rPr>
        <w:t>c</w:t>
      </w:r>
      <w:r w:rsidRPr="002502C9">
        <w:rPr>
          <w:rFonts w:ascii="Arial" w:eastAsia="Times New Roman" w:hAnsi="Arial" w:cs="Times New Roman"/>
          <w:spacing w:val="-1"/>
        </w:rPr>
        <w:t>rib</w:t>
      </w:r>
      <w:r w:rsidRPr="002502C9">
        <w:rPr>
          <w:rFonts w:ascii="Arial" w:eastAsia="Times New Roman" w:hAnsi="Arial" w:cs="Times New Roman"/>
          <w:spacing w:val="-2"/>
        </w:rPr>
        <w:t>e</w:t>
      </w:r>
      <w:r w:rsidRPr="002502C9">
        <w:rPr>
          <w:rFonts w:ascii="Arial" w:eastAsia="Times New Roman" w:hAnsi="Arial" w:cs="Times New Roman"/>
        </w:rPr>
        <w:t>d</w:t>
      </w:r>
      <w:r w:rsidRPr="002502C9">
        <w:rPr>
          <w:rFonts w:ascii="Arial" w:eastAsia="Times New Roman" w:hAnsi="Arial" w:cs="Times New Roman"/>
          <w:spacing w:val="-1"/>
        </w:rPr>
        <w:t xml:space="preserve"> i</w:t>
      </w:r>
      <w:r w:rsidRPr="002502C9">
        <w:rPr>
          <w:rFonts w:ascii="Arial" w:eastAsia="Times New Roman" w:hAnsi="Arial" w:cs="Times New Roman"/>
        </w:rPr>
        <w:t>n</w:t>
      </w:r>
      <w:r w:rsidRPr="002502C9">
        <w:rPr>
          <w:rFonts w:ascii="Arial" w:eastAsia="Times New Roman" w:hAnsi="Arial" w:cs="Times New Roman"/>
          <w:spacing w:val="-1"/>
        </w:rPr>
        <w:t xml:space="preserve"> </w:t>
      </w:r>
      <w:r w:rsidRPr="002502C9">
        <w:rPr>
          <w:rFonts w:ascii="Arial" w:eastAsia="Times New Roman" w:hAnsi="Arial" w:cs="Times New Roman"/>
        </w:rPr>
        <w:t>t</w:t>
      </w:r>
      <w:r w:rsidRPr="002502C9">
        <w:rPr>
          <w:rFonts w:ascii="Arial" w:eastAsia="Times New Roman" w:hAnsi="Arial" w:cs="Times New Roman"/>
          <w:spacing w:val="-1"/>
        </w:rPr>
        <w:t>h</w:t>
      </w:r>
      <w:r w:rsidRPr="002502C9">
        <w:rPr>
          <w:rFonts w:ascii="Arial" w:eastAsia="Times New Roman" w:hAnsi="Arial" w:cs="Times New Roman"/>
        </w:rPr>
        <w:t>e</w:t>
      </w:r>
      <w:r w:rsidRPr="002502C9">
        <w:rPr>
          <w:rFonts w:ascii="Arial" w:eastAsia="Times New Roman" w:hAnsi="Arial" w:cs="Times New Roman"/>
          <w:spacing w:val="1"/>
        </w:rPr>
        <w:t xml:space="preserve"> </w:t>
      </w:r>
      <w:r w:rsidRPr="002502C9">
        <w:rPr>
          <w:rFonts w:ascii="Arial" w:eastAsia="Times New Roman" w:hAnsi="Arial" w:cs="Times New Roman"/>
          <w:spacing w:val="-1"/>
        </w:rPr>
        <w:t>FI</w:t>
      </w:r>
      <w:r w:rsidRPr="002502C9">
        <w:rPr>
          <w:rFonts w:ascii="Arial" w:eastAsia="Times New Roman" w:hAnsi="Arial" w:cs="Times New Roman"/>
          <w:spacing w:val="-3"/>
        </w:rPr>
        <w:t>R</w:t>
      </w:r>
      <w:r w:rsidRPr="002502C9">
        <w:rPr>
          <w:rFonts w:ascii="Arial" w:eastAsia="Times New Roman" w:hAnsi="Arial" w:cs="Times New Roman"/>
        </w:rPr>
        <w:t>M</w:t>
      </w:r>
      <w:r w:rsidRPr="002502C9">
        <w:rPr>
          <w:rFonts w:ascii="Arial" w:eastAsia="Times New Roman" w:hAnsi="Arial" w:cs="Times New Roman"/>
          <w:spacing w:val="1"/>
        </w:rPr>
        <w:t xml:space="preserve"> </w:t>
      </w:r>
      <w:r w:rsidRPr="002502C9">
        <w:rPr>
          <w:rFonts w:ascii="Arial" w:eastAsia="Times New Roman" w:hAnsi="Arial" w:cs="Times New Roman"/>
          <w:spacing w:val="-2"/>
        </w:rPr>
        <w:t>D</w:t>
      </w:r>
      <w:r w:rsidRPr="002502C9">
        <w:rPr>
          <w:rFonts w:ascii="Arial" w:eastAsia="Times New Roman" w:hAnsi="Arial" w:cs="Times New Roman"/>
          <w:spacing w:val="-1"/>
        </w:rPr>
        <w:t>a</w:t>
      </w:r>
      <w:r w:rsidRPr="002502C9">
        <w:rPr>
          <w:rFonts w:ascii="Arial" w:eastAsia="Times New Roman" w:hAnsi="Arial" w:cs="Times New Roman"/>
        </w:rPr>
        <w:t>t</w:t>
      </w:r>
      <w:r w:rsidRPr="002502C9">
        <w:rPr>
          <w:rFonts w:ascii="Arial" w:eastAsia="Times New Roman" w:hAnsi="Arial" w:cs="Times New Roman"/>
          <w:spacing w:val="-1"/>
        </w:rPr>
        <w:t>aba</w:t>
      </w:r>
      <w:r w:rsidRPr="002502C9">
        <w:rPr>
          <w:rFonts w:ascii="Arial" w:eastAsia="Times New Roman" w:hAnsi="Arial" w:cs="Times New Roman"/>
        </w:rPr>
        <w:t>se Tec</w:t>
      </w:r>
      <w:r w:rsidRPr="002502C9">
        <w:rPr>
          <w:rFonts w:ascii="Arial" w:eastAsia="Times New Roman" w:hAnsi="Arial" w:cs="Times New Roman"/>
          <w:spacing w:val="-1"/>
        </w:rPr>
        <w:t>hni</w:t>
      </w:r>
      <w:r w:rsidRPr="002502C9">
        <w:rPr>
          <w:rFonts w:ascii="Arial" w:eastAsia="Times New Roman" w:hAnsi="Arial" w:cs="Times New Roman"/>
        </w:rPr>
        <w:t>c</w:t>
      </w:r>
      <w:r w:rsidRPr="002502C9">
        <w:rPr>
          <w:rFonts w:ascii="Arial" w:eastAsia="Times New Roman" w:hAnsi="Arial" w:cs="Times New Roman"/>
          <w:spacing w:val="-1"/>
        </w:rPr>
        <w:t>a</w:t>
      </w:r>
      <w:r w:rsidRPr="002502C9">
        <w:rPr>
          <w:rFonts w:ascii="Arial" w:eastAsia="Times New Roman" w:hAnsi="Arial" w:cs="Times New Roman"/>
        </w:rPr>
        <w:t xml:space="preserve">l </w:t>
      </w:r>
      <w:r w:rsidRPr="002502C9">
        <w:rPr>
          <w:rFonts w:ascii="Arial" w:eastAsia="Times New Roman" w:hAnsi="Arial" w:cs="Times New Roman"/>
          <w:spacing w:val="-3"/>
        </w:rPr>
        <w:t>R</w:t>
      </w:r>
      <w:r w:rsidRPr="002502C9">
        <w:rPr>
          <w:rFonts w:ascii="Arial" w:eastAsia="Times New Roman" w:hAnsi="Arial" w:cs="Times New Roman"/>
        </w:rPr>
        <w:t>e</w:t>
      </w:r>
      <w:r w:rsidRPr="002502C9">
        <w:rPr>
          <w:rFonts w:ascii="Arial" w:eastAsia="Times New Roman" w:hAnsi="Arial" w:cs="Times New Roman"/>
          <w:spacing w:val="-1"/>
        </w:rPr>
        <w:t>f</w:t>
      </w:r>
      <w:r w:rsidRPr="002502C9">
        <w:rPr>
          <w:rFonts w:ascii="Arial" w:eastAsia="Times New Roman" w:hAnsi="Arial" w:cs="Times New Roman"/>
        </w:rPr>
        <w:t>e</w:t>
      </w:r>
      <w:r w:rsidRPr="002502C9">
        <w:rPr>
          <w:rFonts w:ascii="Arial" w:eastAsia="Times New Roman" w:hAnsi="Arial" w:cs="Times New Roman"/>
          <w:spacing w:val="-3"/>
        </w:rPr>
        <w:t>r</w:t>
      </w:r>
      <w:r w:rsidRPr="002502C9">
        <w:rPr>
          <w:rFonts w:ascii="Arial" w:eastAsia="Times New Roman" w:hAnsi="Arial" w:cs="Times New Roman"/>
        </w:rPr>
        <w:t>e</w:t>
      </w:r>
      <w:r w:rsidRPr="002502C9">
        <w:rPr>
          <w:rFonts w:ascii="Arial" w:eastAsia="Times New Roman" w:hAnsi="Arial" w:cs="Times New Roman"/>
          <w:spacing w:val="-1"/>
        </w:rPr>
        <w:t>n</w:t>
      </w:r>
      <w:r w:rsidRPr="002502C9">
        <w:rPr>
          <w:rFonts w:ascii="Arial" w:eastAsia="Times New Roman" w:hAnsi="Arial" w:cs="Times New Roman"/>
        </w:rPr>
        <w:t>ce</w:t>
      </w:r>
      <w:r w:rsidRPr="002502C9">
        <w:rPr>
          <w:rFonts w:ascii="Arial" w:eastAsia="Times New Roman" w:hAnsi="Arial" w:cs="Times New Roman"/>
          <w:spacing w:val="1"/>
        </w:rPr>
        <w:t xml:space="preserve"> </w:t>
      </w:r>
      <w:r w:rsidRPr="002502C9">
        <w:rPr>
          <w:rFonts w:ascii="Arial" w:eastAsia="Times New Roman" w:hAnsi="Arial" w:cs="Times New Roman"/>
          <w:spacing w:val="-1"/>
        </w:rPr>
        <w:t>an</w:t>
      </w:r>
      <w:r w:rsidRPr="002502C9">
        <w:rPr>
          <w:rFonts w:ascii="Arial" w:eastAsia="Times New Roman" w:hAnsi="Arial" w:cs="Times New Roman"/>
        </w:rPr>
        <w:t>d</w:t>
      </w:r>
      <w:r w:rsidRPr="002502C9">
        <w:rPr>
          <w:rFonts w:ascii="Arial" w:eastAsia="Times New Roman" w:hAnsi="Arial" w:cs="Times New Roman"/>
          <w:spacing w:val="-1"/>
        </w:rPr>
        <w:t xml:space="preserve"> al</w:t>
      </w:r>
      <w:r w:rsidRPr="002502C9">
        <w:rPr>
          <w:rFonts w:ascii="Arial" w:eastAsia="Times New Roman" w:hAnsi="Arial" w:cs="Times New Roman"/>
        </w:rPr>
        <w:t>l</w:t>
      </w:r>
      <w:r w:rsidRPr="002502C9">
        <w:rPr>
          <w:rFonts w:ascii="Arial" w:eastAsia="Times New Roman" w:hAnsi="Arial" w:cs="Times New Roman"/>
          <w:spacing w:val="-3"/>
        </w:rPr>
        <w:t xml:space="preserve"> errors</w:t>
      </w:r>
      <w:r w:rsidRPr="002502C9">
        <w:rPr>
          <w:rFonts w:ascii="Arial" w:eastAsia="Times New Roman" w:hAnsi="Arial" w:cs="Times New Roman"/>
        </w:rPr>
        <w:t xml:space="preserve"> were </w:t>
      </w:r>
      <w:r w:rsidRPr="002502C9">
        <w:rPr>
          <w:rFonts w:ascii="Arial" w:eastAsia="Times New Roman" w:hAnsi="Arial" w:cs="Times New Roman"/>
          <w:spacing w:val="-1"/>
        </w:rPr>
        <w:t>fi</w:t>
      </w:r>
      <w:r w:rsidRPr="002502C9">
        <w:rPr>
          <w:rFonts w:ascii="Arial" w:eastAsia="Times New Roman" w:hAnsi="Arial" w:cs="Times New Roman"/>
          <w:spacing w:val="-3"/>
        </w:rPr>
        <w:t>x</w:t>
      </w:r>
      <w:r w:rsidRPr="002502C9">
        <w:rPr>
          <w:rFonts w:ascii="Arial" w:eastAsia="Times New Roman" w:hAnsi="Arial" w:cs="Times New Roman"/>
        </w:rPr>
        <w:t>ed</w:t>
      </w:r>
      <w:r w:rsidRPr="002502C9">
        <w:rPr>
          <w:rFonts w:ascii="Arial" w:eastAsia="Times New Roman" w:hAnsi="Arial" w:cs="Times New Roman"/>
          <w:spacing w:val="-1"/>
        </w:rPr>
        <w:t xml:space="preserve"> </w:t>
      </w:r>
      <w:r w:rsidRPr="002502C9">
        <w:rPr>
          <w:rFonts w:ascii="Arial" w:eastAsia="Times New Roman" w:hAnsi="Arial" w:cs="Times New Roman"/>
          <w:spacing w:val="-3"/>
        </w:rPr>
        <w:t>f</w:t>
      </w:r>
      <w:r w:rsidRPr="002502C9">
        <w:rPr>
          <w:rFonts w:ascii="Arial" w:eastAsia="Times New Roman" w:hAnsi="Arial" w:cs="Times New Roman"/>
          <w:spacing w:val="1"/>
        </w:rPr>
        <w:t>o</w:t>
      </w:r>
      <w:r w:rsidRPr="002502C9">
        <w:rPr>
          <w:rFonts w:ascii="Arial" w:eastAsia="Times New Roman" w:hAnsi="Arial" w:cs="Times New Roman"/>
        </w:rPr>
        <w:t xml:space="preserve">r </w:t>
      </w:r>
      <w:r w:rsidRPr="002502C9">
        <w:rPr>
          <w:rFonts w:ascii="Arial" w:eastAsia="Times New Roman" w:hAnsi="Arial" w:cs="Times New Roman"/>
          <w:spacing w:val="-1"/>
        </w:rPr>
        <w:t>da</w:t>
      </w:r>
      <w:r w:rsidRPr="002502C9">
        <w:rPr>
          <w:rFonts w:ascii="Arial" w:eastAsia="Times New Roman" w:hAnsi="Arial" w:cs="Times New Roman"/>
        </w:rPr>
        <w:t>ta</w:t>
      </w:r>
      <w:r w:rsidRPr="002502C9">
        <w:rPr>
          <w:rFonts w:ascii="Arial" w:eastAsia="Times New Roman" w:hAnsi="Arial" w:cs="Times New Roman"/>
          <w:spacing w:val="-2"/>
        </w:rPr>
        <w:t xml:space="preserve"> </w:t>
      </w:r>
      <w:r w:rsidRPr="002502C9">
        <w:rPr>
          <w:rFonts w:ascii="Arial" w:eastAsia="Times New Roman" w:hAnsi="Arial" w:cs="Times New Roman"/>
          <w:spacing w:val="-1"/>
        </w:rPr>
        <w:t>in</w:t>
      </w:r>
      <w:r w:rsidRPr="002502C9">
        <w:rPr>
          <w:rFonts w:ascii="Arial" w:eastAsia="Times New Roman" w:hAnsi="Arial" w:cs="Times New Roman"/>
        </w:rPr>
        <w:t>te</w:t>
      </w:r>
      <w:r w:rsidRPr="002502C9">
        <w:rPr>
          <w:rFonts w:ascii="Arial" w:eastAsia="Times New Roman" w:hAnsi="Arial" w:cs="Times New Roman"/>
          <w:spacing w:val="-1"/>
        </w:rPr>
        <w:t>g</w:t>
      </w:r>
      <w:r w:rsidRPr="002502C9">
        <w:rPr>
          <w:rFonts w:ascii="Arial" w:eastAsia="Times New Roman" w:hAnsi="Arial" w:cs="Times New Roman"/>
          <w:spacing w:val="-3"/>
        </w:rPr>
        <w:t>r</w:t>
      </w:r>
      <w:r w:rsidRPr="002502C9">
        <w:rPr>
          <w:rFonts w:ascii="Arial" w:eastAsia="Times New Roman" w:hAnsi="Arial" w:cs="Times New Roman"/>
          <w:spacing w:val="-1"/>
        </w:rPr>
        <w:t>i</w:t>
      </w:r>
      <w:r w:rsidRPr="002502C9">
        <w:rPr>
          <w:rFonts w:ascii="Arial" w:eastAsia="Times New Roman" w:hAnsi="Arial" w:cs="Times New Roman"/>
        </w:rPr>
        <w:t>ty</w:t>
      </w:r>
      <w:r w:rsidRPr="002502C9">
        <w:rPr>
          <w:rFonts w:ascii="Arial" w:eastAsia="Times New Roman" w:hAnsi="Arial" w:cs="Times New Roman"/>
          <w:spacing w:val="1"/>
        </w:rPr>
        <w:t xml:space="preserve"> </w:t>
      </w:r>
      <w:r w:rsidRPr="002502C9">
        <w:rPr>
          <w:rFonts w:ascii="Arial" w:eastAsia="Times New Roman" w:hAnsi="Arial" w:cs="Times New Roman"/>
          <w:spacing w:val="-1"/>
        </w:rPr>
        <w:t>an</w:t>
      </w:r>
      <w:r w:rsidRPr="002502C9">
        <w:rPr>
          <w:rFonts w:ascii="Arial" w:eastAsia="Times New Roman" w:hAnsi="Arial" w:cs="Times New Roman"/>
        </w:rPr>
        <w:t>d</w:t>
      </w:r>
      <w:r w:rsidRPr="002502C9">
        <w:rPr>
          <w:rFonts w:ascii="Arial" w:eastAsia="Times New Roman" w:hAnsi="Arial" w:cs="Times New Roman"/>
          <w:spacing w:val="-1"/>
        </w:rPr>
        <w:t xml:space="preserve"> </w:t>
      </w:r>
      <w:r w:rsidR="00FD1616">
        <w:rPr>
          <w:rFonts w:ascii="Arial" w:eastAsia="Times New Roman" w:hAnsi="Arial" w:cs="Times New Roman"/>
        </w:rPr>
        <w:t>BLE</w:t>
      </w:r>
      <w:r w:rsidR="00FD1616" w:rsidRPr="002502C9">
        <w:rPr>
          <w:rFonts w:ascii="Arial" w:eastAsia="Times New Roman" w:hAnsi="Arial" w:cs="Times New Roman"/>
          <w:spacing w:val="-1"/>
        </w:rPr>
        <w:t xml:space="preserve"> </w:t>
      </w:r>
      <w:r w:rsidR="00FD1616" w:rsidRPr="002502C9">
        <w:rPr>
          <w:rFonts w:ascii="Arial" w:eastAsia="Times New Roman" w:hAnsi="Arial" w:cs="Times New Roman"/>
        </w:rPr>
        <w:t>sc</w:t>
      </w:r>
      <w:r w:rsidR="00FD1616" w:rsidRPr="002502C9">
        <w:rPr>
          <w:rFonts w:ascii="Arial" w:eastAsia="Times New Roman" w:hAnsi="Arial" w:cs="Times New Roman"/>
          <w:spacing w:val="-4"/>
        </w:rPr>
        <w:t>h</w:t>
      </w:r>
      <w:r w:rsidR="00FD1616" w:rsidRPr="002502C9">
        <w:rPr>
          <w:rFonts w:ascii="Arial" w:eastAsia="Times New Roman" w:hAnsi="Arial" w:cs="Times New Roman"/>
        </w:rPr>
        <w:t>e</w:t>
      </w:r>
      <w:r w:rsidR="00FD1616" w:rsidRPr="002502C9">
        <w:rPr>
          <w:rFonts w:ascii="Arial" w:eastAsia="Times New Roman" w:hAnsi="Arial" w:cs="Times New Roman"/>
          <w:spacing w:val="-2"/>
        </w:rPr>
        <w:t>m</w:t>
      </w:r>
      <w:r w:rsidR="00FD1616" w:rsidRPr="002502C9">
        <w:rPr>
          <w:rFonts w:ascii="Arial" w:eastAsia="Times New Roman" w:hAnsi="Arial" w:cs="Times New Roman"/>
        </w:rPr>
        <w:t xml:space="preserve">a </w:t>
      </w:r>
      <w:r w:rsidR="00FD1616" w:rsidRPr="002502C9">
        <w:rPr>
          <w:rFonts w:ascii="Arial" w:eastAsia="Times New Roman" w:hAnsi="Arial" w:cs="Times New Roman"/>
          <w:spacing w:val="-1"/>
        </w:rPr>
        <w:t>agr</w:t>
      </w:r>
      <w:r w:rsidR="00FD1616" w:rsidRPr="002502C9">
        <w:rPr>
          <w:rFonts w:ascii="Arial" w:eastAsia="Times New Roman" w:hAnsi="Arial" w:cs="Times New Roman"/>
          <w:spacing w:val="-2"/>
        </w:rPr>
        <w:t>e</w:t>
      </w:r>
      <w:r w:rsidR="00FD1616" w:rsidRPr="002502C9">
        <w:rPr>
          <w:rFonts w:ascii="Arial" w:eastAsia="Times New Roman" w:hAnsi="Arial" w:cs="Times New Roman"/>
        </w:rPr>
        <w:t>e</w:t>
      </w:r>
      <w:r w:rsidR="00FD1616" w:rsidRPr="002502C9">
        <w:rPr>
          <w:rFonts w:ascii="Arial" w:eastAsia="Times New Roman" w:hAnsi="Arial" w:cs="Times New Roman"/>
          <w:spacing w:val="-2"/>
        </w:rPr>
        <w:t>m</w:t>
      </w:r>
      <w:r w:rsidR="00FD1616" w:rsidRPr="002502C9">
        <w:rPr>
          <w:rFonts w:ascii="Arial" w:eastAsia="Times New Roman" w:hAnsi="Arial" w:cs="Times New Roman"/>
        </w:rPr>
        <w:t>e</w:t>
      </w:r>
      <w:r w:rsidR="00FD1616" w:rsidRPr="002502C9">
        <w:rPr>
          <w:rFonts w:ascii="Arial" w:eastAsia="Times New Roman" w:hAnsi="Arial" w:cs="Times New Roman"/>
          <w:spacing w:val="-1"/>
        </w:rPr>
        <w:t>n</w:t>
      </w:r>
      <w:r w:rsidR="00FD1616" w:rsidRPr="002502C9">
        <w:rPr>
          <w:rFonts w:ascii="Arial" w:eastAsia="Times New Roman" w:hAnsi="Arial" w:cs="Times New Roman"/>
        </w:rPr>
        <w:t>t</w:t>
      </w:r>
      <w:r w:rsidRPr="002502C9">
        <w:rPr>
          <w:rFonts w:ascii="Arial" w:eastAsia="Times New Roman" w:hAnsi="Arial" w:cs="Times New Roman"/>
        </w:rPr>
        <w:t>. The 10</w:t>
      </w:r>
      <w:r w:rsidR="005C72F6">
        <w:rPr>
          <w:rFonts w:cstheme="minorHAnsi"/>
        </w:rPr>
        <w:t>-percent</w:t>
      </w:r>
      <w:r w:rsidRPr="002502C9">
        <w:rPr>
          <w:rFonts w:ascii="Arial" w:eastAsia="Times New Roman" w:hAnsi="Arial" w:cs="Times New Roman"/>
        </w:rPr>
        <w:t xml:space="preserve"> boundaries have been included in the BLE TENPCT_FP feature class.</w:t>
      </w:r>
    </w:p>
    <w:p w14:paraId="45C82888" w14:textId="77777777" w:rsidR="00BA7A78" w:rsidRDefault="00BA7A78" w:rsidP="00E209B0">
      <w:pPr>
        <w:pStyle w:val="Heading3"/>
      </w:pPr>
      <w:bookmarkStart w:id="299" w:name="_Toc112877088"/>
      <w:r>
        <w:t>Additional 1-Percent Features</w:t>
      </w:r>
      <w:bookmarkEnd w:id="299"/>
    </w:p>
    <w:p w14:paraId="2AC7CCD6" w14:textId="3312CC97" w:rsidR="00BA7A78" w:rsidRDefault="00FD1616" w:rsidP="00BA7A78">
      <w:pPr>
        <w:pStyle w:val="BodyText"/>
      </w:pPr>
      <w:r>
        <w:t>Once the final floodplain polygons were created, it is required that the depth and WSEL grids match the full extents of the flood inundation polygons. Because of the processing of the floodplain polygon boundaries through the above mentioned steps, there are areas in the model produced raster grids that no longer match the polygons. Final grids are interpolated for areas filled in with surrounding cell values and then clipped to the polygon extents to create the final water surface and depth grids for the 1-percent and 0.2-percent flood events</w:t>
      </w:r>
      <w:r w:rsidR="00BA7A78">
        <w:t>.</w:t>
      </w:r>
    </w:p>
    <w:p w14:paraId="60738688" w14:textId="4AFD0BA3" w:rsidR="00E209B0" w:rsidRDefault="00E209B0" w:rsidP="00E209B0">
      <w:pPr>
        <w:pStyle w:val="Heading2"/>
      </w:pPr>
      <w:bookmarkStart w:id="300" w:name="_Toc112877089"/>
      <w:r>
        <w:t>Validation of Effective Zone A SFHA</w:t>
      </w:r>
      <w:bookmarkEnd w:id="300"/>
      <w:r>
        <w:t xml:space="preserve"> </w:t>
      </w:r>
    </w:p>
    <w:p w14:paraId="4544B0F7" w14:textId="6E9D834F" w:rsidR="00E04B31" w:rsidRPr="00AB3F3C" w:rsidRDefault="00E04B31" w:rsidP="00E04B31">
      <w:pPr>
        <w:pStyle w:val="2Body-Text"/>
      </w:pPr>
      <w:r w:rsidRPr="00E04B31">
        <w:rPr>
          <w:sz w:val="18"/>
          <w:szCs w:val="18"/>
        </w:rPr>
        <w:t>The inventory of Zone A studies (</w:t>
      </w:r>
      <w:r w:rsidR="006D645D">
        <w:rPr>
          <w:sz w:val="18"/>
          <w:szCs w:val="18"/>
        </w:rPr>
        <w:t>693.7</w:t>
      </w:r>
      <w:r w:rsidRPr="00E04B31">
        <w:rPr>
          <w:sz w:val="18"/>
          <w:szCs w:val="18"/>
        </w:rPr>
        <w:t xml:space="preserve"> miles) in the Yellow House Draw Watershed were classified in CNMS with validation status of “UNVERIFIED” (</w:t>
      </w:r>
      <w:r w:rsidR="006D645D">
        <w:rPr>
          <w:sz w:val="18"/>
          <w:szCs w:val="18"/>
        </w:rPr>
        <w:t>498.6</w:t>
      </w:r>
      <w:r w:rsidRPr="00E04B31">
        <w:rPr>
          <w:sz w:val="18"/>
          <w:szCs w:val="18"/>
        </w:rPr>
        <w:t xml:space="preserve"> miles) or “VALID” (</w:t>
      </w:r>
      <w:r w:rsidR="006D645D">
        <w:rPr>
          <w:sz w:val="18"/>
          <w:szCs w:val="18"/>
        </w:rPr>
        <w:t>195.1</w:t>
      </w:r>
      <w:r w:rsidRPr="00E04B31">
        <w:rPr>
          <w:sz w:val="18"/>
          <w:szCs w:val="18"/>
        </w:rPr>
        <w:t xml:space="preserve"> miles), and with status type of “BEING STUDIED.” The following is a summary of the results of the CNMS validation assessment for the effective Zone A studies in the study area. Initial Assessment checks A1-A3 were evaluated for the CNMS inventory of Zone A studies</w:t>
      </w:r>
      <w:r w:rsidRPr="00BC2ECD">
        <w:t>.</w:t>
      </w:r>
    </w:p>
    <w:p w14:paraId="68B44C32" w14:textId="5BF61E63" w:rsidR="00E209B0" w:rsidRPr="00303A86" w:rsidRDefault="00E209B0" w:rsidP="00E209B0">
      <w:pPr>
        <w:pStyle w:val="Heading3"/>
      </w:pPr>
      <w:bookmarkStart w:id="301" w:name="_Toc112877090"/>
      <w:r w:rsidRPr="00303A86">
        <w:t>Intial Assessment A1 – Significant Topography Update Check</w:t>
      </w:r>
      <w:bookmarkEnd w:id="301"/>
      <w:r w:rsidRPr="00303A86">
        <w:t xml:space="preserve"> </w:t>
      </w:r>
    </w:p>
    <w:p w14:paraId="5E48205A" w14:textId="77777777" w:rsidR="00E04B31" w:rsidRPr="00E04B31" w:rsidRDefault="00E04B31" w:rsidP="00E04B31">
      <w:pPr>
        <w:pStyle w:val="2Body-Text"/>
        <w:rPr>
          <w:sz w:val="18"/>
          <w:szCs w:val="18"/>
        </w:rPr>
      </w:pPr>
      <w:bookmarkStart w:id="302" w:name="_Toc478072916"/>
      <w:bookmarkStart w:id="303" w:name="_Toc51846045"/>
      <w:r w:rsidRPr="00E04B31">
        <w:rPr>
          <w:sz w:val="18"/>
          <w:szCs w:val="18"/>
        </w:rPr>
        <w:t>This check involves determining whether a topographic data source is available that is significantly better than what was used for the effective Zone A modeling and mapping.</w:t>
      </w:r>
      <w:r w:rsidRPr="00E04B31" w:rsidDel="001F6536">
        <w:rPr>
          <w:sz w:val="18"/>
          <w:szCs w:val="18"/>
        </w:rPr>
        <w:t xml:space="preserve"> </w:t>
      </w:r>
      <w:r w:rsidRPr="00E04B31">
        <w:rPr>
          <w:sz w:val="18"/>
          <w:szCs w:val="18"/>
        </w:rPr>
        <w:t xml:space="preserve"> For the study area within Yellow House Draw Watershed, LIDAR sources were not used for the effective study.  New LiDAR sources are now available in this area and are considered significant improvements from the effective zone A topographic sources. Therefore, reaches in this study area fail this check. </w:t>
      </w:r>
    </w:p>
    <w:p w14:paraId="47D04580" w14:textId="77777777" w:rsidR="00E209B0" w:rsidRPr="00303A86" w:rsidRDefault="00E209B0" w:rsidP="00E209B0">
      <w:pPr>
        <w:pStyle w:val="Heading3"/>
      </w:pPr>
      <w:bookmarkStart w:id="304" w:name="_Toc112877091"/>
      <w:r w:rsidRPr="00303A86">
        <w:t>Initial Assessment A2 – Check for Significant Hydrology Changes</w:t>
      </w:r>
      <w:bookmarkEnd w:id="302"/>
      <w:bookmarkEnd w:id="303"/>
      <w:bookmarkEnd w:id="304"/>
    </w:p>
    <w:p w14:paraId="56759733" w14:textId="77777777" w:rsidR="00E04B31" w:rsidRPr="00E04B31" w:rsidRDefault="00E04B31" w:rsidP="00E04B31">
      <w:pPr>
        <w:pStyle w:val="2Body-Text"/>
        <w:rPr>
          <w:sz w:val="18"/>
          <w:szCs w:val="18"/>
        </w:rPr>
      </w:pPr>
      <w:bookmarkStart w:id="305" w:name="_Toc478072917"/>
      <w:bookmarkStart w:id="306" w:name="_Toc51846046"/>
      <w:r w:rsidRPr="00E04B31">
        <w:rPr>
          <w:sz w:val="18"/>
          <w:szCs w:val="18"/>
        </w:rPr>
        <w:t>This check involves first determining if regression equations were used for the effective study. Next, it must be determined whether new regression equations have become available from the USGS since the date of the effective Zone A study.  If newer regression equations exist for the area of interest, then an engineer must determine whether these regression equations would significantly affect the 1-percent annual chance flow.</w:t>
      </w:r>
    </w:p>
    <w:p w14:paraId="78366BCC" w14:textId="77777777" w:rsidR="00E04B31" w:rsidRPr="00E04B31" w:rsidRDefault="00E04B31" w:rsidP="00E04B31">
      <w:pPr>
        <w:pStyle w:val="2Body-Text"/>
        <w:rPr>
          <w:sz w:val="18"/>
          <w:szCs w:val="18"/>
        </w:rPr>
      </w:pPr>
      <w:r w:rsidRPr="00E04B31">
        <w:rPr>
          <w:sz w:val="18"/>
          <w:szCs w:val="18"/>
        </w:rPr>
        <w:t>For all Zone A streams Yellow House Draw Watershed, regression equations were not used for any effective studies and, therefore, pass this assessment check.</w:t>
      </w:r>
    </w:p>
    <w:p w14:paraId="4FC2B331" w14:textId="77777777" w:rsidR="00E209B0" w:rsidRPr="00303A86" w:rsidRDefault="00E209B0" w:rsidP="00E209B0">
      <w:pPr>
        <w:pStyle w:val="Heading3"/>
      </w:pPr>
      <w:bookmarkStart w:id="307" w:name="_Toc112877092"/>
      <w:r w:rsidRPr="00303A86">
        <w:t>Initial Assessment A3 – Check for Significant Development</w:t>
      </w:r>
      <w:bookmarkEnd w:id="305"/>
      <w:bookmarkEnd w:id="306"/>
      <w:bookmarkEnd w:id="307"/>
    </w:p>
    <w:p w14:paraId="42DE7CAB" w14:textId="77777777" w:rsidR="00E04B31" w:rsidRPr="00E04B31" w:rsidRDefault="00E04B31" w:rsidP="00E04B31">
      <w:pPr>
        <w:pStyle w:val="2Body-Text"/>
        <w:rPr>
          <w:sz w:val="18"/>
          <w:szCs w:val="18"/>
        </w:rPr>
      </w:pPr>
      <w:r w:rsidRPr="00E04B31">
        <w:rPr>
          <w:sz w:val="18"/>
          <w:szCs w:val="18"/>
        </w:rPr>
        <w:t xml:space="preserve">This check involves using the National Urban Change Indicator (NUCI) dataset to assess increased urbanization in the watershed of the Zone A study.  If the percentage of urban area within the HUC-12 watershed containing the effective Zone A study is 15% or more, and has increased by 50% or more since the effective analysis, the study would fail this check.  Although the NUCI data provide year-to-year changes in urbanization, the NLCD also is needed to establish a baseline of urban land cover for this analysis.  The check for significant development in this </w:t>
      </w:r>
      <w:r w:rsidRPr="00E04B31">
        <w:rPr>
          <w:sz w:val="18"/>
          <w:szCs w:val="18"/>
        </w:rPr>
        <w:lastRenderedPageBreak/>
        <w:t>watershed was completed by evaluating percentage of urban change at the HUC-12 level. All effective studies in the Yellow House Draw HUC-8 are in rural watersheds and pass this check for that reason.</w:t>
      </w:r>
    </w:p>
    <w:p w14:paraId="738EA9DF" w14:textId="422CC03C" w:rsidR="00A70D4A" w:rsidRPr="00C31A63" w:rsidRDefault="00785EB9" w:rsidP="009B5454">
      <w:pPr>
        <w:pStyle w:val="BodyText"/>
        <w:rPr>
          <w:highlight w:val="yellow"/>
        </w:rPr>
      </w:pPr>
      <w:r w:rsidRPr="00B17393">
        <w:t>All of the initial assessment results are shown in</w:t>
      </w:r>
      <w:r w:rsidR="00DD00E6" w:rsidRPr="00B17393">
        <w:t xml:space="preserve"> </w:t>
      </w:r>
      <w:r w:rsidR="00DD00E6" w:rsidRPr="00B17393">
        <w:fldChar w:fldCharType="begin"/>
      </w:r>
      <w:r w:rsidR="00DD00E6" w:rsidRPr="00B17393">
        <w:instrText xml:space="preserve"> REF _Ref80116333 \h </w:instrText>
      </w:r>
      <w:r w:rsidR="00C31A63" w:rsidRPr="00B17393">
        <w:instrText xml:space="preserve"> \* MERGEFORMAT </w:instrText>
      </w:r>
      <w:r w:rsidR="00DD00E6" w:rsidRPr="00B17393">
        <w:fldChar w:fldCharType="separate"/>
      </w:r>
      <w:r w:rsidR="00C9792F" w:rsidRPr="00B17393">
        <w:t xml:space="preserve">Table </w:t>
      </w:r>
      <w:r w:rsidR="00C9792F">
        <w:rPr>
          <w:noProof/>
        </w:rPr>
        <w:t>11</w:t>
      </w:r>
      <w:r w:rsidR="00DD00E6" w:rsidRPr="00B17393">
        <w:fldChar w:fldCharType="end"/>
      </w:r>
      <w:r w:rsidR="00DD00E6" w:rsidRPr="00B17393">
        <w:t>.</w:t>
      </w:r>
    </w:p>
    <w:p w14:paraId="72CC82F2" w14:textId="77AD9C8A" w:rsidR="00785EB9" w:rsidRPr="00B17393" w:rsidRDefault="00785EB9" w:rsidP="00785EB9">
      <w:pPr>
        <w:pStyle w:val="Caption"/>
        <w:jc w:val="center"/>
      </w:pPr>
      <w:bookmarkStart w:id="308" w:name="_Ref80116333"/>
      <w:bookmarkStart w:id="309" w:name="_Ref80116324"/>
      <w:bookmarkStart w:id="310" w:name="_Toc112877056"/>
      <w:r w:rsidRPr="00B17393">
        <w:t xml:space="preserve">Table </w:t>
      </w:r>
      <w:r w:rsidRPr="00B17393">
        <w:fldChar w:fldCharType="begin"/>
      </w:r>
      <w:r w:rsidRPr="00B17393">
        <w:instrText xml:space="preserve"> SEQ Table \* ARABIC </w:instrText>
      </w:r>
      <w:r w:rsidRPr="00B17393">
        <w:fldChar w:fldCharType="separate"/>
      </w:r>
      <w:r w:rsidR="00C9792F">
        <w:rPr>
          <w:noProof/>
        </w:rPr>
        <w:t>11</w:t>
      </w:r>
      <w:r w:rsidRPr="00B17393">
        <w:fldChar w:fldCharType="end"/>
      </w:r>
      <w:bookmarkEnd w:id="308"/>
      <w:r w:rsidRPr="00B17393">
        <w:t>: Zone A Initial Assessment Results</w:t>
      </w:r>
      <w:bookmarkEnd w:id="309"/>
      <w:bookmarkEnd w:id="310"/>
    </w:p>
    <w:tbl>
      <w:tblPr>
        <w:tblStyle w:val="CompassTable"/>
        <w:tblW w:w="9072" w:type="dxa"/>
        <w:jc w:val="center"/>
        <w:tblLook w:val="04A0" w:firstRow="1" w:lastRow="0" w:firstColumn="1" w:lastColumn="0" w:noHBand="0" w:noVBand="1"/>
      </w:tblPr>
      <w:tblGrid>
        <w:gridCol w:w="2160"/>
        <w:gridCol w:w="1296"/>
        <w:gridCol w:w="5616"/>
      </w:tblGrid>
      <w:tr w:rsidR="00785EB9" w:rsidRPr="00C31A63" w14:paraId="0A2436B6" w14:textId="77777777" w:rsidTr="00627679">
        <w:trPr>
          <w:cnfStyle w:val="100000000000" w:firstRow="1" w:lastRow="0" w:firstColumn="0" w:lastColumn="0" w:oddVBand="0" w:evenVBand="0" w:oddHBand="0" w:evenHBand="0" w:firstRowFirstColumn="0" w:firstRowLastColumn="0" w:lastRowFirstColumn="0" w:lastRowLastColumn="0"/>
          <w:trHeight w:val="432"/>
          <w:jc w:val="center"/>
        </w:trPr>
        <w:tc>
          <w:tcPr>
            <w:tcW w:w="2160" w:type="dxa"/>
            <w:shd w:val="clear" w:color="auto" w:fill="00B5E2" w:themeFill="accent1"/>
          </w:tcPr>
          <w:p w14:paraId="75319FBF" w14:textId="77777777" w:rsidR="00785EB9" w:rsidRPr="00B17393" w:rsidRDefault="00785EB9" w:rsidP="000F61F0">
            <w:pPr>
              <w:keepNext/>
              <w:jc w:val="center"/>
              <w:rPr>
                <w:rFonts w:eastAsia="Times New Roman" w:cs="Times New Roman"/>
              </w:rPr>
            </w:pPr>
            <w:r w:rsidRPr="00B17393">
              <w:rPr>
                <w:rFonts w:eastAsia="Times New Roman" w:cs="Times New Roman"/>
              </w:rPr>
              <w:t>Assessment Check</w:t>
            </w:r>
          </w:p>
        </w:tc>
        <w:tc>
          <w:tcPr>
            <w:tcW w:w="1296" w:type="dxa"/>
            <w:shd w:val="clear" w:color="auto" w:fill="00B5E2" w:themeFill="accent1"/>
          </w:tcPr>
          <w:p w14:paraId="0BCA60F2" w14:textId="77777777" w:rsidR="00785EB9" w:rsidRPr="00B17393" w:rsidRDefault="00785EB9" w:rsidP="000F61F0">
            <w:pPr>
              <w:keepNext/>
              <w:jc w:val="center"/>
              <w:rPr>
                <w:rFonts w:eastAsia="Times New Roman" w:cs="Times New Roman"/>
              </w:rPr>
            </w:pPr>
            <w:r w:rsidRPr="00B17393">
              <w:rPr>
                <w:rFonts w:eastAsia="Times New Roman" w:cs="Times New Roman"/>
              </w:rPr>
              <w:t>Pass / Fail</w:t>
            </w:r>
          </w:p>
        </w:tc>
        <w:tc>
          <w:tcPr>
            <w:tcW w:w="5616" w:type="dxa"/>
            <w:shd w:val="clear" w:color="auto" w:fill="00B5E2" w:themeFill="accent1"/>
          </w:tcPr>
          <w:p w14:paraId="6DF5CF72" w14:textId="77777777" w:rsidR="00785EB9" w:rsidRPr="00B17393" w:rsidRDefault="00785EB9" w:rsidP="000F61F0">
            <w:pPr>
              <w:keepNext/>
              <w:jc w:val="center"/>
              <w:rPr>
                <w:rFonts w:eastAsia="Times New Roman" w:cs="Times New Roman"/>
              </w:rPr>
            </w:pPr>
            <w:r w:rsidRPr="00B17393">
              <w:rPr>
                <w:rFonts w:eastAsia="Times New Roman" w:cs="Times New Roman"/>
              </w:rPr>
              <w:t>Notes</w:t>
            </w:r>
          </w:p>
        </w:tc>
      </w:tr>
      <w:tr w:rsidR="00E04B31" w:rsidRPr="00C31A63" w14:paraId="03C21881" w14:textId="77777777" w:rsidTr="00627679">
        <w:trPr>
          <w:cnfStyle w:val="000000100000" w:firstRow="0" w:lastRow="0" w:firstColumn="0" w:lastColumn="0" w:oddVBand="0" w:evenVBand="0" w:oddHBand="1" w:evenHBand="0" w:firstRowFirstColumn="0" w:firstRowLastColumn="0" w:lastRowFirstColumn="0" w:lastRowLastColumn="0"/>
          <w:cantSplit/>
          <w:trHeight w:val="432"/>
          <w:jc w:val="center"/>
        </w:trPr>
        <w:tc>
          <w:tcPr>
            <w:tcW w:w="2160" w:type="dxa"/>
          </w:tcPr>
          <w:p w14:paraId="2A53A5FB" w14:textId="5D592373" w:rsidR="00E04B31" w:rsidRPr="00E04B31" w:rsidRDefault="00E04B31" w:rsidP="00E04B31">
            <w:pPr>
              <w:rPr>
                <w:rFonts w:eastAsia="Times New Roman" w:cs="Times New Roman"/>
                <w:szCs w:val="20"/>
              </w:rPr>
            </w:pPr>
            <w:r w:rsidRPr="00E04B31">
              <w:rPr>
                <w:rFonts w:eastAsia="Times New Roman" w:cs="Times New Roman"/>
                <w:szCs w:val="20"/>
              </w:rPr>
              <w:t>A1 – Topography</w:t>
            </w:r>
          </w:p>
        </w:tc>
        <w:tc>
          <w:tcPr>
            <w:tcW w:w="1296" w:type="dxa"/>
          </w:tcPr>
          <w:p w14:paraId="66135B0F" w14:textId="2342D83A" w:rsidR="00E04B31" w:rsidRPr="00E04B31" w:rsidRDefault="00E04B31" w:rsidP="00E04B31">
            <w:pPr>
              <w:rPr>
                <w:rFonts w:eastAsia="Times New Roman" w:cs="Times New Roman"/>
                <w:szCs w:val="20"/>
              </w:rPr>
            </w:pPr>
            <w:r w:rsidRPr="00E04B31">
              <w:rPr>
                <w:rFonts w:eastAsia="Times New Roman" w:cs="Times New Roman"/>
                <w:szCs w:val="20"/>
              </w:rPr>
              <w:t>Fail</w:t>
            </w:r>
          </w:p>
        </w:tc>
        <w:tc>
          <w:tcPr>
            <w:tcW w:w="5616" w:type="dxa"/>
          </w:tcPr>
          <w:p w14:paraId="0F99363A" w14:textId="534A8F25" w:rsidR="00E04B31" w:rsidRPr="00E04B31" w:rsidRDefault="00E04B31" w:rsidP="00E04B31">
            <w:pPr>
              <w:rPr>
                <w:rFonts w:eastAsia="Times New Roman" w:cs="Times New Roman"/>
                <w:szCs w:val="20"/>
              </w:rPr>
            </w:pPr>
            <w:r w:rsidRPr="00E04B31">
              <w:rPr>
                <w:rFonts w:eastAsia="Times New Roman" w:cs="Times New Roman"/>
                <w:szCs w:val="20"/>
              </w:rPr>
              <w:t xml:space="preserve">Effective Study did not utilize LiDAR source and LiDAR is now available  </w:t>
            </w:r>
          </w:p>
        </w:tc>
      </w:tr>
      <w:tr w:rsidR="00E04B31" w:rsidRPr="00C31A63" w14:paraId="0E55361D" w14:textId="77777777" w:rsidTr="00627679">
        <w:trPr>
          <w:cnfStyle w:val="000000010000" w:firstRow="0" w:lastRow="0" w:firstColumn="0" w:lastColumn="0" w:oddVBand="0" w:evenVBand="0" w:oddHBand="0" w:evenHBand="1" w:firstRowFirstColumn="0" w:firstRowLastColumn="0" w:lastRowFirstColumn="0" w:lastRowLastColumn="0"/>
          <w:cantSplit/>
          <w:trHeight w:val="432"/>
          <w:jc w:val="center"/>
        </w:trPr>
        <w:tc>
          <w:tcPr>
            <w:tcW w:w="2160" w:type="dxa"/>
          </w:tcPr>
          <w:p w14:paraId="4832C0A3" w14:textId="51682B38" w:rsidR="00E04B31" w:rsidRPr="00E04B31" w:rsidRDefault="00E04B31" w:rsidP="00E04B31">
            <w:pPr>
              <w:rPr>
                <w:rFonts w:eastAsia="Times New Roman" w:cs="Times New Roman"/>
                <w:szCs w:val="20"/>
              </w:rPr>
            </w:pPr>
            <w:r w:rsidRPr="00E04B31">
              <w:rPr>
                <w:rFonts w:eastAsia="Times New Roman" w:cs="Times New Roman"/>
                <w:szCs w:val="20"/>
              </w:rPr>
              <w:t>A2 – Hydrology</w:t>
            </w:r>
          </w:p>
        </w:tc>
        <w:tc>
          <w:tcPr>
            <w:tcW w:w="1296" w:type="dxa"/>
          </w:tcPr>
          <w:p w14:paraId="5E151AC2" w14:textId="020394AE" w:rsidR="00E04B31" w:rsidRPr="00E04B31" w:rsidRDefault="00E04B31" w:rsidP="00E04B31">
            <w:pPr>
              <w:rPr>
                <w:rFonts w:eastAsia="Times New Roman" w:cs="Times New Roman"/>
                <w:szCs w:val="20"/>
              </w:rPr>
            </w:pPr>
            <w:r w:rsidRPr="00E04B31">
              <w:rPr>
                <w:rFonts w:eastAsia="Times New Roman" w:cs="Times New Roman"/>
                <w:szCs w:val="20"/>
              </w:rPr>
              <w:t>Pass</w:t>
            </w:r>
          </w:p>
        </w:tc>
        <w:tc>
          <w:tcPr>
            <w:tcW w:w="5616" w:type="dxa"/>
          </w:tcPr>
          <w:p w14:paraId="6AB073BE" w14:textId="5D9AA049" w:rsidR="00E04B31" w:rsidRPr="00E04B31" w:rsidRDefault="00E04B31" w:rsidP="00E04B31">
            <w:pPr>
              <w:pStyle w:val="2Body-Text"/>
              <w:rPr>
                <w:color w:val="FF0000"/>
                <w:sz w:val="20"/>
                <w:szCs w:val="20"/>
              </w:rPr>
            </w:pPr>
            <w:r w:rsidRPr="00E04B31">
              <w:rPr>
                <w:color w:val="auto"/>
                <w:sz w:val="20"/>
                <w:szCs w:val="20"/>
              </w:rPr>
              <w:t>Regression equations not used in effective study</w:t>
            </w:r>
          </w:p>
        </w:tc>
      </w:tr>
      <w:tr w:rsidR="00E04B31" w:rsidRPr="00C31A63" w14:paraId="36338150" w14:textId="77777777" w:rsidTr="00627679">
        <w:trPr>
          <w:cnfStyle w:val="000000100000" w:firstRow="0" w:lastRow="0" w:firstColumn="0" w:lastColumn="0" w:oddVBand="0" w:evenVBand="0" w:oddHBand="1" w:evenHBand="0" w:firstRowFirstColumn="0" w:firstRowLastColumn="0" w:lastRowFirstColumn="0" w:lastRowLastColumn="0"/>
          <w:cantSplit/>
          <w:trHeight w:val="432"/>
          <w:jc w:val="center"/>
        </w:trPr>
        <w:tc>
          <w:tcPr>
            <w:tcW w:w="2160" w:type="dxa"/>
          </w:tcPr>
          <w:p w14:paraId="7609B433" w14:textId="01EC3578" w:rsidR="00E04B31" w:rsidRPr="00E04B31" w:rsidRDefault="00E04B31" w:rsidP="00E04B31">
            <w:pPr>
              <w:rPr>
                <w:rFonts w:eastAsia="Times New Roman" w:cs="Times New Roman"/>
                <w:szCs w:val="20"/>
              </w:rPr>
            </w:pPr>
            <w:r w:rsidRPr="00E04B31">
              <w:rPr>
                <w:rFonts w:eastAsia="Times New Roman" w:cs="Times New Roman"/>
                <w:szCs w:val="20"/>
              </w:rPr>
              <w:t>A3 – Development</w:t>
            </w:r>
          </w:p>
        </w:tc>
        <w:tc>
          <w:tcPr>
            <w:tcW w:w="1296" w:type="dxa"/>
          </w:tcPr>
          <w:p w14:paraId="6D52F52C" w14:textId="71C32B5C" w:rsidR="00E04B31" w:rsidRPr="00E04B31" w:rsidRDefault="00E04B31" w:rsidP="00E04B31">
            <w:pPr>
              <w:rPr>
                <w:rFonts w:eastAsia="Times New Roman" w:cs="Times New Roman"/>
                <w:szCs w:val="20"/>
              </w:rPr>
            </w:pPr>
            <w:r w:rsidRPr="00E04B31">
              <w:rPr>
                <w:rFonts w:eastAsia="Times New Roman" w:cs="Times New Roman"/>
                <w:szCs w:val="20"/>
              </w:rPr>
              <w:t>Pass</w:t>
            </w:r>
          </w:p>
        </w:tc>
        <w:tc>
          <w:tcPr>
            <w:tcW w:w="5616" w:type="dxa"/>
          </w:tcPr>
          <w:p w14:paraId="2294815D" w14:textId="6AA36007" w:rsidR="00E04B31" w:rsidRPr="00E04B31" w:rsidRDefault="00E04B31" w:rsidP="00E04B31">
            <w:pPr>
              <w:rPr>
                <w:rFonts w:ascii="Arial" w:eastAsia="Times New Roman" w:hAnsi="Arial" w:cs="Times New Roman"/>
                <w:color w:val="FF0000"/>
                <w:szCs w:val="20"/>
              </w:rPr>
            </w:pPr>
            <w:r w:rsidRPr="00E04B31">
              <w:rPr>
                <w:rFonts w:eastAsia="Times New Roman" w:cs="Times New Roman"/>
                <w:color w:val="auto"/>
                <w:szCs w:val="20"/>
              </w:rPr>
              <w:t xml:space="preserve">Watershed does not meet urban threshold </w:t>
            </w:r>
          </w:p>
        </w:tc>
      </w:tr>
    </w:tbl>
    <w:p w14:paraId="483DD9EC" w14:textId="77777777" w:rsidR="00785EB9" w:rsidRPr="00C31A63" w:rsidRDefault="00785EB9" w:rsidP="00785EB9">
      <w:pPr>
        <w:pStyle w:val="BodyText"/>
        <w:rPr>
          <w:highlight w:val="yellow"/>
        </w:rPr>
      </w:pPr>
    </w:p>
    <w:p w14:paraId="5A4FF4BD" w14:textId="454AA3B4" w:rsidR="00E209B0" w:rsidRPr="00B17393" w:rsidRDefault="00E209B0" w:rsidP="00E209B0">
      <w:pPr>
        <w:pStyle w:val="Heading3"/>
      </w:pPr>
      <w:bookmarkStart w:id="311" w:name="_Toc478072918"/>
      <w:bookmarkStart w:id="312" w:name="_Toc51846047"/>
      <w:bookmarkStart w:id="313" w:name="_Toc112877093"/>
      <w:r w:rsidRPr="00B17393">
        <w:t>Validation Check A4 – Check of Studies Backed by Technical Data</w:t>
      </w:r>
      <w:bookmarkEnd w:id="311"/>
      <w:bookmarkEnd w:id="312"/>
      <w:bookmarkEnd w:id="313"/>
    </w:p>
    <w:p w14:paraId="3B88847D" w14:textId="77777777" w:rsidR="00620F0E" w:rsidRPr="00620F0E" w:rsidRDefault="00620F0E" w:rsidP="00620F0E">
      <w:pPr>
        <w:pStyle w:val="2Body-Text"/>
        <w:rPr>
          <w:sz w:val="18"/>
          <w:szCs w:val="22"/>
        </w:rPr>
      </w:pPr>
      <w:r w:rsidRPr="00620F0E">
        <w:rPr>
          <w:sz w:val="18"/>
          <w:szCs w:val="22"/>
        </w:rPr>
        <w:t xml:space="preserve">Zone A studies that pass all initial assessment checks described above may be categorized as “Valid” in the CNMS Inventory only if the effective Zone A study is supported by modeling or sound engineering judgment and all regulatory products are in agreement.  If the effective Zone A study passes all initial assessment checks, but is not supported by modeling, or if the original engineering method used is unsupported or undocumented, a comparison of the BLE results and effective Zone A’s is performed. All streams in Yellow House Draw HUC-8 are not known to be model-backed and fail this check.   </w:t>
      </w:r>
    </w:p>
    <w:p w14:paraId="4E0A0901" w14:textId="54824FB8" w:rsidR="00BA7A78" w:rsidRPr="00DC368E" w:rsidRDefault="00DC368E" w:rsidP="00E209B0">
      <w:pPr>
        <w:pStyle w:val="Heading3"/>
      </w:pPr>
      <w:bookmarkStart w:id="314" w:name="_Toc112877094"/>
      <w:r w:rsidRPr="001F4E43">
        <w:t>Validation Check A5 – Comparison of BLE and Effective Zone A</w:t>
      </w:r>
      <w:bookmarkEnd w:id="314"/>
      <w:r w:rsidRPr="00DC368E">
        <w:t xml:space="preserve"> </w:t>
      </w:r>
    </w:p>
    <w:p w14:paraId="209611E3" w14:textId="77777777" w:rsidR="00DC368E" w:rsidRPr="00DC368E" w:rsidRDefault="00DC368E" w:rsidP="00DC368E">
      <w:pPr>
        <w:pStyle w:val="BodyText"/>
        <w:rPr>
          <w:rFonts w:eastAsia="Times New Roman"/>
          <w:szCs w:val="26"/>
        </w:rPr>
      </w:pPr>
      <w:r w:rsidRPr="00DC368E">
        <w:rPr>
          <w:rFonts w:eastAsia="Times New Roman"/>
          <w:szCs w:val="26"/>
        </w:rPr>
        <w:t>The BLE /effective Zone A comparison method leverages the existing Floodplain Boundary Standard (FBS) certification procedures described in FEMA SID 113, but with a slight modification.  This modified FBS comparison approach uses the 1-percent plus and 1-percent minus flood profiles and horizontal and vertical tolerances described in FEMA’s Automated Engineering guidance document dated May 2016. For the comparison of BLE and effective Zone A in the Texas study area, the following vertical and horizontal tolerances were used to conduct the modified FBS procedure. One point was placed every 200 feet along the floodplain boundaries for comparison.</w:t>
      </w:r>
    </w:p>
    <w:p w14:paraId="3838F14E" w14:textId="1B66CB5B" w:rsidR="00DC368E" w:rsidRPr="00DC368E" w:rsidRDefault="00DC368E" w:rsidP="00DC368E">
      <w:pPr>
        <w:pStyle w:val="BodyText"/>
        <w:numPr>
          <w:ilvl w:val="0"/>
          <w:numId w:val="33"/>
        </w:numPr>
        <w:rPr>
          <w:rFonts w:eastAsia="Times New Roman"/>
          <w:szCs w:val="26"/>
        </w:rPr>
      </w:pPr>
      <w:r w:rsidRPr="00DC368E">
        <w:rPr>
          <w:rFonts w:eastAsia="Times New Roman"/>
          <w:szCs w:val="26"/>
        </w:rPr>
        <w:t xml:space="preserve">Vertical Tolerance:  +/- </w:t>
      </w:r>
      <w:r w:rsidR="00547D95">
        <w:rPr>
          <w:rFonts w:eastAsia="Times New Roman"/>
          <w:szCs w:val="26"/>
        </w:rPr>
        <w:t xml:space="preserve">2.5 - </w:t>
      </w:r>
      <w:r w:rsidRPr="00DC368E">
        <w:rPr>
          <w:rFonts w:eastAsia="Times New Roman"/>
          <w:szCs w:val="26"/>
        </w:rPr>
        <w:t>5 feet (one-half contour interval of effective topographic source).</w:t>
      </w:r>
    </w:p>
    <w:p w14:paraId="7B8E0DE1" w14:textId="7CA29B6F" w:rsidR="00DC368E" w:rsidRPr="00DC368E" w:rsidRDefault="00DC368E" w:rsidP="00DC368E">
      <w:pPr>
        <w:pStyle w:val="BodyText"/>
        <w:numPr>
          <w:ilvl w:val="0"/>
          <w:numId w:val="33"/>
        </w:numPr>
        <w:rPr>
          <w:rFonts w:eastAsia="Times New Roman"/>
          <w:szCs w:val="26"/>
        </w:rPr>
      </w:pPr>
      <w:r w:rsidRPr="00DC368E">
        <w:rPr>
          <w:rFonts w:eastAsia="Times New Roman"/>
          <w:szCs w:val="26"/>
        </w:rPr>
        <w:t>Horizontal Tolerance:  +/- 75 feet (standard horizontal tolerance for BLE comparison testing).</w:t>
      </w:r>
    </w:p>
    <w:p w14:paraId="41641FA9" w14:textId="129D8001" w:rsidR="00DB3CFE" w:rsidRDefault="00DC368E" w:rsidP="00DC368E">
      <w:pPr>
        <w:pStyle w:val="BodyText"/>
        <w:rPr>
          <w:rFonts w:eastAsia="Times New Roman"/>
          <w:szCs w:val="26"/>
        </w:rPr>
      </w:pPr>
      <w:r w:rsidRPr="00DC368E">
        <w:rPr>
          <w:rFonts w:eastAsia="Times New Roman"/>
          <w:szCs w:val="26"/>
        </w:rPr>
        <w:t xml:space="preserve">Comparison results for thse streams were grouped at the HUC-12 level and are summarized in </w:t>
      </w:r>
      <w:r w:rsidR="007E3CB5">
        <w:rPr>
          <w:rFonts w:eastAsia="Times New Roman"/>
          <w:szCs w:val="26"/>
        </w:rPr>
        <w:fldChar w:fldCharType="begin"/>
      </w:r>
      <w:r w:rsidR="007E3CB5">
        <w:rPr>
          <w:rFonts w:eastAsia="Times New Roman"/>
          <w:szCs w:val="26"/>
        </w:rPr>
        <w:instrText xml:space="preserve"> REF _Ref495418479 \h </w:instrText>
      </w:r>
      <w:r w:rsidR="007E3CB5">
        <w:rPr>
          <w:rFonts w:eastAsia="Times New Roman"/>
          <w:szCs w:val="26"/>
        </w:rPr>
      </w:r>
      <w:r w:rsidR="007E3CB5">
        <w:rPr>
          <w:rFonts w:eastAsia="Times New Roman"/>
          <w:szCs w:val="26"/>
        </w:rPr>
        <w:fldChar w:fldCharType="separate"/>
      </w:r>
      <w:r w:rsidR="00C9792F" w:rsidRPr="007E3CB5">
        <w:t xml:space="preserve">Table </w:t>
      </w:r>
      <w:r w:rsidR="00C9792F">
        <w:rPr>
          <w:noProof/>
        </w:rPr>
        <w:t>12</w:t>
      </w:r>
      <w:r w:rsidR="007E3CB5">
        <w:rPr>
          <w:rFonts w:eastAsia="Times New Roman"/>
          <w:szCs w:val="26"/>
        </w:rPr>
        <w:fldChar w:fldCharType="end"/>
      </w:r>
      <w:r w:rsidRPr="00DC368E">
        <w:rPr>
          <w:rFonts w:eastAsia="Times New Roman"/>
          <w:szCs w:val="26"/>
        </w:rPr>
        <w:t xml:space="preserve"> to better understand the general health of the HUC-12 watershed, but the validation check was performed at the stream level. Streams where the percentage of passing FBS sample points is greater than or equal to 85% are marked as “Pass”, otherwise marked as “Fail”.</w:t>
      </w:r>
    </w:p>
    <w:p w14:paraId="61188927" w14:textId="36917795" w:rsidR="007E3CB5" w:rsidRDefault="007E3CB5" w:rsidP="007E3CB5">
      <w:pPr>
        <w:pStyle w:val="Caption"/>
        <w:jc w:val="center"/>
      </w:pPr>
      <w:bookmarkStart w:id="315" w:name="_Ref495418479"/>
      <w:bookmarkStart w:id="316" w:name="_Ref80561397"/>
      <w:bookmarkStart w:id="317" w:name="_Toc112877057"/>
      <w:r w:rsidRPr="007E3CB5">
        <w:t xml:space="preserve">Table </w:t>
      </w:r>
      <w:r w:rsidRPr="007E3CB5">
        <w:fldChar w:fldCharType="begin"/>
      </w:r>
      <w:r w:rsidRPr="007E3CB5">
        <w:instrText xml:space="preserve"> SEQ Table \* ARABIC </w:instrText>
      </w:r>
      <w:r w:rsidRPr="007E3CB5">
        <w:fldChar w:fldCharType="separate"/>
      </w:r>
      <w:r w:rsidR="00C9792F">
        <w:rPr>
          <w:noProof/>
        </w:rPr>
        <w:t>12</w:t>
      </w:r>
      <w:r w:rsidRPr="007E3CB5">
        <w:rPr>
          <w:noProof/>
        </w:rPr>
        <w:fldChar w:fldCharType="end"/>
      </w:r>
      <w:bookmarkEnd w:id="315"/>
      <w:r w:rsidRPr="007E3CB5">
        <w:t>: BLE Comparison Results</w:t>
      </w:r>
      <w:bookmarkEnd w:id="316"/>
      <w:bookmarkEnd w:id="317"/>
    </w:p>
    <w:tbl>
      <w:tblPr>
        <w:tblW w:w="9990" w:type="dxa"/>
        <w:jc w:val="center"/>
        <w:tblBorders>
          <w:top w:val="single" w:sz="4" w:space="0" w:color="3379BD"/>
          <w:left w:val="single" w:sz="4" w:space="0" w:color="3379BD"/>
          <w:bottom w:val="single" w:sz="4" w:space="0" w:color="3379BD"/>
          <w:right w:val="single" w:sz="4" w:space="0" w:color="3379BD"/>
          <w:insideH w:val="single" w:sz="4" w:space="0" w:color="3379BD"/>
          <w:insideV w:val="single" w:sz="4" w:space="0" w:color="3379BD"/>
        </w:tblBorders>
        <w:tblLayout w:type="fixed"/>
        <w:tblCellMar>
          <w:left w:w="30" w:type="dxa"/>
          <w:right w:w="30" w:type="dxa"/>
        </w:tblCellMar>
        <w:tblLook w:val="0000" w:firstRow="0" w:lastRow="0" w:firstColumn="0" w:lastColumn="0" w:noHBand="0" w:noVBand="0"/>
      </w:tblPr>
      <w:tblGrid>
        <w:gridCol w:w="2790"/>
        <w:gridCol w:w="1710"/>
        <w:gridCol w:w="810"/>
        <w:gridCol w:w="810"/>
        <w:gridCol w:w="810"/>
        <w:gridCol w:w="720"/>
        <w:gridCol w:w="1350"/>
        <w:gridCol w:w="990"/>
      </w:tblGrid>
      <w:tr w:rsidR="00DB51AA" w14:paraId="62796038" w14:textId="77777777" w:rsidTr="00BC6495">
        <w:trPr>
          <w:trHeight w:val="288"/>
          <w:jc w:val="center"/>
        </w:trPr>
        <w:tc>
          <w:tcPr>
            <w:tcW w:w="4500" w:type="dxa"/>
            <w:gridSpan w:val="2"/>
            <w:shd w:val="clear" w:color="auto" w:fill="00B5E2" w:themeFill="accent1"/>
            <w:vAlign w:val="center"/>
          </w:tcPr>
          <w:p w14:paraId="0EE9F6DB" w14:textId="77777777" w:rsidR="00DB51AA" w:rsidRPr="00DB51AA" w:rsidRDefault="00DB51AA" w:rsidP="00A40BB9">
            <w:pPr>
              <w:jc w:val="center"/>
              <w:rPr>
                <w:rFonts w:ascii="Calibri" w:hAnsi="Calibri"/>
                <w:b/>
                <w:color w:val="FFFFFF"/>
                <w:sz w:val="22"/>
                <w:szCs w:val="22"/>
              </w:rPr>
            </w:pPr>
            <w:r w:rsidRPr="00DB51AA">
              <w:rPr>
                <w:rFonts w:ascii="Calibri" w:hAnsi="Calibri"/>
                <w:b/>
                <w:color w:val="FFFFFF"/>
                <w:sz w:val="22"/>
                <w:szCs w:val="22"/>
              </w:rPr>
              <w:t>HUC-12 Watershed</w:t>
            </w:r>
          </w:p>
        </w:tc>
        <w:tc>
          <w:tcPr>
            <w:tcW w:w="810" w:type="dxa"/>
            <w:vMerge w:val="restart"/>
            <w:shd w:val="clear" w:color="auto" w:fill="00B5E2" w:themeFill="accent1"/>
            <w:vAlign w:val="center"/>
          </w:tcPr>
          <w:p w14:paraId="40AFF279" w14:textId="77777777" w:rsidR="00DB51AA" w:rsidRPr="00DB51AA" w:rsidRDefault="00DB51AA" w:rsidP="00A40BB9">
            <w:pPr>
              <w:jc w:val="center"/>
              <w:rPr>
                <w:rFonts w:ascii="Calibri" w:hAnsi="Calibri"/>
                <w:b/>
                <w:color w:val="FFFFFF"/>
                <w:sz w:val="22"/>
                <w:szCs w:val="22"/>
              </w:rPr>
            </w:pPr>
            <w:r w:rsidRPr="00DB51AA">
              <w:rPr>
                <w:rFonts w:ascii="Calibri" w:hAnsi="Calibri"/>
                <w:b/>
                <w:color w:val="FFFFFF"/>
                <w:sz w:val="22"/>
                <w:szCs w:val="22"/>
              </w:rPr>
              <w:t>Total FBS points</w:t>
            </w:r>
          </w:p>
        </w:tc>
        <w:tc>
          <w:tcPr>
            <w:tcW w:w="810" w:type="dxa"/>
            <w:vMerge w:val="restart"/>
            <w:shd w:val="clear" w:color="auto" w:fill="00B5E2" w:themeFill="accent1"/>
            <w:vAlign w:val="center"/>
          </w:tcPr>
          <w:p w14:paraId="38F5DE4E" w14:textId="77777777" w:rsidR="00DB51AA" w:rsidRPr="00DB51AA" w:rsidRDefault="00DB51AA" w:rsidP="00A40BB9">
            <w:pPr>
              <w:jc w:val="center"/>
              <w:rPr>
                <w:rFonts w:ascii="Calibri" w:hAnsi="Calibri"/>
                <w:b/>
                <w:color w:val="FFFFFF"/>
                <w:sz w:val="22"/>
                <w:szCs w:val="22"/>
              </w:rPr>
            </w:pPr>
            <w:r w:rsidRPr="00DB51AA">
              <w:rPr>
                <w:rFonts w:ascii="Calibri" w:hAnsi="Calibri"/>
                <w:b/>
                <w:color w:val="FFFFFF"/>
                <w:sz w:val="22"/>
                <w:szCs w:val="22"/>
              </w:rPr>
              <w:t>Fail</w:t>
            </w:r>
          </w:p>
        </w:tc>
        <w:tc>
          <w:tcPr>
            <w:tcW w:w="810" w:type="dxa"/>
            <w:vMerge w:val="restart"/>
            <w:shd w:val="clear" w:color="auto" w:fill="00B5E2" w:themeFill="accent1"/>
            <w:vAlign w:val="center"/>
          </w:tcPr>
          <w:p w14:paraId="4B5E21B7" w14:textId="77777777" w:rsidR="00DB51AA" w:rsidRPr="00DB51AA" w:rsidRDefault="00DB51AA" w:rsidP="00A40BB9">
            <w:pPr>
              <w:jc w:val="center"/>
              <w:rPr>
                <w:rFonts w:ascii="Calibri" w:hAnsi="Calibri"/>
                <w:b/>
                <w:color w:val="FFFFFF"/>
                <w:sz w:val="22"/>
                <w:szCs w:val="22"/>
              </w:rPr>
            </w:pPr>
            <w:r w:rsidRPr="00DB51AA">
              <w:rPr>
                <w:rFonts w:ascii="Calibri" w:hAnsi="Calibri"/>
                <w:b/>
                <w:color w:val="FFFFFF"/>
                <w:sz w:val="22"/>
                <w:szCs w:val="22"/>
              </w:rPr>
              <w:t>Pass</w:t>
            </w:r>
          </w:p>
        </w:tc>
        <w:tc>
          <w:tcPr>
            <w:tcW w:w="720" w:type="dxa"/>
            <w:vMerge w:val="restart"/>
            <w:shd w:val="clear" w:color="auto" w:fill="00B5E2" w:themeFill="accent1"/>
            <w:vAlign w:val="center"/>
          </w:tcPr>
          <w:p w14:paraId="754038FA" w14:textId="77777777" w:rsidR="00DB51AA" w:rsidRPr="00DB51AA" w:rsidRDefault="00DB51AA" w:rsidP="00A40BB9">
            <w:pPr>
              <w:jc w:val="center"/>
              <w:rPr>
                <w:rFonts w:ascii="Calibri" w:hAnsi="Calibri"/>
                <w:b/>
                <w:color w:val="FFFFFF"/>
                <w:sz w:val="22"/>
                <w:szCs w:val="22"/>
              </w:rPr>
            </w:pPr>
            <w:r w:rsidRPr="00DB51AA">
              <w:rPr>
                <w:rFonts w:ascii="Calibri" w:hAnsi="Calibri"/>
                <w:b/>
                <w:color w:val="FFFFFF"/>
                <w:sz w:val="22"/>
                <w:szCs w:val="22"/>
              </w:rPr>
              <w:t>%Pass</w:t>
            </w:r>
          </w:p>
        </w:tc>
        <w:tc>
          <w:tcPr>
            <w:tcW w:w="1350" w:type="dxa"/>
            <w:vMerge w:val="restart"/>
            <w:shd w:val="clear" w:color="auto" w:fill="00B5E2" w:themeFill="accent1"/>
            <w:vAlign w:val="center"/>
          </w:tcPr>
          <w:p w14:paraId="3BD6C44F" w14:textId="77777777" w:rsidR="00DB51AA" w:rsidRPr="00DB51AA" w:rsidRDefault="00DB51AA" w:rsidP="00A40BB9">
            <w:pPr>
              <w:jc w:val="center"/>
              <w:rPr>
                <w:rFonts w:ascii="Calibri" w:hAnsi="Calibri"/>
                <w:b/>
                <w:color w:val="FFFFFF"/>
                <w:sz w:val="22"/>
                <w:szCs w:val="22"/>
              </w:rPr>
            </w:pPr>
            <w:r w:rsidRPr="00DB51AA">
              <w:rPr>
                <w:rFonts w:ascii="Calibri" w:hAnsi="Calibri"/>
                <w:b/>
                <w:color w:val="FFFFFF"/>
                <w:sz w:val="22"/>
                <w:szCs w:val="22"/>
              </w:rPr>
              <w:t>BLE Comparison Pass? (&gt;85%)</w:t>
            </w:r>
          </w:p>
        </w:tc>
        <w:tc>
          <w:tcPr>
            <w:tcW w:w="990" w:type="dxa"/>
            <w:vMerge w:val="restart"/>
            <w:shd w:val="clear" w:color="auto" w:fill="00B5E2" w:themeFill="accent1"/>
            <w:vAlign w:val="center"/>
          </w:tcPr>
          <w:p w14:paraId="3935DD59" w14:textId="77777777" w:rsidR="00DB51AA" w:rsidRPr="00DB51AA" w:rsidRDefault="00DB51AA" w:rsidP="00A40BB9">
            <w:pPr>
              <w:jc w:val="center"/>
              <w:rPr>
                <w:rFonts w:ascii="Calibri" w:hAnsi="Calibri"/>
                <w:b/>
                <w:color w:val="FFFFFF"/>
                <w:sz w:val="22"/>
                <w:szCs w:val="22"/>
              </w:rPr>
            </w:pPr>
            <w:r w:rsidRPr="00DB51AA">
              <w:rPr>
                <w:rFonts w:ascii="Calibri" w:hAnsi="Calibri"/>
                <w:b/>
                <w:color w:val="FFFFFF"/>
                <w:sz w:val="22"/>
                <w:szCs w:val="22"/>
              </w:rPr>
              <w:t>Priority Score</w:t>
            </w:r>
          </w:p>
        </w:tc>
      </w:tr>
      <w:tr w:rsidR="00DB51AA" w14:paraId="205BA4DA" w14:textId="77777777" w:rsidTr="00BC6495">
        <w:trPr>
          <w:trHeight w:val="288"/>
          <w:jc w:val="center"/>
        </w:trPr>
        <w:tc>
          <w:tcPr>
            <w:tcW w:w="2790" w:type="dxa"/>
            <w:tcBorders>
              <w:bottom w:val="single" w:sz="4" w:space="0" w:color="3379BD"/>
            </w:tcBorders>
            <w:shd w:val="clear" w:color="auto" w:fill="00B5E2" w:themeFill="accent1"/>
          </w:tcPr>
          <w:p w14:paraId="656D29B8" w14:textId="77777777" w:rsidR="00DB51AA" w:rsidRPr="00DB51AA" w:rsidRDefault="00DB51AA" w:rsidP="00A40BB9">
            <w:pPr>
              <w:rPr>
                <w:rFonts w:ascii="Calibri" w:hAnsi="Calibri"/>
                <w:b/>
                <w:color w:val="FFFFFF"/>
                <w:sz w:val="22"/>
                <w:szCs w:val="22"/>
              </w:rPr>
            </w:pPr>
            <w:r w:rsidRPr="00DB51AA">
              <w:rPr>
                <w:rFonts w:ascii="Calibri" w:hAnsi="Calibri"/>
                <w:b/>
                <w:color w:val="FFFFFF"/>
                <w:sz w:val="22"/>
                <w:szCs w:val="22"/>
              </w:rPr>
              <w:t>Watershed Name</w:t>
            </w:r>
          </w:p>
        </w:tc>
        <w:tc>
          <w:tcPr>
            <w:tcW w:w="1710" w:type="dxa"/>
            <w:tcBorders>
              <w:bottom w:val="single" w:sz="4" w:space="0" w:color="3379BD"/>
            </w:tcBorders>
            <w:shd w:val="clear" w:color="auto" w:fill="00B5E2" w:themeFill="accent1"/>
          </w:tcPr>
          <w:p w14:paraId="27E66ED5" w14:textId="77777777" w:rsidR="00DB51AA" w:rsidRPr="00DB51AA" w:rsidRDefault="00DB51AA" w:rsidP="00A40BB9">
            <w:pPr>
              <w:rPr>
                <w:rFonts w:ascii="Calibri" w:hAnsi="Calibri"/>
                <w:b/>
                <w:color w:val="FFFFFF"/>
                <w:sz w:val="22"/>
                <w:szCs w:val="22"/>
              </w:rPr>
            </w:pPr>
            <w:r w:rsidRPr="00DB51AA">
              <w:rPr>
                <w:rFonts w:ascii="Calibri" w:hAnsi="Calibri"/>
                <w:b/>
                <w:color w:val="FFFFFF"/>
                <w:sz w:val="22"/>
                <w:szCs w:val="22"/>
              </w:rPr>
              <w:t>Watershed Number</w:t>
            </w:r>
          </w:p>
        </w:tc>
        <w:tc>
          <w:tcPr>
            <w:tcW w:w="810" w:type="dxa"/>
            <w:vMerge/>
            <w:tcBorders>
              <w:bottom w:val="single" w:sz="4" w:space="0" w:color="3379BD"/>
            </w:tcBorders>
            <w:shd w:val="clear" w:color="auto" w:fill="00B5E2" w:themeFill="accent1"/>
          </w:tcPr>
          <w:p w14:paraId="4E36A5F0" w14:textId="77777777" w:rsidR="00DB51AA" w:rsidRPr="009A3514" w:rsidRDefault="00DB51AA" w:rsidP="00A40BB9">
            <w:pPr>
              <w:jc w:val="right"/>
              <w:rPr>
                <w:rFonts w:ascii="Calibri" w:hAnsi="Calibri"/>
                <w:color w:val="FFFFFF"/>
                <w:sz w:val="22"/>
                <w:szCs w:val="22"/>
              </w:rPr>
            </w:pPr>
          </w:p>
        </w:tc>
        <w:tc>
          <w:tcPr>
            <w:tcW w:w="810" w:type="dxa"/>
            <w:vMerge/>
            <w:tcBorders>
              <w:bottom w:val="single" w:sz="4" w:space="0" w:color="3379BD"/>
            </w:tcBorders>
            <w:shd w:val="clear" w:color="auto" w:fill="00B5E2" w:themeFill="accent1"/>
          </w:tcPr>
          <w:p w14:paraId="2188C9BF" w14:textId="77777777" w:rsidR="00DB51AA" w:rsidRPr="009A3514" w:rsidRDefault="00DB51AA" w:rsidP="00A40BB9">
            <w:pPr>
              <w:jc w:val="center"/>
              <w:rPr>
                <w:rFonts w:ascii="Calibri" w:hAnsi="Calibri"/>
                <w:color w:val="FFFFFF"/>
                <w:sz w:val="22"/>
                <w:szCs w:val="22"/>
              </w:rPr>
            </w:pPr>
          </w:p>
        </w:tc>
        <w:tc>
          <w:tcPr>
            <w:tcW w:w="810" w:type="dxa"/>
            <w:vMerge/>
            <w:tcBorders>
              <w:bottom w:val="single" w:sz="4" w:space="0" w:color="3379BD"/>
            </w:tcBorders>
            <w:shd w:val="clear" w:color="auto" w:fill="00B5E2" w:themeFill="accent1"/>
          </w:tcPr>
          <w:p w14:paraId="17B06AE6" w14:textId="77777777" w:rsidR="00DB51AA" w:rsidRPr="009A3514" w:rsidRDefault="00DB51AA" w:rsidP="00A40BB9">
            <w:pPr>
              <w:jc w:val="center"/>
              <w:rPr>
                <w:rFonts w:ascii="Calibri" w:hAnsi="Calibri"/>
                <w:color w:val="FFFFFF"/>
                <w:sz w:val="22"/>
                <w:szCs w:val="22"/>
              </w:rPr>
            </w:pPr>
          </w:p>
        </w:tc>
        <w:tc>
          <w:tcPr>
            <w:tcW w:w="720" w:type="dxa"/>
            <w:vMerge/>
            <w:tcBorders>
              <w:bottom w:val="single" w:sz="4" w:space="0" w:color="3379BD"/>
            </w:tcBorders>
            <w:shd w:val="clear" w:color="auto" w:fill="00B5E2" w:themeFill="accent1"/>
          </w:tcPr>
          <w:p w14:paraId="6601AA1B" w14:textId="77777777" w:rsidR="00DB51AA" w:rsidRPr="009A3514" w:rsidRDefault="00DB51AA" w:rsidP="00A40BB9">
            <w:pPr>
              <w:jc w:val="center"/>
              <w:rPr>
                <w:rFonts w:ascii="Calibri" w:hAnsi="Calibri"/>
                <w:color w:val="FFFFFF"/>
                <w:sz w:val="22"/>
                <w:szCs w:val="22"/>
              </w:rPr>
            </w:pPr>
          </w:p>
        </w:tc>
        <w:tc>
          <w:tcPr>
            <w:tcW w:w="1350" w:type="dxa"/>
            <w:vMerge/>
            <w:tcBorders>
              <w:bottom w:val="single" w:sz="4" w:space="0" w:color="3379BD"/>
            </w:tcBorders>
            <w:shd w:val="clear" w:color="auto" w:fill="00B5E2" w:themeFill="accent1"/>
          </w:tcPr>
          <w:p w14:paraId="68E7C29F" w14:textId="77777777" w:rsidR="00DB51AA" w:rsidRPr="009A3514" w:rsidRDefault="00DB51AA" w:rsidP="00A40BB9">
            <w:pPr>
              <w:jc w:val="center"/>
              <w:rPr>
                <w:rFonts w:ascii="Calibri" w:hAnsi="Calibri"/>
                <w:color w:val="FFFFFF"/>
                <w:sz w:val="22"/>
                <w:szCs w:val="22"/>
              </w:rPr>
            </w:pPr>
          </w:p>
        </w:tc>
        <w:tc>
          <w:tcPr>
            <w:tcW w:w="990" w:type="dxa"/>
            <w:vMerge/>
            <w:tcBorders>
              <w:bottom w:val="single" w:sz="4" w:space="0" w:color="3379BD"/>
            </w:tcBorders>
            <w:shd w:val="clear" w:color="auto" w:fill="00B5E2" w:themeFill="accent1"/>
          </w:tcPr>
          <w:p w14:paraId="1E222E6C" w14:textId="77777777" w:rsidR="00DB51AA" w:rsidRPr="009A3514" w:rsidRDefault="00DB51AA" w:rsidP="00A40BB9">
            <w:pPr>
              <w:jc w:val="center"/>
              <w:rPr>
                <w:rFonts w:ascii="Calibri" w:hAnsi="Calibri"/>
                <w:color w:val="FFFFFF"/>
                <w:sz w:val="22"/>
                <w:szCs w:val="22"/>
              </w:rPr>
            </w:pPr>
          </w:p>
        </w:tc>
      </w:tr>
      <w:tr w:rsidR="00574955" w:rsidRPr="00F05AAD" w14:paraId="28021AB7" w14:textId="77777777" w:rsidTr="009B5454">
        <w:trPr>
          <w:trHeight w:val="413"/>
          <w:jc w:val="center"/>
        </w:trPr>
        <w:tc>
          <w:tcPr>
            <w:tcW w:w="2790" w:type="dxa"/>
            <w:shd w:val="clear" w:color="auto" w:fill="D9D9D9" w:themeFill="background1" w:themeFillShade="D9"/>
            <w:vAlign w:val="center"/>
          </w:tcPr>
          <w:p w14:paraId="76CFFAD6" w14:textId="65B0C86F" w:rsidR="00574955" w:rsidRPr="00FD1616" w:rsidRDefault="00FD1616" w:rsidP="000D3E11">
            <w:pPr>
              <w:tabs>
                <w:tab w:val="clear" w:pos="284"/>
              </w:tabs>
              <w:autoSpaceDE w:val="0"/>
              <w:autoSpaceDN w:val="0"/>
              <w:adjustRightInd w:val="0"/>
              <w:spacing w:line="240" w:lineRule="auto"/>
              <w:rPr>
                <w:rFonts w:ascii="Calibri" w:hAnsi="Calibri" w:cs="Calibri"/>
                <w:color w:val="000000"/>
                <w:kern w:val="0"/>
                <w:sz w:val="21"/>
                <w:szCs w:val="21"/>
              </w:rPr>
            </w:pPr>
            <w:r w:rsidRPr="00FD1616">
              <w:rPr>
                <w:rFonts w:ascii="Calibri" w:eastAsia="Times New Roman" w:hAnsi="Calibri" w:cs="Calibri"/>
                <w:color w:val="000000"/>
                <w:sz w:val="21"/>
                <w:szCs w:val="21"/>
              </w:rPr>
              <w:t>Yellow House Draw</w:t>
            </w:r>
            <w:r w:rsidR="00574955" w:rsidRPr="00FD1616">
              <w:rPr>
                <w:rFonts w:ascii="Calibri" w:eastAsia="Times New Roman" w:hAnsi="Calibri" w:cs="Calibri"/>
                <w:color w:val="000000"/>
                <w:sz w:val="21"/>
                <w:szCs w:val="21"/>
              </w:rPr>
              <w:t xml:space="preserve"> Watershed</w:t>
            </w:r>
          </w:p>
        </w:tc>
        <w:tc>
          <w:tcPr>
            <w:tcW w:w="1710" w:type="dxa"/>
            <w:shd w:val="clear" w:color="auto" w:fill="D9D9D9" w:themeFill="background1" w:themeFillShade="D9"/>
            <w:vAlign w:val="center"/>
          </w:tcPr>
          <w:p w14:paraId="23D6D410" w14:textId="46254128" w:rsidR="00574955" w:rsidRPr="00574955" w:rsidRDefault="00574955" w:rsidP="000D3E11">
            <w:pPr>
              <w:tabs>
                <w:tab w:val="clear" w:pos="284"/>
              </w:tabs>
              <w:autoSpaceDE w:val="0"/>
              <w:autoSpaceDN w:val="0"/>
              <w:adjustRightInd w:val="0"/>
              <w:spacing w:line="240" w:lineRule="auto"/>
              <w:jc w:val="center"/>
              <w:rPr>
                <w:rFonts w:ascii="Calibri" w:hAnsi="Calibri" w:cs="Calibri"/>
                <w:color w:val="000000"/>
                <w:kern w:val="0"/>
                <w:sz w:val="22"/>
                <w:szCs w:val="22"/>
              </w:rPr>
            </w:pPr>
            <w:r w:rsidRPr="00574955">
              <w:rPr>
                <w:rFonts w:ascii="Calibri" w:eastAsia="Times New Roman" w:hAnsi="Calibri" w:cs="Calibri"/>
                <w:color w:val="000000"/>
                <w:sz w:val="22"/>
                <w:szCs w:val="22"/>
              </w:rPr>
              <w:t>All Streams</w:t>
            </w:r>
          </w:p>
        </w:tc>
        <w:tc>
          <w:tcPr>
            <w:tcW w:w="810" w:type="dxa"/>
            <w:shd w:val="clear" w:color="auto" w:fill="D9D9D9" w:themeFill="background1" w:themeFillShade="D9"/>
            <w:vAlign w:val="center"/>
          </w:tcPr>
          <w:p w14:paraId="03922815" w14:textId="6C3847CD" w:rsidR="00574955" w:rsidRPr="00574955" w:rsidRDefault="00FD1616" w:rsidP="005D2004">
            <w:pPr>
              <w:jc w:val="center"/>
              <w:rPr>
                <w:rFonts w:ascii="Calibri" w:hAnsi="Calibri" w:cs="Arial"/>
                <w:sz w:val="22"/>
                <w:szCs w:val="22"/>
              </w:rPr>
            </w:pPr>
            <w:r>
              <w:rPr>
                <w:rFonts w:ascii="Arial" w:hAnsi="Arial" w:cs="Arial"/>
                <w:sz w:val="20"/>
                <w:szCs w:val="20"/>
              </w:rPr>
              <w:t>19,374</w:t>
            </w:r>
          </w:p>
        </w:tc>
        <w:tc>
          <w:tcPr>
            <w:tcW w:w="810" w:type="dxa"/>
            <w:shd w:val="clear" w:color="auto" w:fill="D9D9D9" w:themeFill="background1" w:themeFillShade="D9"/>
            <w:vAlign w:val="center"/>
          </w:tcPr>
          <w:p w14:paraId="19185EEF" w14:textId="73F660F9" w:rsidR="00574955" w:rsidRPr="00574955" w:rsidRDefault="00FD1616" w:rsidP="005D2004">
            <w:pPr>
              <w:jc w:val="center"/>
              <w:rPr>
                <w:rFonts w:ascii="Calibri" w:hAnsi="Calibri" w:cs="Arial"/>
                <w:sz w:val="22"/>
                <w:szCs w:val="22"/>
              </w:rPr>
            </w:pPr>
            <w:r>
              <w:rPr>
                <w:rFonts w:ascii="Arial" w:hAnsi="Arial" w:cs="Arial"/>
                <w:sz w:val="20"/>
                <w:szCs w:val="20"/>
              </w:rPr>
              <w:t>5,271</w:t>
            </w:r>
          </w:p>
        </w:tc>
        <w:tc>
          <w:tcPr>
            <w:tcW w:w="810" w:type="dxa"/>
            <w:shd w:val="clear" w:color="auto" w:fill="D9D9D9" w:themeFill="background1" w:themeFillShade="D9"/>
            <w:vAlign w:val="center"/>
          </w:tcPr>
          <w:p w14:paraId="56FEBE3B" w14:textId="0373CE08" w:rsidR="00574955" w:rsidRPr="00574955" w:rsidRDefault="00FD1616" w:rsidP="005D2004">
            <w:pPr>
              <w:jc w:val="center"/>
              <w:rPr>
                <w:rFonts w:ascii="Calibri" w:hAnsi="Calibri" w:cs="Arial"/>
                <w:sz w:val="22"/>
                <w:szCs w:val="22"/>
              </w:rPr>
            </w:pPr>
            <w:r>
              <w:rPr>
                <w:rFonts w:ascii="Arial" w:hAnsi="Arial" w:cs="Arial"/>
                <w:sz w:val="20"/>
                <w:szCs w:val="20"/>
              </w:rPr>
              <w:t>14,103</w:t>
            </w:r>
          </w:p>
        </w:tc>
        <w:tc>
          <w:tcPr>
            <w:tcW w:w="720" w:type="dxa"/>
            <w:shd w:val="clear" w:color="auto" w:fill="D9D9D9" w:themeFill="background1" w:themeFillShade="D9"/>
            <w:vAlign w:val="center"/>
          </w:tcPr>
          <w:p w14:paraId="05D4BB3F" w14:textId="5ED0A974" w:rsidR="00574955" w:rsidRPr="00574955" w:rsidRDefault="00FD1616" w:rsidP="005D2004">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0"/>
                <w:szCs w:val="20"/>
              </w:rPr>
              <w:t>73</w:t>
            </w:r>
            <w:r w:rsidR="00574955" w:rsidRPr="00574955">
              <w:rPr>
                <w:rFonts w:ascii="Calibri" w:hAnsi="Calibri" w:cs="Arial"/>
                <w:sz w:val="20"/>
                <w:szCs w:val="20"/>
              </w:rPr>
              <w:t>%</w:t>
            </w:r>
          </w:p>
        </w:tc>
        <w:tc>
          <w:tcPr>
            <w:tcW w:w="1350" w:type="dxa"/>
            <w:shd w:val="clear" w:color="auto" w:fill="D9D9D9" w:themeFill="background1" w:themeFillShade="D9"/>
            <w:vAlign w:val="center"/>
          </w:tcPr>
          <w:p w14:paraId="4D20233F" w14:textId="09443AF1" w:rsidR="00574955" w:rsidRPr="00574955" w:rsidRDefault="00FD1616" w:rsidP="000D3E11">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eastAsia="Times New Roman" w:hAnsi="Calibri" w:cs="Calibri"/>
                <w:color w:val="000000"/>
                <w:sz w:val="22"/>
                <w:szCs w:val="22"/>
              </w:rPr>
              <w:t>Fail</w:t>
            </w:r>
          </w:p>
        </w:tc>
        <w:tc>
          <w:tcPr>
            <w:tcW w:w="990" w:type="dxa"/>
            <w:shd w:val="clear" w:color="auto" w:fill="D9D9D9" w:themeFill="background1" w:themeFillShade="D9"/>
            <w:vAlign w:val="center"/>
          </w:tcPr>
          <w:p w14:paraId="64F50D0A" w14:textId="551BE664" w:rsidR="00574955" w:rsidRPr="00F05AAD" w:rsidRDefault="00574955" w:rsidP="000D3E11">
            <w:pPr>
              <w:tabs>
                <w:tab w:val="clear" w:pos="284"/>
              </w:tabs>
              <w:autoSpaceDE w:val="0"/>
              <w:autoSpaceDN w:val="0"/>
              <w:adjustRightInd w:val="0"/>
              <w:spacing w:line="240" w:lineRule="auto"/>
              <w:rPr>
                <w:rFonts w:ascii="Calibri" w:hAnsi="Calibri" w:cs="Calibri"/>
                <w:color w:val="000000"/>
                <w:kern w:val="0"/>
                <w:sz w:val="22"/>
                <w:szCs w:val="22"/>
                <w:highlight w:val="green"/>
              </w:rPr>
            </w:pPr>
          </w:p>
        </w:tc>
      </w:tr>
      <w:tr w:rsidR="00FD1616" w:rsidRPr="00F05AAD" w14:paraId="6C92CE34" w14:textId="77777777" w:rsidTr="00574955">
        <w:trPr>
          <w:trHeight w:val="288"/>
          <w:jc w:val="center"/>
        </w:trPr>
        <w:tc>
          <w:tcPr>
            <w:tcW w:w="2790" w:type="dxa"/>
            <w:tcBorders>
              <w:bottom w:val="single" w:sz="4" w:space="0" w:color="3379BD"/>
            </w:tcBorders>
            <w:vAlign w:val="center"/>
          </w:tcPr>
          <w:p w14:paraId="73C7AF66" w14:textId="71F23443" w:rsidR="00FD1616" w:rsidRPr="00F05AAD" w:rsidRDefault="00FD1616" w:rsidP="005D2004">
            <w:pPr>
              <w:tabs>
                <w:tab w:val="clear" w:pos="284"/>
              </w:tabs>
              <w:autoSpaceDE w:val="0"/>
              <w:autoSpaceDN w:val="0"/>
              <w:adjustRightInd w:val="0"/>
              <w:spacing w:line="240" w:lineRule="auto"/>
              <w:rPr>
                <w:rFonts w:ascii="Calibri" w:hAnsi="Calibri" w:cs="Calibri"/>
                <w:color w:val="000000"/>
                <w:kern w:val="0"/>
                <w:sz w:val="22"/>
                <w:szCs w:val="22"/>
                <w:highlight w:val="green"/>
              </w:rPr>
            </w:pPr>
            <w:r>
              <w:rPr>
                <w:rFonts w:ascii="Calibri" w:hAnsi="Calibri" w:cs="Arial"/>
                <w:sz w:val="20"/>
                <w:szCs w:val="20"/>
              </w:rPr>
              <w:t>County Line Church</w:t>
            </w:r>
          </w:p>
        </w:tc>
        <w:tc>
          <w:tcPr>
            <w:tcW w:w="1710" w:type="dxa"/>
            <w:tcBorders>
              <w:bottom w:val="single" w:sz="4" w:space="0" w:color="3379BD"/>
            </w:tcBorders>
            <w:vAlign w:val="center"/>
          </w:tcPr>
          <w:p w14:paraId="4EA0E2DA" w14:textId="6F40B69F" w:rsidR="00FD1616" w:rsidRPr="00F05AAD" w:rsidRDefault="00FD1616" w:rsidP="005D2004">
            <w:pPr>
              <w:tabs>
                <w:tab w:val="clear" w:pos="284"/>
              </w:tabs>
              <w:autoSpaceDE w:val="0"/>
              <w:autoSpaceDN w:val="0"/>
              <w:adjustRightInd w:val="0"/>
              <w:spacing w:line="240" w:lineRule="auto"/>
              <w:jc w:val="center"/>
              <w:rPr>
                <w:rFonts w:ascii="Calibri" w:hAnsi="Calibri" w:cs="Calibri"/>
                <w:color w:val="000000"/>
                <w:kern w:val="0"/>
                <w:sz w:val="22"/>
                <w:szCs w:val="22"/>
                <w:highlight w:val="green"/>
              </w:rPr>
            </w:pPr>
            <w:r>
              <w:rPr>
                <w:rFonts w:ascii="Calibri" w:hAnsi="Calibri" w:cs="Arial"/>
                <w:sz w:val="20"/>
                <w:szCs w:val="20"/>
              </w:rPr>
              <w:t>120500010804</w:t>
            </w:r>
          </w:p>
        </w:tc>
        <w:tc>
          <w:tcPr>
            <w:tcW w:w="810" w:type="dxa"/>
            <w:tcBorders>
              <w:bottom w:val="single" w:sz="4" w:space="0" w:color="3379BD"/>
            </w:tcBorders>
            <w:vAlign w:val="center"/>
          </w:tcPr>
          <w:p w14:paraId="0D2B9659" w14:textId="598FDCC9" w:rsidR="00FD1616" w:rsidRPr="00F05AAD" w:rsidRDefault="00FD1616" w:rsidP="00A40BB9">
            <w:pPr>
              <w:tabs>
                <w:tab w:val="clear" w:pos="284"/>
              </w:tabs>
              <w:autoSpaceDE w:val="0"/>
              <w:autoSpaceDN w:val="0"/>
              <w:adjustRightInd w:val="0"/>
              <w:spacing w:line="240" w:lineRule="auto"/>
              <w:jc w:val="center"/>
              <w:rPr>
                <w:rFonts w:ascii="Calibri" w:hAnsi="Calibri" w:cs="Calibri"/>
                <w:color w:val="000000"/>
                <w:kern w:val="0"/>
                <w:sz w:val="22"/>
                <w:szCs w:val="22"/>
                <w:highlight w:val="green"/>
              </w:rPr>
            </w:pPr>
            <w:r>
              <w:rPr>
                <w:rFonts w:ascii="Calibri" w:hAnsi="Calibri" w:cs="Arial"/>
                <w:sz w:val="20"/>
                <w:szCs w:val="20"/>
              </w:rPr>
              <w:t>55</w:t>
            </w:r>
          </w:p>
        </w:tc>
        <w:tc>
          <w:tcPr>
            <w:tcW w:w="810" w:type="dxa"/>
            <w:tcBorders>
              <w:bottom w:val="single" w:sz="4" w:space="0" w:color="3379BD"/>
            </w:tcBorders>
            <w:vAlign w:val="center"/>
          </w:tcPr>
          <w:p w14:paraId="5C337CF1" w14:textId="0886203E" w:rsidR="00FD1616" w:rsidRPr="00F05AAD" w:rsidRDefault="00FD1616" w:rsidP="00A40BB9">
            <w:pPr>
              <w:tabs>
                <w:tab w:val="clear" w:pos="284"/>
              </w:tabs>
              <w:autoSpaceDE w:val="0"/>
              <w:autoSpaceDN w:val="0"/>
              <w:adjustRightInd w:val="0"/>
              <w:spacing w:line="240" w:lineRule="auto"/>
              <w:jc w:val="center"/>
              <w:rPr>
                <w:rFonts w:ascii="Calibri" w:hAnsi="Calibri" w:cs="Calibri"/>
                <w:color w:val="000000"/>
                <w:kern w:val="0"/>
                <w:sz w:val="22"/>
                <w:szCs w:val="22"/>
                <w:highlight w:val="green"/>
              </w:rPr>
            </w:pPr>
            <w:r>
              <w:rPr>
                <w:rFonts w:ascii="Calibri" w:hAnsi="Calibri" w:cs="Arial"/>
                <w:sz w:val="20"/>
                <w:szCs w:val="20"/>
              </w:rPr>
              <w:t>14</w:t>
            </w:r>
          </w:p>
        </w:tc>
        <w:tc>
          <w:tcPr>
            <w:tcW w:w="810" w:type="dxa"/>
            <w:tcBorders>
              <w:bottom w:val="single" w:sz="4" w:space="0" w:color="3379BD"/>
            </w:tcBorders>
            <w:vAlign w:val="center"/>
          </w:tcPr>
          <w:p w14:paraId="3E4D14A0" w14:textId="4A6891CC" w:rsidR="00FD1616" w:rsidRPr="00F05AAD" w:rsidRDefault="00FD1616" w:rsidP="00A40BB9">
            <w:pPr>
              <w:tabs>
                <w:tab w:val="clear" w:pos="284"/>
              </w:tabs>
              <w:autoSpaceDE w:val="0"/>
              <w:autoSpaceDN w:val="0"/>
              <w:adjustRightInd w:val="0"/>
              <w:spacing w:line="240" w:lineRule="auto"/>
              <w:jc w:val="center"/>
              <w:rPr>
                <w:rFonts w:ascii="Calibri" w:hAnsi="Calibri" w:cs="Calibri"/>
                <w:color w:val="000000"/>
                <w:kern w:val="0"/>
                <w:sz w:val="22"/>
                <w:szCs w:val="22"/>
                <w:highlight w:val="green"/>
              </w:rPr>
            </w:pPr>
            <w:r>
              <w:rPr>
                <w:rFonts w:ascii="Calibri" w:hAnsi="Calibri" w:cs="Arial"/>
                <w:sz w:val="20"/>
                <w:szCs w:val="20"/>
              </w:rPr>
              <w:t>41</w:t>
            </w:r>
          </w:p>
        </w:tc>
        <w:tc>
          <w:tcPr>
            <w:tcW w:w="720" w:type="dxa"/>
            <w:tcBorders>
              <w:bottom w:val="single" w:sz="4" w:space="0" w:color="3379BD"/>
            </w:tcBorders>
            <w:vAlign w:val="center"/>
          </w:tcPr>
          <w:p w14:paraId="2E1D0742" w14:textId="383408A4" w:rsidR="00FD1616" w:rsidRPr="00F05AAD" w:rsidRDefault="00FD1616" w:rsidP="00A40BB9">
            <w:pPr>
              <w:tabs>
                <w:tab w:val="clear" w:pos="284"/>
              </w:tabs>
              <w:autoSpaceDE w:val="0"/>
              <w:autoSpaceDN w:val="0"/>
              <w:adjustRightInd w:val="0"/>
              <w:spacing w:line="240" w:lineRule="auto"/>
              <w:jc w:val="center"/>
              <w:rPr>
                <w:rFonts w:ascii="Calibri" w:hAnsi="Calibri" w:cs="Calibri"/>
                <w:color w:val="000000"/>
                <w:kern w:val="0"/>
                <w:sz w:val="22"/>
                <w:szCs w:val="22"/>
                <w:highlight w:val="green"/>
              </w:rPr>
            </w:pPr>
            <w:r>
              <w:rPr>
                <w:rFonts w:ascii="Calibri" w:hAnsi="Calibri" w:cs="Arial"/>
                <w:sz w:val="20"/>
                <w:szCs w:val="20"/>
              </w:rPr>
              <w:t>75%</w:t>
            </w:r>
          </w:p>
        </w:tc>
        <w:tc>
          <w:tcPr>
            <w:tcW w:w="1350" w:type="dxa"/>
            <w:tcBorders>
              <w:bottom w:val="single" w:sz="4" w:space="0" w:color="3379BD"/>
            </w:tcBorders>
            <w:vAlign w:val="center"/>
          </w:tcPr>
          <w:p w14:paraId="2AAC2D3E" w14:textId="09A86FE8" w:rsidR="00FD1616" w:rsidRPr="00F05AAD" w:rsidRDefault="00FD1616" w:rsidP="00A40BB9">
            <w:pPr>
              <w:tabs>
                <w:tab w:val="clear" w:pos="284"/>
              </w:tabs>
              <w:autoSpaceDE w:val="0"/>
              <w:autoSpaceDN w:val="0"/>
              <w:adjustRightInd w:val="0"/>
              <w:spacing w:line="240" w:lineRule="auto"/>
              <w:jc w:val="center"/>
              <w:rPr>
                <w:rFonts w:ascii="Calibri" w:hAnsi="Calibri" w:cs="Calibri"/>
                <w:color w:val="000000"/>
                <w:kern w:val="0"/>
                <w:sz w:val="22"/>
                <w:szCs w:val="22"/>
                <w:highlight w:val="green"/>
              </w:rPr>
            </w:pPr>
            <w:r>
              <w:rPr>
                <w:rFonts w:ascii="Calibri" w:hAnsi="Calibri" w:cs="Arial"/>
                <w:sz w:val="20"/>
                <w:szCs w:val="20"/>
              </w:rPr>
              <w:t>Fail</w:t>
            </w:r>
          </w:p>
        </w:tc>
        <w:tc>
          <w:tcPr>
            <w:tcW w:w="990" w:type="dxa"/>
            <w:tcBorders>
              <w:bottom w:val="single" w:sz="4" w:space="0" w:color="3379BD"/>
            </w:tcBorders>
            <w:vAlign w:val="center"/>
          </w:tcPr>
          <w:p w14:paraId="2A507B31" w14:textId="491BB0F0" w:rsidR="00FD1616" w:rsidRPr="00F05AAD" w:rsidRDefault="00FD1616" w:rsidP="00A40BB9">
            <w:pPr>
              <w:tabs>
                <w:tab w:val="clear" w:pos="284"/>
              </w:tabs>
              <w:autoSpaceDE w:val="0"/>
              <w:autoSpaceDN w:val="0"/>
              <w:adjustRightInd w:val="0"/>
              <w:spacing w:line="240" w:lineRule="auto"/>
              <w:jc w:val="center"/>
              <w:rPr>
                <w:rFonts w:ascii="Calibri" w:hAnsi="Calibri" w:cs="Calibri"/>
                <w:color w:val="000000"/>
                <w:kern w:val="0"/>
                <w:sz w:val="22"/>
                <w:szCs w:val="22"/>
                <w:highlight w:val="green"/>
              </w:rPr>
            </w:pPr>
            <w:r>
              <w:rPr>
                <w:rFonts w:ascii="Calibri" w:hAnsi="Calibri" w:cs="Arial"/>
                <w:sz w:val="20"/>
                <w:szCs w:val="20"/>
              </w:rPr>
              <w:t>6.4</w:t>
            </w:r>
          </w:p>
        </w:tc>
      </w:tr>
      <w:tr w:rsidR="00FD1616" w:rsidRPr="00F05AAD" w14:paraId="5041F084" w14:textId="77777777" w:rsidTr="009B5454">
        <w:trPr>
          <w:trHeight w:val="288"/>
          <w:jc w:val="center"/>
        </w:trPr>
        <w:tc>
          <w:tcPr>
            <w:tcW w:w="2790" w:type="dxa"/>
            <w:tcBorders>
              <w:bottom w:val="single" w:sz="4" w:space="0" w:color="3379BD"/>
            </w:tcBorders>
            <w:shd w:val="clear" w:color="auto" w:fill="D9D9D9" w:themeFill="background1" w:themeFillShade="D9"/>
            <w:vAlign w:val="center"/>
          </w:tcPr>
          <w:p w14:paraId="551C5189" w14:textId="649F22A4" w:rsidR="00FD1616" w:rsidRPr="00F05AAD" w:rsidRDefault="00FD1616" w:rsidP="00574955">
            <w:pPr>
              <w:tabs>
                <w:tab w:val="clear" w:pos="284"/>
              </w:tabs>
              <w:autoSpaceDE w:val="0"/>
              <w:autoSpaceDN w:val="0"/>
              <w:adjustRightInd w:val="0"/>
              <w:spacing w:line="240" w:lineRule="auto"/>
              <w:rPr>
                <w:rFonts w:ascii="Calibri" w:hAnsi="Calibri" w:cs="Calibri"/>
                <w:color w:val="000000"/>
                <w:kern w:val="0"/>
                <w:sz w:val="22"/>
                <w:szCs w:val="22"/>
                <w:highlight w:val="green"/>
              </w:rPr>
            </w:pPr>
            <w:r>
              <w:rPr>
                <w:rFonts w:ascii="Calibri" w:hAnsi="Calibri" w:cs="Arial"/>
                <w:sz w:val="20"/>
                <w:szCs w:val="20"/>
              </w:rPr>
              <w:t>Silver Lake</w:t>
            </w:r>
          </w:p>
        </w:tc>
        <w:tc>
          <w:tcPr>
            <w:tcW w:w="1710" w:type="dxa"/>
            <w:tcBorders>
              <w:bottom w:val="single" w:sz="4" w:space="0" w:color="3379BD"/>
            </w:tcBorders>
            <w:shd w:val="clear" w:color="auto" w:fill="D9D9D9" w:themeFill="background1" w:themeFillShade="D9"/>
            <w:vAlign w:val="center"/>
          </w:tcPr>
          <w:p w14:paraId="3A70DA00" w14:textId="6441FF43" w:rsidR="00FD1616" w:rsidRPr="00F05AAD" w:rsidRDefault="00FD1616" w:rsidP="00574955">
            <w:pPr>
              <w:tabs>
                <w:tab w:val="clear" w:pos="284"/>
              </w:tabs>
              <w:autoSpaceDE w:val="0"/>
              <w:autoSpaceDN w:val="0"/>
              <w:adjustRightInd w:val="0"/>
              <w:spacing w:line="240" w:lineRule="auto"/>
              <w:jc w:val="center"/>
              <w:rPr>
                <w:rFonts w:ascii="Calibri" w:hAnsi="Calibri" w:cs="Calibri"/>
                <w:color w:val="000000"/>
                <w:kern w:val="0"/>
                <w:sz w:val="22"/>
                <w:szCs w:val="22"/>
                <w:highlight w:val="green"/>
              </w:rPr>
            </w:pPr>
            <w:r>
              <w:rPr>
                <w:rFonts w:ascii="Calibri" w:hAnsi="Calibri" w:cs="Arial"/>
                <w:sz w:val="20"/>
                <w:szCs w:val="20"/>
              </w:rPr>
              <w:t>120500010805</w:t>
            </w:r>
          </w:p>
        </w:tc>
        <w:tc>
          <w:tcPr>
            <w:tcW w:w="810" w:type="dxa"/>
            <w:tcBorders>
              <w:bottom w:val="single" w:sz="4" w:space="0" w:color="3379BD"/>
            </w:tcBorders>
            <w:shd w:val="clear" w:color="auto" w:fill="D9D9D9" w:themeFill="background1" w:themeFillShade="D9"/>
            <w:vAlign w:val="center"/>
          </w:tcPr>
          <w:p w14:paraId="1667F4B0" w14:textId="0B6A74B6" w:rsidR="00FD1616" w:rsidRPr="00F05AAD" w:rsidRDefault="00FD1616" w:rsidP="00574955">
            <w:pPr>
              <w:tabs>
                <w:tab w:val="clear" w:pos="284"/>
              </w:tabs>
              <w:autoSpaceDE w:val="0"/>
              <w:autoSpaceDN w:val="0"/>
              <w:adjustRightInd w:val="0"/>
              <w:spacing w:line="240" w:lineRule="auto"/>
              <w:jc w:val="center"/>
              <w:rPr>
                <w:rFonts w:ascii="Calibri" w:hAnsi="Calibri" w:cs="Calibri"/>
                <w:color w:val="000000"/>
                <w:kern w:val="0"/>
                <w:sz w:val="22"/>
                <w:szCs w:val="22"/>
                <w:highlight w:val="green"/>
              </w:rPr>
            </w:pPr>
            <w:r>
              <w:rPr>
                <w:rFonts w:ascii="Calibri" w:hAnsi="Calibri" w:cs="Arial"/>
                <w:sz w:val="20"/>
                <w:szCs w:val="20"/>
              </w:rPr>
              <w:t>105</w:t>
            </w:r>
          </w:p>
        </w:tc>
        <w:tc>
          <w:tcPr>
            <w:tcW w:w="810" w:type="dxa"/>
            <w:tcBorders>
              <w:bottom w:val="single" w:sz="4" w:space="0" w:color="3379BD"/>
            </w:tcBorders>
            <w:shd w:val="clear" w:color="auto" w:fill="D9D9D9" w:themeFill="background1" w:themeFillShade="D9"/>
            <w:vAlign w:val="center"/>
          </w:tcPr>
          <w:p w14:paraId="2D22D0BE" w14:textId="047E8360" w:rsidR="00FD1616" w:rsidRPr="00F05AAD" w:rsidRDefault="00FD1616" w:rsidP="00574955">
            <w:pPr>
              <w:tabs>
                <w:tab w:val="clear" w:pos="284"/>
              </w:tabs>
              <w:autoSpaceDE w:val="0"/>
              <w:autoSpaceDN w:val="0"/>
              <w:adjustRightInd w:val="0"/>
              <w:spacing w:line="240" w:lineRule="auto"/>
              <w:jc w:val="center"/>
              <w:rPr>
                <w:rFonts w:ascii="Calibri" w:hAnsi="Calibri" w:cs="Calibri"/>
                <w:color w:val="000000"/>
                <w:kern w:val="0"/>
                <w:sz w:val="22"/>
                <w:szCs w:val="22"/>
                <w:highlight w:val="green"/>
              </w:rPr>
            </w:pPr>
            <w:r>
              <w:rPr>
                <w:rFonts w:ascii="Calibri" w:hAnsi="Calibri" w:cs="Arial"/>
                <w:sz w:val="20"/>
                <w:szCs w:val="20"/>
              </w:rPr>
              <w:t>38</w:t>
            </w:r>
          </w:p>
        </w:tc>
        <w:tc>
          <w:tcPr>
            <w:tcW w:w="810" w:type="dxa"/>
            <w:tcBorders>
              <w:bottom w:val="single" w:sz="4" w:space="0" w:color="3379BD"/>
            </w:tcBorders>
            <w:shd w:val="clear" w:color="auto" w:fill="D9D9D9" w:themeFill="background1" w:themeFillShade="D9"/>
            <w:vAlign w:val="center"/>
          </w:tcPr>
          <w:p w14:paraId="2BAEC378" w14:textId="222A7F6D" w:rsidR="00FD1616" w:rsidRPr="00F05AAD" w:rsidRDefault="00FD1616" w:rsidP="00574955">
            <w:pPr>
              <w:tabs>
                <w:tab w:val="clear" w:pos="284"/>
              </w:tabs>
              <w:autoSpaceDE w:val="0"/>
              <w:autoSpaceDN w:val="0"/>
              <w:adjustRightInd w:val="0"/>
              <w:spacing w:line="240" w:lineRule="auto"/>
              <w:jc w:val="center"/>
              <w:rPr>
                <w:rFonts w:ascii="Calibri" w:hAnsi="Calibri" w:cs="Calibri"/>
                <w:color w:val="000000"/>
                <w:kern w:val="0"/>
                <w:sz w:val="22"/>
                <w:szCs w:val="22"/>
                <w:highlight w:val="green"/>
              </w:rPr>
            </w:pPr>
            <w:r>
              <w:rPr>
                <w:rFonts w:ascii="Calibri" w:hAnsi="Calibri" w:cs="Arial"/>
                <w:sz w:val="20"/>
                <w:szCs w:val="20"/>
              </w:rPr>
              <w:t>67</w:t>
            </w:r>
          </w:p>
        </w:tc>
        <w:tc>
          <w:tcPr>
            <w:tcW w:w="720" w:type="dxa"/>
            <w:tcBorders>
              <w:bottom w:val="single" w:sz="4" w:space="0" w:color="3379BD"/>
            </w:tcBorders>
            <w:shd w:val="clear" w:color="auto" w:fill="D9D9D9" w:themeFill="background1" w:themeFillShade="D9"/>
            <w:vAlign w:val="center"/>
          </w:tcPr>
          <w:p w14:paraId="6A8DA024" w14:textId="37E4A8A5" w:rsidR="00FD1616" w:rsidRPr="00F05AAD" w:rsidRDefault="00FD1616" w:rsidP="00574955">
            <w:pPr>
              <w:tabs>
                <w:tab w:val="clear" w:pos="284"/>
              </w:tabs>
              <w:autoSpaceDE w:val="0"/>
              <w:autoSpaceDN w:val="0"/>
              <w:adjustRightInd w:val="0"/>
              <w:spacing w:line="240" w:lineRule="auto"/>
              <w:jc w:val="center"/>
              <w:rPr>
                <w:rFonts w:ascii="Calibri" w:hAnsi="Calibri" w:cs="Calibri"/>
                <w:color w:val="000000"/>
                <w:kern w:val="0"/>
                <w:sz w:val="22"/>
                <w:szCs w:val="22"/>
                <w:highlight w:val="green"/>
              </w:rPr>
            </w:pPr>
            <w:r>
              <w:rPr>
                <w:rFonts w:ascii="Calibri" w:hAnsi="Calibri" w:cs="Arial"/>
                <w:sz w:val="20"/>
                <w:szCs w:val="20"/>
              </w:rPr>
              <w:t>64%</w:t>
            </w:r>
          </w:p>
        </w:tc>
        <w:tc>
          <w:tcPr>
            <w:tcW w:w="1350" w:type="dxa"/>
            <w:tcBorders>
              <w:bottom w:val="single" w:sz="4" w:space="0" w:color="3379BD"/>
            </w:tcBorders>
            <w:shd w:val="clear" w:color="auto" w:fill="D9D9D9" w:themeFill="background1" w:themeFillShade="D9"/>
            <w:vAlign w:val="center"/>
          </w:tcPr>
          <w:p w14:paraId="56458534" w14:textId="1483ECBB" w:rsidR="00FD1616" w:rsidRPr="00F05AAD" w:rsidRDefault="00FD1616" w:rsidP="00574955">
            <w:pPr>
              <w:tabs>
                <w:tab w:val="clear" w:pos="284"/>
              </w:tabs>
              <w:autoSpaceDE w:val="0"/>
              <w:autoSpaceDN w:val="0"/>
              <w:adjustRightInd w:val="0"/>
              <w:spacing w:line="240" w:lineRule="auto"/>
              <w:jc w:val="center"/>
              <w:rPr>
                <w:rFonts w:ascii="Calibri" w:hAnsi="Calibri" w:cs="Calibri"/>
                <w:color w:val="000000"/>
                <w:kern w:val="0"/>
                <w:sz w:val="22"/>
                <w:szCs w:val="22"/>
                <w:highlight w:val="green"/>
              </w:rPr>
            </w:pPr>
            <w:r>
              <w:rPr>
                <w:rFonts w:ascii="Calibri" w:hAnsi="Calibri" w:cs="Arial"/>
                <w:sz w:val="20"/>
                <w:szCs w:val="20"/>
              </w:rPr>
              <w:t>Fail</w:t>
            </w:r>
          </w:p>
        </w:tc>
        <w:tc>
          <w:tcPr>
            <w:tcW w:w="990" w:type="dxa"/>
            <w:tcBorders>
              <w:bottom w:val="single" w:sz="4" w:space="0" w:color="3379BD"/>
            </w:tcBorders>
            <w:shd w:val="clear" w:color="auto" w:fill="D9D9D9" w:themeFill="background1" w:themeFillShade="D9"/>
            <w:vAlign w:val="center"/>
          </w:tcPr>
          <w:p w14:paraId="44140CF5" w14:textId="19C38818" w:rsidR="00FD1616" w:rsidRPr="00F05AAD" w:rsidRDefault="00FD1616" w:rsidP="00574955">
            <w:pPr>
              <w:tabs>
                <w:tab w:val="clear" w:pos="284"/>
              </w:tabs>
              <w:autoSpaceDE w:val="0"/>
              <w:autoSpaceDN w:val="0"/>
              <w:adjustRightInd w:val="0"/>
              <w:spacing w:line="240" w:lineRule="auto"/>
              <w:jc w:val="center"/>
              <w:rPr>
                <w:rFonts w:ascii="Calibri" w:hAnsi="Calibri" w:cs="Calibri"/>
                <w:color w:val="000000"/>
                <w:kern w:val="0"/>
                <w:sz w:val="22"/>
                <w:szCs w:val="22"/>
                <w:highlight w:val="green"/>
              </w:rPr>
            </w:pPr>
            <w:r>
              <w:rPr>
                <w:rFonts w:ascii="Calibri" w:hAnsi="Calibri" w:cs="Arial"/>
                <w:sz w:val="20"/>
                <w:szCs w:val="20"/>
              </w:rPr>
              <w:t>9.0</w:t>
            </w:r>
          </w:p>
        </w:tc>
      </w:tr>
      <w:tr w:rsidR="00FD1616" w:rsidRPr="00F05AAD" w14:paraId="47495D71" w14:textId="77777777" w:rsidTr="00574955">
        <w:trPr>
          <w:trHeight w:val="288"/>
          <w:jc w:val="center"/>
        </w:trPr>
        <w:tc>
          <w:tcPr>
            <w:tcW w:w="2790" w:type="dxa"/>
            <w:tcBorders>
              <w:bottom w:val="single" w:sz="4" w:space="0" w:color="3379BD"/>
            </w:tcBorders>
            <w:vAlign w:val="center"/>
          </w:tcPr>
          <w:p w14:paraId="0CB4C5CF" w14:textId="6B85D931" w:rsidR="00FD1616" w:rsidRPr="00F05AAD" w:rsidRDefault="00FD1616" w:rsidP="00574955">
            <w:pPr>
              <w:tabs>
                <w:tab w:val="clear" w:pos="284"/>
              </w:tabs>
              <w:autoSpaceDE w:val="0"/>
              <w:autoSpaceDN w:val="0"/>
              <w:adjustRightInd w:val="0"/>
              <w:spacing w:line="240" w:lineRule="auto"/>
              <w:rPr>
                <w:rFonts w:ascii="Calibri" w:hAnsi="Calibri" w:cs="Calibri"/>
                <w:color w:val="000000"/>
                <w:kern w:val="0"/>
                <w:sz w:val="22"/>
                <w:szCs w:val="22"/>
                <w:highlight w:val="green"/>
              </w:rPr>
            </w:pPr>
            <w:r>
              <w:rPr>
                <w:rFonts w:ascii="Calibri" w:hAnsi="Calibri" w:cs="Arial"/>
                <w:sz w:val="20"/>
                <w:szCs w:val="20"/>
              </w:rPr>
              <w:t>Town of Morton-Ramsey Hill</w:t>
            </w:r>
          </w:p>
        </w:tc>
        <w:tc>
          <w:tcPr>
            <w:tcW w:w="1710" w:type="dxa"/>
            <w:tcBorders>
              <w:bottom w:val="single" w:sz="4" w:space="0" w:color="3379BD"/>
            </w:tcBorders>
            <w:vAlign w:val="center"/>
          </w:tcPr>
          <w:p w14:paraId="0E153F1D" w14:textId="19FE5A6D" w:rsidR="00FD1616" w:rsidRPr="00F05AAD" w:rsidRDefault="00FD1616" w:rsidP="00574955">
            <w:pPr>
              <w:tabs>
                <w:tab w:val="clear" w:pos="284"/>
              </w:tabs>
              <w:autoSpaceDE w:val="0"/>
              <w:autoSpaceDN w:val="0"/>
              <w:adjustRightInd w:val="0"/>
              <w:spacing w:line="240" w:lineRule="auto"/>
              <w:jc w:val="center"/>
              <w:rPr>
                <w:rFonts w:ascii="Calibri" w:hAnsi="Calibri" w:cs="Calibri"/>
                <w:color w:val="000000"/>
                <w:kern w:val="0"/>
                <w:sz w:val="22"/>
                <w:szCs w:val="22"/>
                <w:highlight w:val="green"/>
              </w:rPr>
            </w:pPr>
            <w:r>
              <w:rPr>
                <w:rFonts w:ascii="Calibri" w:hAnsi="Calibri" w:cs="Arial"/>
                <w:sz w:val="20"/>
                <w:szCs w:val="20"/>
              </w:rPr>
              <w:t>120500010904</w:t>
            </w:r>
          </w:p>
        </w:tc>
        <w:tc>
          <w:tcPr>
            <w:tcW w:w="810" w:type="dxa"/>
            <w:tcBorders>
              <w:bottom w:val="single" w:sz="4" w:space="0" w:color="3379BD"/>
            </w:tcBorders>
            <w:vAlign w:val="center"/>
          </w:tcPr>
          <w:p w14:paraId="6022F5C1" w14:textId="1A8BBFEA" w:rsidR="00FD1616" w:rsidRPr="00F05AAD" w:rsidRDefault="00FD1616" w:rsidP="00574955">
            <w:pPr>
              <w:tabs>
                <w:tab w:val="clear" w:pos="284"/>
              </w:tabs>
              <w:autoSpaceDE w:val="0"/>
              <w:autoSpaceDN w:val="0"/>
              <w:adjustRightInd w:val="0"/>
              <w:spacing w:line="240" w:lineRule="auto"/>
              <w:jc w:val="center"/>
              <w:rPr>
                <w:rFonts w:ascii="Calibri" w:hAnsi="Calibri" w:cs="Calibri"/>
                <w:color w:val="000000"/>
                <w:kern w:val="0"/>
                <w:sz w:val="22"/>
                <w:szCs w:val="22"/>
                <w:highlight w:val="green"/>
              </w:rPr>
            </w:pPr>
            <w:r>
              <w:rPr>
                <w:rFonts w:ascii="Calibri" w:hAnsi="Calibri" w:cs="Arial"/>
                <w:sz w:val="20"/>
                <w:szCs w:val="20"/>
              </w:rPr>
              <w:t>224</w:t>
            </w:r>
          </w:p>
        </w:tc>
        <w:tc>
          <w:tcPr>
            <w:tcW w:w="810" w:type="dxa"/>
            <w:tcBorders>
              <w:bottom w:val="single" w:sz="4" w:space="0" w:color="3379BD"/>
            </w:tcBorders>
            <w:vAlign w:val="center"/>
          </w:tcPr>
          <w:p w14:paraId="383ACC20" w14:textId="18C0610A" w:rsidR="00FD1616" w:rsidRPr="00F05AAD" w:rsidRDefault="00FD1616" w:rsidP="00574955">
            <w:pPr>
              <w:tabs>
                <w:tab w:val="clear" w:pos="284"/>
              </w:tabs>
              <w:autoSpaceDE w:val="0"/>
              <w:autoSpaceDN w:val="0"/>
              <w:adjustRightInd w:val="0"/>
              <w:spacing w:line="240" w:lineRule="auto"/>
              <w:jc w:val="center"/>
              <w:rPr>
                <w:rFonts w:ascii="Calibri" w:hAnsi="Calibri" w:cs="Calibri"/>
                <w:color w:val="000000"/>
                <w:kern w:val="0"/>
                <w:sz w:val="22"/>
                <w:szCs w:val="22"/>
                <w:highlight w:val="green"/>
              </w:rPr>
            </w:pPr>
            <w:r>
              <w:rPr>
                <w:rFonts w:ascii="Calibri" w:hAnsi="Calibri" w:cs="Arial"/>
                <w:sz w:val="20"/>
                <w:szCs w:val="20"/>
              </w:rPr>
              <w:t>40</w:t>
            </w:r>
          </w:p>
        </w:tc>
        <w:tc>
          <w:tcPr>
            <w:tcW w:w="810" w:type="dxa"/>
            <w:tcBorders>
              <w:bottom w:val="single" w:sz="4" w:space="0" w:color="3379BD"/>
            </w:tcBorders>
            <w:vAlign w:val="center"/>
          </w:tcPr>
          <w:p w14:paraId="42B5A764" w14:textId="61382B0C" w:rsidR="00FD1616" w:rsidRPr="00F05AAD" w:rsidRDefault="00FD1616" w:rsidP="00574955">
            <w:pPr>
              <w:tabs>
                <w:tab w:val="clear" w:pos="284"/>
              </w:tabs>
              <w:autoSpaceDE w:val="0"/>
              <w:autoSpaceDN w:val="0"/>
              <w:adjustRightInd w:val="0"/>
              <w:spacing w:line="240" w:lineRule="auto"/>
              <w:jc w:val="center"/>
              <w:rPr>
                <w:rFonts w:ascii="Calibri" w:hAnsi="Calibri" w:cs="Calibri"/>
                <w:color w:val="000000"/>
                <w:kern w:val="0"/>
                <w:sz w:val="22"/>
                <w:szCs w:val="22"/>
                <w:highlight w:val="green"/>
              </w:rPr>
            </w:pPr>
            <w:r>
              <w:rPr>
                <w:rFonts w:ascii="Calibri" w:hAnsi="Calibri" w:cs="Arial"/>
                <w:sz w:val="20"/>
                <w:szCs w:val="20"/>
              </w:rPr>
              <w:t>184</w:t>
            </w:r>
          </w:p>
        </w:tc>
        <w:tc>
          <w:tcPr>
            <w:tcW w:w="720" w:type="dxa"/>
            <w:tcBorders>
              <w:bottom w:val="single" w:sz="4" w:space="0" w:color="3379BD"/>
            </w:tcBorders>
            <w:vAlign w:val="center"/>
          </w:tcPr>
          <w:p w14:paraId="4DE370E8" w14:textId="01D199F0" w:rsidR="00FD1616" w:rsidRPr="00F05AAD" w:rsidRDefault="00FD1616" w:rsidP="00574955">
            <w:pPr>
              <w:tabs>
                <w:tab w:val="clear" w:pos="284"/>
              </w:tabs>
              <w:autoSpaceDE w:val="0"/>
              <w:autoSpaceDN w:val="0"/>
              <w:adjustRightInd w:val="0"/>
              <w:spacing w:line="240" w:lineRule="auto"/>
              <w:jc w:val="center"/>
              <w:rPr>
                <w:rFonts w:ascii="Calibri" w:hAnsi="Calibri" w:cs="Calibri"/>
                <w:color w:val="000000"/>
                <w:kern w:val="0"/>
                <w:sz w:val="22"/>
                <w:szCs w:val="22"/>
                <w:highlight w:val="green"/>
              </w:rPr>
            </w:pPr>
            <w:r>
              <w:rPr>
                <w:rFonts w:ascii="Calibri" w:hAnsi="Calibri" w:cs="Arial"/>
                <w:sz w:val="20"/>
                <w:szCs w:val="20"/>
              </w:rPr>
              <w:t>82%</w:t>
            </w:r>
          </w:p>
        </w:tc>
        <w:tc>
          <w:tcPr>
            <w:tcW w:w="1350" w:type="dxa"/>
            <w:tcBorders>
              <w:bottom w:val="single" w:sz="4" w:space="0" w:color="3379BD"/>
            </w:tcBorders>
            <w:vAlign w:val="center"/>
          </w:tcPr>
          <w:p w14:paraId="296F5C5C" w14:textId="09D51492" w:rsidR="00FD1616" w:rsidRPr="00F05AAD" w:rsidRDefault="00FD1616" w:rsidP="00574955">
            <w:pPr>
              <w:tabs>
                <w:tab w:val="clear" w:pos="284"/>
              </w:tabs>
              <w:autoSpaceDE w:val="0"/>
              <w:autoSpaceDN w:val="0"/>
              <w:adjustRightInd w:val="0"/>
              <w:spacing w:line="240" w:lineRule="auto"/>
              <w:jc w:val="center"/>
              <w:rPr>
                <w:rFonts w:ascii="Calibri" w:hAnsi="Calibri" w:cs="Calibri"/>
                <w:color w:val="000000"/>
                <w:kern w:val="0"/>
                <w:sz w:val="22"/>
                <w:szCs w:val="22"/>
                <w:highlight w:val="green"/>
              </w:rPr>
            </w:pPr>
            <w:r>
              <w:rPr>
                <w:rFonts w:ascii="Calibri" w:hAnsi="Calibri" w:cs="Arial"/>
                <w:sz w:val="20"/>
                <w:szCs w:val="20"/>
              </w:rPr>
              <w:t>Fail</w:t>
            </w:r>
          </w:p>
        </w:tc>
        <w:tc>
          <w:tcPr>
            <w:tcW w:w="990" w:type="dxa"/>
            <w:tcBorders>
              <w:bottom w:val="single" w:sz="4" w:space="0" w:color="3379BD"/>
            </w:tcBorders>
            <w:vAlign w:val="center"/>
          </w:tcPr>
          <w:p w14:paraId="3036F45D" w14:textId="0D516AC6" w:rsidR="00FD1616" w:rsidRPr="00F05AAD" w:rsidRDefault="00FD1616" w:rsidP="00574955">
            <w:pPr>
              <w:tabs>
                <w:tab w:val="clear" w:pos="284"/>
              </w:tabs>
              <w:autoSpaceDE w:val="0"/>
              <w:autoSpaceDN w:val="0"/>
              <w:adjustRightInd w:val="0"/>
              <w:spacing w:line="240" w:lineRule="auto"/>
              <w:jc w:val="center"/>
              <w:rPr>
                <w:rFonts w:ascii="Calibri" w:hAnsi="Calibri" w:cs="Calibri"/>
                <w:color w:val="000000"/>
                <w:kern w:val="0"/>
                <w:sz w:val="22"/>
                <w:szCs w:val="22"/>
                <w:highlight w:val="green"/>
              </w:rPr>
            </w:pPr>
            <w:r>
              <w:rPr>
                <w:rFonts w:ascii="Calibri" w:hAnsi="Calibri" w:cs="Arial"/>
                <w:sz w:val="20"/>
                <w:szCs w:val="20"/>
              </w:rPr>
              <w:t>4.5</w:t>
            </w:r>
          </w:p>
        </w:tc>
      </w:tr>
      <w:tr w:rsidR="00FD1616" w:rsidRPr="00F05AAD" w14:paraId="627B552F" w14:textId="77777777" w:rsidTr="009B5454">
        <w:trPr>
          <w:trHeight w:val="288"/>
          <w:jc w:val="center"/>
        </w:trPr>
        <w:tc>
          <w:tcPr>
            <w:tcW w:w="2790" w:type="dxa"/>
            <w:shd w:val="clear" w:color="auto" w:fill="D9D9D9" w:themeFill="background1" w:themeFillShade="D9"/>
            <w:vAlign w:val="center"/>
          </w:tcPr>
          <w:p w14:paraId="649280BB" w14:textId="6B7B30EC" w:rsidR="00FD1616" w:rsidRPr="00F05AAD" w:rsidRDefault="00FD1616" w:rsidP="00574955">
            <w:pPr>
              <w:tabs>
                <w:tab w:val="clear" w:pos="284"/>
              </w:tabs>
              <w:autoSpaceDE w:val="0"/>
              <w:autoSpaceDN w:val="0"/>
              <w:adjustRightInd w:val="0"/>
              <w:spacing w:line="240" w:lineRule="auto"/>
              <w:rPr>
                <w:rFonts w:ascii="Calibri" w:hAnsi="Calibri" w:cs="Calibri"/>
                <w:color w:val="000000"/>
                <w:kern w:val="0"/>
                <w:sz w:val="22"/>
                <w:szCs w:val="22"/>
                <w:highlight w:val="green"/>
              </w:rPr>
            </w:pPr>
            <w:r>
              <w:rPr>
                <w:rFonts w:ascii="Calibri" w:hAnsi="Calibri" w:cs="Arial"/>
                <w:sz w:val="20"/>
                <w:szCs w:val="20"/>
              </w:rPr>
              <w:t>120500010905</w:t>
            </w:r>
          </w:p>
        </w:tc>
        <w:tc>
          <w:tcPr>
            <w:tcW w:w="1710" w:type="dxa"/>
            <w:shd w:val="clear" w:color="auto" w:fill="D9D9D9" w:themeFill="background1" w:themeFillShade="D9"/>
            <w:vAlign w:val="center"/>
          </w:tcPr>
          <w:p w14:paraId="6361671D" w14:textId="4E633140" w:rsidR="00FD1616" w:rsidRPr="00F05AAD" w:rsidRDefault="00FD1616" w:rsidP="00574955">
            <w:pPr>
              <w:tabs>
                <w:tab w:val="clear" w:pos="284"/>
              </w:tabs>
              <w:autoSpaceDE w:val="0"/>
              <w:autoSpaceDN w:val="0"/>
              <w:adjustRightInd w:val="0"/>
              <w:spacing w:line="240" w:lineRule="auto"/>
              <w:jc w:val="center"/>
              <w:rPr>
                <w:rFonts w:ascii="Calibri" w:hAnsi="Calibri" w:cs="Calibri"/>
                <w:color w:val="000000"/>
                <w:kern w:val="0"/>
                <w:sz w:val="22"/>
                <w:szCs w:val="22"/>
                <w:highlight w:val="green"/>
              </w:rPr>
            </w:pPr>
            <w:r>
              <w:rPr>
                <w:rFonts w:ascii="Calibri" w:hAnsi="Calibri" w:cs="Arial"/>
                <w:sz w:val="20"/>
                <w:szCs w:val="20"/>
              </w:rPr>
              <w:t>120500010905</w:t>
            </w:r>
          </w:p>
        </w:tc>
        <w:tc>
          <w:tcPr>
            <w:tcW w:w="810" w:type="dxa"/>
            <w:shd w:val="clear" w:color="auto" w:fill="D9D9D9" w:themeFill="background1" w:themeFillShade="D9"/>
            <w:vAlign w:val="center"/>
          </w:tcPr>
          <w:p w14:paraId="2ABDB3EE" w14:textId="1BBE5908" w:rsidR="00FD1616" w:rsidRPr="00F05AAD" w:rsidRDefault="00FD1616" w:rsidP="00574955">
            <w:pPr>
              <w:tabs>
                <w:tab w:val="clear" w:pos="284"/>
              </w:tabs>
              <w:autoSpaceDE w:val="0"/>
              <w:autoSpaceDN w:val="0"/>
              <w:adjustRightInd w:val="0"/>
              <w:spacing w:line="240" w:lineRule="auto"/>
              <w:jc w:val="center"/>
              <w:rPr>
                <w:rFonts w:ascii="Calibri" w:hAnsi="Calibri" w:cs="Calibri"/>
                <w:color w:val="000000"/>
                <w:kern w:val="0"/>
                <w:sz w:val="22"/>
                <w:szCs w:val="22"/>
                <w:highlight w:val="green"/>
              </w:rPr>
            </w:pPr>
            <w:r>
              <w:rPr>
                <w:rFonts w:ascii="Calibri" w:hAnsi="Calibri" w:cs="Arial"/>
                <w:sz w:val="20"/>
                <w:szCs w:val="20"/>
              </w:rPr>
              <w:t>295</w:t>
            </w:r>
          </w:p>
        </w:tc>
        <w:tc>
          <w:tcPr>
            <w:tcW w:w="810" w:type="dxa"/>
            <w:shd w:val="clear" w:color="auto" w:fill="D9D9D9" w:themeFill="background1" w:themeFillShade="D9"/>
            <w:vAlign w:val="center"/>
          </w:tcPr>
          <w:p w14:paraId="4AAC769F" w14:textId="390A1287" w:rsidR="00FD1616" w:rsidRPr="00F05AAD" w:rsidRDefault="00FD1616" w:rsidP="00574955">
            <w:pPr>
              <w:tabs>
                <w:tab w:val="clear" w:pos="284"/>
              </w:tabs>
              <w:autoSpaceDE w:val="0"/>
              <w:autoSpaceDN w:val="0"/>
              <w:adjustRightInd w:val="0"/>
              <w:spacing w:line="240" w:lineRule="auto"/>
              <w:jc w:val="center"/>
              <w:rPr>
                <w:rFonts w:ascii="Calibri" w:hAnsi="Calibri" w:cs="Calibri"/>
                <w:color w:val="000000"/>
                <w:kern w:val="0"/>
                <w:sz w:val="22"/>
                <w:szCs w:val="22"/>
                <w:highlight w:val="green"/>
              </w:rPr>
            </w:pPr>
            <w:r>
              <w:rPr>
                <w:rFonts w:ascii="Calibri" w:hAnsi="Calibri" w:cs="Arial"/>
                <w:sz w:val="20"/>
                <w:szCs w:val="20"/>
              </w:rPr>
              <w:t>33</w:t>
            </w:r>
          </w:p>
        </w:tc>
        <w:tc>
          <w:tcPr>
            <w:tcW w:w="810" w:type="dxa"/>
            <w:shd w:val="clear" w:color="auto" w:fill="D9D9D9" w:themeFill="background1" w:themeFillShade="D9"/>
            <w:vAlign w:val="center"/>
          </w:tcPr>
          <w:p w14:paraId="554F7E56" w14:textId="06FB0327" w:rsidR="00FD1616" w:rsidRPr="00F05AAD" w:rsidRDefault="00FD1616" w:rsidP="00574955">
            <w:pPr>
              <w:tabs>
                <w:tab w:val="clear" w:pos="284"/>
              </w:tabs>
              <w:autoSpaceDE w:val="0"/>
              <w:autoSpaceDN w:val="0"/>
              <w:adjustRightInd w:val="0"/>
              <w:spacing w:line="240" w:lineRule="auto"/>
              <w:jc w:val="center"/>
              <w:rPr>
                <w:rFonts w:ascii="Calibri" w:hAnsi="Calibri" w:cs="Calibri"/>
                <w:color w:val="000000"/>
                <w:kern w:val="0"/>
                <w:sz w:val="22"/>
                <w:szCs w:val="22"/>
                <w:highlight w:val="green"/>
              </w:rPr>
            </w:pPr>
            <w:r>
              <w:rPr>
                <w:rFonts w:ascii="Calibri" w:hAnsi="Calibri" w:cs="Arial"/>
                <w:sz w:val="20"/>
                <w:szCs w:val="20"/>
              </w:rPr>
              <w:t>262</w:t>
            </w:r>
          </w:p>
        </w:tc>
        <w:tc>
          <w:tcPr>
            <w:tcW w:w="720" w:type="dxa"/>
            <w:shd w:val="clear" w:color="auto" w:fill="D9D9D9" w:themeFill="background1" w:themeFillShade="D9"/>
            <w:vAlign w:val="center"/>
          </w:tcPr>
          <w:p w14:paraId="65AE9B81" w14:textId="3DCD0337" w:rsidR="00FD1616" w:rsidRPr="00F05AAD" w:rsidRDefault="00FD1616" w:rsidP="00574955">
            <w:pPr>
              <w:tabs>
                <w:tab w:val="clear" w:pos="284"/>
              </w:tabs>
              <w:autoSpaceDE w:val="0"/>
              <w:autoSpaceDN w:val="0"/>
              <w:adjustRightInd w:val="0"/>
              <w:spacing w:line="240" w:lineRule="auto"/>
              <w:jc w:val="center"/>
              <w:rPr>
                <w:rFonts w:ascii="Calibri" w:hAnsi="Calibri" w:cs="Calibri"/>
                <w:color w:val="000000"/>
                <w:kern w:val="0"/>
                <w:sz w:val="22"/>
                <w:szCs w:val="22"/>
                <w:highlight w:val="green"/>
              </w:rPr>
            </w:pPr>
            <w:r>
              <w:rPr>
                <w:rFonts w:ascii="Calibri" w:hAnsi="Calibri" w:cs="Arial"/>
                <w:sz w:val="20"/>
                <w:szCs w:val="20"/>
              </w:rPr>
              <w:t>89%</w:t>
            </w:r>
          </w:p>
        </w:tc>
        <w:tc>
          <w:tcPr>
            <w:tcW w:w="1350" w:type="dxa"/>
            <w:shd w:val="clear" w:color="auto" w:fill="D9D9D9" w:themeFill="background1" w:themeFillShade="D9"/>
            <w:vAlign w:val="center"/>
          </w:tcPr>
          <w:p w14:paraId="7690A423" w14:textId="2E0FA6C3" w:rsidR="00FD1616" w:rsidRPr="00F05AAD" w:rsidRDefault="00FD1616" w:rsidP="00574955">
            <w:pPr>
              <w:tabs>
                <w:tab w:val="clear" w:pos="284"/>
              </w:tabs>
              <w:autoSpaceDE w:val="0"/>
              <w:autoSpaceDN w:val="0"/>
              <w:adjustRightInd w:val="0"/>
              <w:spacing w:line="240" w:lineRule="auto"/>
              <w:jc w:val="center"/>
              <w:rPr>
                <w:rFonts w:ascii="Calibri" w:hAnsi="Calibri" w:cs="Calibri"/>
                <w:color w:val="000000"/>
                <w:kern w:val="0"/>
                <w:sz w:val="22"/>
                <w:szCs w:val="22"/>
                <w:highlight w:val="green"/>
              </w:rPr>
            </w:pPr>
            <w:r>
              <w:rPr>
                <w:rFonts w:ascii="Calibri" w:hAnsi="Calibri" w:cs="Arial"/>
                <w:sz w:val="20"/>
                <w:szCs w:val="20"/>
              </w:rPr>
              <w:t>Pass</w:t>
            </w:r>
          </w:p>
        </w:tc>
        <w:tc>
          <w:tcPr>
            <w:tcW w:w="990" w:type="dxa"/>
            <w:shd w:val="clear" w:color="auto" w:fill="D9D9D9" w:themeFill="background1" w:themeFillShade="D9"/>
            <w:vAlign w:val="center"/>
          </w:tcPr>
          <w:p w14:paraId="25F5D1B8" w14:textId="456F38DF" w:rsidR="00FD1616" w:rsidRPr="00F05AAD" w:rsidRDefault="00FD1616" w:rsidP="00574955">
            <w:pPr>
              <w:tabs>
                <w:tab w:val="clear" w:pos="284"/>
              </w:tabs>
              <w:autoSpaceDE w:val="0"/>
              <w:autoSpaceDN w:val="0"/>
              <w:adjustRightInd w:val="0"/>
              <w:spacing w:line="240" w:lineRule="auto"/>
              <w:jc w:val="center"/>
              <w:rPr>
                <w:rFonts w:ascii="Calibri" w:hAnsi="Calibri" w:cs="Calibri"/>
                <w:color w:val="000000"/>
                <w:kern w:val="0"/>
                <w:sz w:val="22"/>
                <w:szCs w:val="22"/>
                <w:highlight w:val="green"/>
              </w:rPr>
            </w:pPr>
            <w:r>
              <w:rPr>
                <w:rFonts w:ascii="Calibri" w:hAnsi="Calibri" w:cs="Arial"/>
                <w:sz w:val="20"/>
                <w:szCs w:val="20"/>
              </w:rPr>
              <w:t>2.8</w:t>
            </w:r>
          </w:p>
        </w:tc>
      </w:tr>
      <w:tr w:rsidR="00FD1616" w:rsidRPr="00F05AAD" w14:paraId="357AF1F8" w14:textId="77777777" w:rsidTr="00574955">
        <w:trPr>
          <w:trHeight w:val="288"/>
          <w:jc w:val="center"/>
        </w:trPr>
        <w:tc>
          <w:tcPr>
            <w:tcW w:w="2790" w:type="dxa"/>
            <w:tcBorders>
              <w:bottom w:val="single" w:sz="4" w:space="0" w:color="3379BD"/>
            </w:tcBorders>
            <w:vAlign w:val="center"/>
          </w:tcPr>
          <w:p w14:paraId="307FE802" w14:textId="42BC1D7D" w:rsidR="00FD1616" w:rsidRPr="00F05AAD" w:rsidRDefault="00FD1616" w:rsidP="00574955">
            <w:pPr>
              <w:tabs>
                <w:tab w:val="clear" w:pos="284"/>
              </w:tabs>
              <w:autoSpaceDE w:val="0"/>
              <w:autoSpaceDN w:val="0"/>
              <w:adjustRightInd w:val="0"/>
              <w:spacing w:line="240" w:lineRule="auto"/>
              <w:rPr>
                <w:rFonts w:ascii="Calibri" w:hAnsi="Calibri" w:cs="Calibri"/>
                <w:color w:val="000000"/>
                <w:kern w:val="0"/>
                <w:sz w:val="22"/>
                <w:szCs w:val="22"/>
                <w:highlight w:val="green"/>
              </w:rPr>
            </w:pPr>
            <w:r>
              <w:rPr>
                <w:rFonts w:ascii="Calibri" w:hAnsi="Calibri" w:cs="Arial"/>
                <w:sz w:val="20"/>
                <w:szCs w:val="20"/>
              </w:rPr>
              <w:t>Pettit San Andreas Oil Field-Yellow House Draw</w:t>
            </w:r>
          </w:p>
        </w:tc>
        <w:tc>
          <w:tcPr>
            <w:tcW w:w="1710" w:type="dxa"/>
            <w:tcBorders>
              <w:bottom w:val="single" w:sz="4" w:space="0" w:color="3379BD"/>
            </w:tcBorders>
            <w:vAlign w:val="center"/>
          </w:tcPr>
          <w:p w14:paraId="35F458D6" w14:textId="0D1D2DB4" w:rsidR="00FD1616" w:rsidRPr="00F05AAD" w:rsidRDefault="00FD1616" w:rsidP="00574955">
            <w:pPr>
              <w:tabs>
                <w:tab w:val="clear" w:pos="284"/>
              </w:tabs>
              <w:autoSpaceDE w:val="0"/>
              <w:autoSpaceDN w:val="0"/>
              <w:adjustRightInd w:val="0"/>
              <w:spacing w:line="240" w:lineRule="auto"/>
              <w:jc w:val="center"/>
              <w:rPr>
                <w:rFonts w:ascii="Calibri" w:hAnsi="Calibri" w:cs="Calibri"/>
                <w:color w:val="000000"/>
                <w:kern w:val="0"/>
                <w:sz w:val="22"/>
                <w:szCs w:val="22"/>
                <w:highlight w:val="green"/>
              </w:rPr>
            </w:pPr>
            <w:r>
              <w:rPr>
                <w:rFonts w:ascii="Calibri" w:hAnsi="Calibri" w:cs="Arial"/>
                <w:sz w:val="20"/>
                <w:szCs w:val="20"/>
              </w:rPr>
              <w:t>120500010906</w:t>
            </w:r>
          </w:p>
        </w:tc>
        <w:tc>
          <w:tcPr>
            <w:tcW w:w="810" w:type="dxa"/>
            <w:tcBorders>
              <w:bottom w:val="single" w:sz="4" w:space="0" w:color="3379BD"/>
            </w:tcBorders>
            <w:vAlign w:val="center"/>
          </w:tcPr>
          <w:p w14:paraId="7A00E7D9" w14:textId="48714297" w:rsidR="00FD1616" w:rsidRPr="00F05AAD" w:rsidRDefault="00FD1616" w:rsidP="00574955">
            <w:pPr>
              <w:tabs>
                <w:tab w:val="clear" w:pos="284"/>
              </w:tabs>
              <w:autoSpaceDE w:val="0"/>
              <w:autoSpaceDN w:val="0"/>
              <w:adjustRightInd w:val="0"/>
              <w:spacing w:line="240" w:lineRule="auto"/>
              <w:jc w:val="center"/>
              <w:rPr>
                <w:rFonts w:ascii="Calibri" w:hAnsi="Calibri" w:cs="Calibri"/>
                <w:color w:val="000000"/>
                <w:kern w:val="0"/>
                <w:sz w:val="22"/>
                <w:szCs w:val="22"/>
                <w:highlight w:val="green"/>
              </w:rPr>
            </w:pPr>
            <w:r>
              <w:rPr>
                <w:rFonts w:ascii="Calibri" w:hAnsi="Calibri" w:cs="Arial"/>
                <w:sz w:val="20"/>
                <w:szCs w:val="20"/>
              </w:rPr>
              <w:t>1,408</w:t>
            </w:r>
          </w:p>
        </w:tc>
        <w:tc>
          <w:tcPr>
            <w:tcW w:w="810" w:type="dxa"/>
            <w:tcBorders>
              <w:bottom w:val="single" w:sz="4" w:space="0" w:color="3379BD"/>
            </w:tcBorders>
            <w:vAlign w:val="center"/>
          </w:tcPr>
          <w:p w14:paraId="0FCB756F" w14:textId="7A90C285" w:rsidR="00FD1616" w:rsidRPr="00F05AAD" w:rsidRDefault="00FD1616" w:rsidP="00574955">
            <w:pPr>
              <w:tabs>
                <w:tab w:val="clear" w:pos="284"/>
              </w:tabs>
              <w:autoSpaceDE w:val="0"/>
              <w:autoSpaceDN w:val="0"/>
              <w:adjustRightInd w:val="0"/>
              <w:spacing w:line="240" w:lineRule="auto"/>
              <w:jc w:val="center"/>
              <w:rPr>
                <w:rFonts w:ascii="Calibri" w:hAnsi="Calibri" w:cs="Calibri"/>
                <w:color w:val="000000"/>
                <w:kern w:val="0"/>
                <w:sz w:val="22"/>
                <w:szCs w:val="22"/>
                <w:highlight w:val="green"/>
              </w:rPr>
            </w:pPr>
            <w:r>
              <w:rPr>
                <w:rFonts w:ascii="Calibri" w:hAnsi="Calibri" w:cs="Arial"/>
                <w:sz w:val="20"/>
                <w:szCs w:val="20"/>
              </w:rPr>
              <w:t>305</w:t>
            </w:r>
          </w:p>
        </w:tc>
        <w:tc>
          <w:tcPr>
            <w:tcW w:w="810" w:type="dxa"/>
            <w:tcBorders>
              <w:bottom w:val="single" w:sz="4" w:space="0" w:color="3379BD"/>
            </w:tcBorders>
            <w:vAlign w:val="center"/>
          </w:tcPr>
          <w:p w14:paraId="0B64D1B5" w14:textId="2FC9A509" w:rsidR="00FD1616" w:rsidRPr="00F05AAD" w:rsidRDefault="00FD1616" w:rsidP="00574955">
            <w:pPr>
              <w:tabs>
                <w:tab w:val="clear" w:pos="284"/>
              </w:tabs>
              <w:autoSpaceDE w:val="0"/>
              <w:autoSpaceDN w:val="0"/>
              <w:adjustRightInd w:val="0"/>
              <w:spacing w:line="240" w:lineRule="auto"/>
              <w:jc w:val="center"/>
              <w:rPr>
                <w:rFonts w:ascii="Calibri" w:hAnsi="Calibri" w:cs="Calibri"/>
                <w:color w:val="000000"/>
                <w:kern w:val="0"/>
                <w:sz w:val="22"/>
                <w:szCs w:val="22"/>
                <w:highlight w:val="green"/>
              </w:rPr>
            </w:pPr>
            <w:r>
              <w:rPr>
                <w:rFonts w:ascii="Calibri" w:hAnsi="Calibri" w:cs="Arial"/>
                <w:sz w:val="20"/>
                <w:szCs w:val="20"/>
              </w:rPr>
              <w:t>1,103</w:t>
            </w:r>
          </w:p>
        </w:tc>
        <w:tc>
          <w:tcPr>
            <w:tcW w:w="720" w:type="dxa"/>
            <w:tcBorders>
              <w:bottom w:val="single" w:sz="4" w:space="0" w:color="3379BD"/>
            </w:tcBorders>
            <w:vAlign w:val="center"/>
          </w:tcPr>
          <w:p w14:paraId="35CDD0F1" w14:textId="05856AAC" w:rsidR="00FD1616" w:rsidRPr="00F05AAD" w:rsidRDefault="00FD1616" w:rsidP="00574955">
            <w:pPr>
              <w:tabs>
                <w:tab w:val="clear" w:pos="284"/>
              </w:tabs>
              <w:autoSpaceDE w:val="0"/>
              <w:autoSpaceDN w:val="0"/>
              <w:adjustRightInd w:val="0"/>
              <w:spacing w:line="240" w:lineRule="auto"/>
              <w:jc w:val="center"/>
              <w:rPr>
                <w:rFonts w:ascii="Calibri" w:hAnsi="Calibri" w:cs="Calibri"/>
                <w:color w:val="000000"/>
                <w:kern w:val="0"/>
                <w:sz w:val="22"/>
                <w:szCs w:val="22"/>
                <w:highlight w:val="green"/>
              </w:rPr>
            </w:pPr>
            <w:r>
              <w:rPr>
                <w:rFonts w:ascii="Calibri" w:hAnsi="Calibri" w:cs="Arial"/>
                <w:sz w:val="20"/>
                <w:szCs w:val="20"/>
              </w:rPr>
              <w:t>78%</w:t>
            </w:r>
          </w:p>
        </w:tc>
        <w:tc>
          <w:tcPr>
            <w:tcW w:w="1350" w:type="dxa"/>
            <w:tcBorders>
              <w:bottom w:val="single" w:sz="4" w:space="0" w:color="3379BD"/>
            </w:tcBorders>
            <w:vAlign w:val="center"/>
          </w:tcPr>
          <w:p w14:paraId="33D56C44" w14:textId="1A51B076" w:rsidR="00FD1616" w:rsidRPr="00F05AAD" w:rsidRDefault="00FD1616" w:rsidP="00574955">
            <w:pPr>
              <w:tabs>
                <w:tab w:val="clear" w:pos="284"/>
              </w:tabs>
              <w:autoSpaceDE w:val="0"/>
              <w:autoSpaceDN w:val="0"/>
              <w:adjustRightInd w:val="0"/>
              <w:spacing w:line="240" w:lineRule="auto"/>
              <w:jc w:val="center"/>
              <w:rPr>
                <w:rFonts w:ascii="Calibri" w:hAnsi="Calibri" w:cs="Calibri"/>
                <w:color w:val="000000"/>
                <w:kern w:val="0"/>
                <w:sz w:val="22"/>
                <w:szCs w:val="22"/>
                <w:highlight w:val="green"/>
              </w:rPr>
            </w:pPr>
            <w:r>
              <w:rPr>
                <w:rFonts w:ascii="Calibri" w:hAnsi="Calibri" w:cs="Arial"/>
                <w:sz w:val="20"/>
                <w:szCs w:val="20"/>
              </w:rPr>
              <w:t>Fail</w:t>
            </w:r>
          </w:p>
        </w:tc>
        <w:tc>
          <w:tcPr>
            <w:tcW w:w="990" w:type="dxa"/>
            <w:tcBorders>
              <w:bottom w:val="single" w:sz="4" w:space="0" w:color="3379BD"/>
            </w:tcBorders>
            <w:vAlign w:val="center"/>
          </w:tcPr>
          <w:p w14:paraId="1DA747D1" w14:textId="44D63CB2" w:rsidR="00FD1616" w:rsidRPr="00F05AAD" w:rsidRDefault="00FD1616" w:rsidP="00574955">
            <w:pPr>
              <w:tabs>
                <w:tab w:val="clear" w:pos="284"/>
              </w:tabs>
              <w:autoSpaceDE w:val="0"/>
              <w:autoSpaceDN w:val="0"/>
              <w:adjustRightInd w:val="0"/>
              <w:spacing w:line="240" w:lineRule="auto"/>
              <w:jc w:val="center"/>
              <w:rPr>
                <w:rFonts w:ascii="Calibri" w:hAnsi="Calibri" w:cs="Calibri"/>
                <w:color w:val="000000"/>
                <w:kern w:val="0"/>
                <w:sz w:val="22"/>
                <w:szCs w:val="22"/>
                <w:highlight w:val="green"/>
              </w:rPr>
            </w:pPr>
            <w:r>
              <w:rPr>
                <w:rFonts w:ascii="Calibri" w:hAnsi="Calibri" w:cs="Arial"/>
                <w:sz w:val="20"/>
                <w:szCs w:val="20"/>
              </w:rPr>
              <w:t>5.4</w:t>
            </w:r>
          </w:p>
        </w:tc>
      </w:tr>
      <w:tr w:rsidR="00FD1616" w:rsidRPr="00F05AAD" w14:paraId="282613F4" w14:textId="77777777" w:rsidTr="001438A9">
        <w:trPr>
          <w:trHeight w:val="288"/>
          <w:jc w:val="center"/>
        </w:trPr>
        <w:tc>
          <w:tcPr>
            <w:tcW w:w="2790" w:type="dxa"/>
            <w:tcBorders>
              <w:bottom w:val="single" w:sz="4" w:space="0" w:color="3379BD"/>
            </w:tcBorders>
            <w:shd w:val="clear" w:color="auto" w:fill="D9D9D9" w:themeFill="background1" w:themeFillShade="D9"/>
            <w:vAlign w:val="center"/>
          </w:tcPr>
          <w:p w14:paraId="48A19727" w14:textId="50D850EC" w:rsidR="00FD1616" w:rsidRPr="00F05AAD" w:rsidRDefault="00FD1616" w:rsidP="00574955">
            <w:pPr>
              <w:tabs>
                <w:tab w:val="clear" w:pos="284"/>
              </w:tabs>
              <w:autoSpaceDE w:val="0"/>
              <w:autoSpaceDN w:val="0"/>
              <w:adjustRightInd w:val="0"/>
              <w:spacing w:line="240" w:lineRule="auto"/>
              <w:rPr>
                <w:rFonts w:ascii="Calibri" w:hAnsi="Calibri" w:cs="Calibri"/>
                <w:color w:val="000000"/>
                <w:kern w:val="0"/>
                <w:sz w:val="22"/>
                <w:szCs w:val="22"/>
                <w:highlight w:val="green"/>
              </w:rPr>
            </w:pPr>
            <w:r>
              <w:rPr>
                <w:rFonts w:ascii="Calibri" w:hAnsi="Calibri" w:cs="Arial"/>
                <w:sz w:val="20"/>
                <w:szCs w:val="20"/>
              </w:rPr>
              <w:t>120500011003</w:t>
            </w:r>
          </w:p>
        </w:tc>
        <w:tc>
          <w:tcPr>
            <w:tcW w:w="1710" w:type="dxa"/>
            <w:tcBorders>
              <w:bottom w:val="single" w:sz="4" w:space="0" w:color="3379BD"/>
            </w:tcBorders>
            <w:shd w:val="clear" w:color="auto" w:fill="D9D9D9" w:themeFill="background1" w:themeFillShade="D9"/>
            <w:vAlign w:val="center"/>
          </w:tcPr>
          <w:p w14:paraId="7A3087C2" w14:textId="0280AF84" w:rsidR="00FD1616" w:rsidRPr="00F05AAD" w:rsidRDefault="00FD1616" w:rsidP="00574955">
            <w:pPr>
              <w:tabs>
                <w:tab w:val="clear" w:pos="284"/>
              </w:tabs>
              <w:autoSpaceDE w:val="0"/>
              <w:autoSpaceDN w:val="0"/>
              <w:adjustRightInd w:val="0"/>
              <w:spacing w:line="240" w:lineRule="auto"/>
              <w:jc w:val="center"/>
              <w:rPr>
                <w:rFonts w:ascii="Calibri" w:hAnsi="Calibri" w:cs="Calibri"/>
                <w:color w:val="000000"/>
                <w:kern w:val="0"/>
                <w:sz w:val="22"/>
                <w:szCs w:val="22"/>
                <w:highlight w:val="green"/>
              </w:rPr>
            </w:pPr>
            <w:r>
              <w:rPr>
                <w:rFonts w:ascii="Calibri" w:hAnsi="Calibri" w:cs="Arial"/>
                <w:sz w:val="20"/>
                <w:szCs w:val="20"/>
              </w:rPr>
              <w:t>120500011003</w:t>
            </w:r>
          </w:p>
        </w:tc>
        <w:tc>
          <w:tcPr>
            <w:tcW w:w="810" w:type="dxa"/>
            <w:tcBorders>
              <w:bottom w:val="single" w:sz="4" w:space="0" w:color="3379BD"/>
            </w:tcBorders>
            <w:shd w:val="clear" w:color="auto" w:fill="D9D9D9" w:themeFill="background1" w:themeFillShade="D9"/>
            <w:vAlign w:val="center"/>
          </w:tcPr>
          <w:p w14:paraId="32D52074" w14:textId="50E149B6" w:rsidR="00FD1616" w:rsidRPr="00F05AAD" w:rsidRDefault="00FD1616" w:rsidP="00574955">
            <w:pPr>
              <w:tabs>
                <w:tab w:val="clear" w:pos="284"/>
              </w:tabs>
              <w:autoSpaceDE w:val="0"/>
              <w:autoSpaceDN w:val="0"/>
              <w:adjustRightInd w:val="0"/>
              <w:spacing w:line="240" w:lineRule="auto"/>
              <w:jc w:val="center"/>
              <w:rPr>
                <w:rFonts w:ascii="Calibri" w:hAnsi="Calibri" w:cs="Calibri"/>
                <w:color w:val="000000"/>
                <w:kern w:val="0"/>
                <w:sz w:val="22"/>
                <w:szCs w:val="22"/>
                <w:highlight w:val="green"/>
              </w:rPr>
            </w:pPr>
            <w:r>
              <w:rPr>
                <w:rFonts w:ascii="Calibri" w:hAnsi="Calibri" w:cs="Arial"/>
                <w:sz w:val="20"/>
                <w:szCs w:val="20"/>
              </w:rPr>
              <w:t>58</w:t>
            </w:r>
          </w:p>
        </w:tc>
        <w:tc>
          <w:tcPr>
            <w:tcW w:w="810" w:type="dxa"/>
            <w:tcBorders>
              <w:bottom w:val="single" w:sz="4" w:space="0" w:color="3379BD"/>
            </w:tcBorders>
            <w:shd w:val="clear" w:color="auto" w:fill="D9D9D9" w:themeFill="background1" w:themeFillShade="D9"/>
            <w:vAlign w:val="center"/>
          </w:tcPr>
          <w:p w14:paraId="354AC919" w14:textId="3BCF3284" w:rsidR="00FD1616" w:rsidRPr="00F05AAD" w:rsidRDefault="00FD1616" w:rsidP="00574955">
            <w:pPr>
              <w:tabs>
                <w:tab w:val="clear" w:pos="284"/>
              </w:tabs>
              <w:autoSpaceDE w:val="0"/>
              <w:autoSpaceDN w:val="0"/>
              <w:adjustRightInd w:val="0"/>
              <w:spacing w:line="240" w:lineRule="auto"/>
              <w:jc w:val="center"/>
              <w:rPr>
                <w:rFonts w:ascii="Calibri" w:hAnsi="Calibri" w:cs="Calibri"/>
                <w:color w:val="000000"/>
                <w:kern w:val="0"/>
                <w:sz w:val="22"/>
                <w:szCs w:val="22"/>
                <w:highlight w:val="green"/>
              </w:rPr>
            </w:pPr>
            <w:r>
              <w:rPr>
                <w:rFonts w:ascii="Calibri" w:hAnsi="Calibri" w:cs="Arial"/>
                <w:sz w:val="20"/>
                <w:szCs w:val="20"/>
              </w:rPr>
              <w:t>7</w:t>
            </w:r>
          </w:p>
        </w:tc>
        <w:tc>
          <w:tcPr>
            <w:tcW w:w="810" w:type="dxa"/>
            <w:tcBorders>
              <w:bottom w:val="single" w:sz="4" w:space="0" w:color="3379BD"/>
            </w:tcBorders>
            <w:shd w:val="clear" w:color="auto" w:fill="D9D9D9" w:themeFill="background1" w:themeFillShade="D9"/>
            <w:vAlign w:val="center"/>
          </w:tcPr>
          <w:p w14:paraId="11119E73" w14:textId="0955FE7E" w:rsidR="00FD1616" w:rsidRPr="00F05AAD" w:rsidRDefault="00FD1616" w:rsidP="00574955">
            <w:pPr>
              <w:tabs>
                <w:tab w:val="clear" w:pos="284"/>
              </w:tabs>
              <w:autoSpaceDE w:val="0"/>
              <w:autoSpaceDN w:val="0"/>
              <w:adjustRightInd w:val="0"/>
              <w:spacing w:line="240" w:lineRule="auto"/>
              <w:jc w:val="center"/>
              <w:rPr>
                <w:rFonts w:ascii="Calibri" w:hAnsi="Calibri" w:cs="Calibri"/>
                <w:color w:val="000000"/>
                <w:kern w:val="0"/>
                <w:sz w:val="22"/>
                <w:szCs w:val="22"/>
                <w:highlight w:val="green"/>
              </w:rPr>
            </w:pPr>
            <w:r>
              <w:rPr>
                <w:rFonts w:ascii="Calibri" w:hAnsi="Calibri" w:cs="Arial"/>
                <w:sz w:val="20"/>
                <w:szCs w:val="20"/>
              </w:rPr>
              <w:t>51</w:t>
            </w:r>
          </w:p>
        </w:tc>
        <w:tc>
          <w:tcPr>
            <w:tcW w:w="720" w:type="dxa"/>
            <w:tcBorders>
              <w:bottom w:val="single" w:sz="4" w:space="0" w:color="3379BD"/>
            </w:tcBorders>
            <w:shd w:val="clear" w:color="auto" w:fill="D9D9D9" w:themeFill="background1" w:themeFillShade="D9"/>
            <w:vAlign w:val="center"/>
          </w:tcPr>
          <w:p w14:paraId="6BF85780" w14:textId="7708CB51" w:rsidR="00FD1616" w:rsidRPr="00F05AAD" w:rsidRDefault="00FD1616" w:rsidP="00574955">
            <w:pPr>
              <w:tabs>
                <w:tab w:val="clear" w:pos="284"/>
              </w:tabs>
              <w:autoSpaceDE w:val="0"/>
              <w:autoSpaceDN w:val="0"/>
              <w:adjustRightInd w:val="0"/>
              <w:spacing w:line="240" w:lineRule="auto"/>
              <w:jc w:val="center"/>
              <w:rPr>
                <w:rFonts w:ascii="Calibri" w:hAnsi="Calibri" w:cs="Calibri"/>
                <w:color w:val="000000"/>
                <w:kern w:val="0"/>
                <w:sz w:val="22"/>
                <w:szCs w:val="22"/>
                <w:highlight w:val="green"/>
              </w:rPr>
            </w:pPr>
            <w:r>
              <w:rPr>
                <w:rFonts w:ascii="Calibri" w:hAnsi="Calibri" w:cs="Arial"/>
                <w:sz w:val="20"/>
                <w:szCs w:val="20"/>
              </w:rPr>
              <w:t>88%</w:t>
            </w:r>
          </w:p>
        </w:tc>
        <w:tc>
          <w:tcPr>
            <w:tcW w:w="1350" w:type="dxa"/>
            <w:tcBorders>
              <w:bottom w:val="single" w:sz="4" w:space="0" w:color="3379BD"/>
            </w:tcBorders>
            <w:shd w:val="clear" w:color="auto" w:fill="D9D9D9" w:themeFill="background1" w:themeFillShade="D9"/>
            <w:vAlign w:val="center"/>
          </w:tcPr>
          <w:p w14:paraId="3141AC68" w14:textId="17D48583" w:rsidR="00FD1616" w:rsidRPr="00F05AAD" w:rsidRDefault="00FD1616" w:rsidP="00574955">
            <w:pPr>
              <w:tabs>
                <w:tab w:val="clear" w:pos="284"/>
              </w:tabs>
              <w:autoSpaceDE w:val="0"/>
              <w:autoSpaceDN w:val="0"/>
              <w:adjustRightInd w:val="0"/>
              <w:spacing w:line="240" w:lineRule="auto"/>
              <w:jc w:val="center"/>
              <w:rPr>
                <w:rFonts w:ascii="Calibri" w:hAnsi="Calibri" w:cs="Calibri"/>
                <w:color w:val="000000"/>
                <w:kern w:val="0"/>
                <w:sz w:val="22"/>
                <w:szCs w:val="22"/>
                <w:highlight w:val="green"/>
              </w:rPr>
            </w:pPr>
            <w:r>
              <w:rPr>
                <w:rFonts w:ascii="Calibri" w:hAnsi="Calibri" w:cs="Arial"/>
                <w:sz w:val="20"/>
                <w:szCs w:val="20"/>
              </w:rPr>
              <w:t>Pass</w:t>
            </w:r>
          </w:p>
        </w:tc>
        <w:tc>
          <w:tcPr>
            <w:tcW w:w="990" w:type="dxa"/>
            <w:tcBorders>
              <w:bottom w:val="single" w:sz="4" w:space="0" w:color="3379BD"/>
            </w:tcBorders>
            <w:shd w:val="clear" w:color="auto" w:fill="D9D9D9" w:themeFill="background1" w:themeFillShade="D9"/>
            <w:vAlign w:val="center"/>
          </w:tcPr>
          <w:p w14:paraId="3F7FE2A1" w14:textId="1CD5252F" w:rsidR="00FD1616" w:rsidRPr="00F05AAD" w:rsidRDefault="00FD1616" w:rsidP="00574955">
            <w:pPr>
              <w:tabs>
                <w:tab w:val="clear" w:pos="284"/>
              </w:tabs>
              <w:autoSpaceDE w:val="0"/>
              <w:autoSpaceDN w:val="0"/>
              <w:adjustRightInd w:val="0"/>
              <w:spacing w:line="240" w:lineRule="auto"/>
              <w:jc w:val="center"/>
              <w:rPr>
                <w:rFonts w:ascii="Calibri" w:hAnsi="Calibri" w:cs="Calibri"/>
                <w:color w:val="000000"/>
                <w:kern w:val="0"/>
                <w:sz w:val="22"/>
                <w:szCs w:val="22"/>
                <w:highlight w:val="green"/>
              </w:rPr>
            </w:pPr>
            <w:r>
              <w:rPr>
                <w:rFonts w:ascii="Calibri" w:hAnsi="Calibri" w:cs="Arial"/>
                <w:sz w:val="20"/>
                <w:szCs w:val="20"/>
              </w:rPr>
              <w:t>3.0</w:t>
            </w:r>
          </w:p>
        </w:tc>
      </w:tr>
      <w:tr w:rsidR="00FD1616" w:rsidRPr="00F05AAD" w14:paraId="60AC77A6" w14:textId="77777777" w:rsidTr="001438A9">
        <w:trPr>
          <w:trHeight w:val="288"/>
          <w:jc w:val="center"/>
        </w:trPr>
        <w:tc>
          <w:tcPr>
            <w:tcW w:w="2790" w:type="dxa"/>
            <w:shd w:val="clear" w:color="auto" w:fill="auto"/>
            <w:vAlign w:val="center"/>
          </w:tcPr>
          <w:p w14:paraId="76081DBB" w14:textId="38002A88" w:rsidR="00FD1616" w:rsidRDefault="00FD1616" w:rsidP="00574955">
            <w:pPr>
              <w:tabs>
                <w:tab w:val="clear" w:pos="284"/>
              </w:tabs>
              <w:autoSpaceDE w:val="0"/>
              <w:autoSpaceDN w:val="0"/>
              <w:adjustRightInd w:val="0"/>
              <w:spacing w:line="240" w:lineRule="auto"/>
              <w:rPr>
                <w:rFonts w:ascii="Calibri" w:hAnsi="Calibri" w:cs="Arial"/>
                <w:sz w:val="20"/>
                <w:szCs w:val="20"/>
              </w:rPr>
            </w:pPr>
            <w:r>
              <w:rPr>
                <w:rFonts w:ascii="Calibri" w:hAnsi="Calibri" w:cs="Arial"/>
                <w:sz w:val="20"/>
                <w:szCs w:val="20"/>
              </w:rPr>
              <w:t>120500011004-Pettit San Andreas Oil Field</w:t>
            </w:r>
          </w:p>
        </w:tc>
        <w:tc>
          <w:tcPr>
            <w:tcW w:w="1710" w:type="dxa"/>
            <w:shd w:val="clear" w:color="auto" w:fill="auto"/>
            <w:vAlign w:val="center"/>
          </w:tcPr>
          <w:p w14:paraId="3069737D" w14:textId="796C6E8E" w:rsidR="00FD1616" w:rsidRDefault="00FD1616" w:rsidP="00574955">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120500011004</w:t>
            </w:r>
          </w:p>
        </w:tc>
        <w:tc>
          <w:tcPr>
            <w:tcW w:w="810" w:type="dxa"/>
            <w:shd w:val="clear" w:color="auto" w:fill="auto"/>
            <w:vAlign w:val="center"/>
          </w:tcPr>
          <w:p w14:paraId="5880531B" w14:textId="4FDA44E8" w:rsidR="00FD1616" w:rsidRDefault="00FD1616" w:rsidP="00574955">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831</w:t>
            </w:r>
          </w:p>
        </w:tc>
        <w:tc>
          <w:tcPr>
            <w:tcW w:w="810" w:type="dxa"/>
            <w:shd w:val="clear" w:color="auto" w:fill="auto"/>
            <w:vAlign w:val="center"/>
          </w:tcPr>
          <w:p w14:paraId="4E0124B3" w14:textId="039253C6" w:rsidR="00FD1616" w:rsidRDefault="00FD1616" w:rsidP="00574955">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192</w:t>
            </w:r>
          </w:p>
        </w:tc>
        <w:tc>
          <w:tcPr>
            <w:tcW w:w="810" w:type="dxa"/>
            <w:shd w:val="clear" w:color="auto" w:fill="auto"/>
            <w:vAlign w:val="center"/>
          </w:tcPr>
          <w:p w14:paraId="1CE9C477" w14:textId="1FA47E17" w:rsidR="00FD1616" w:rsidRDefault="00FD1616" w:rsidP="00574955">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639</w:t>
            </w:r>
          </w:p>
        </w:tc>
        <w:tc>
          <w:tcPr>
            <w:tcW w:w="720" w:type="dxa"/>
            <w:shd w:val="clear" w:color="auto" w:fill="auto"/>
            <w:vAlign w:val="center"/>
          </w:tcPr>
          <w:p w14:paraId="4F22D01D" w14:textId="048603D0" w:rsidR="00FD1616" w:rsidRDefault="00FD1616" w:rsidP="00574955">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77%</w:t>
            </w:r>
          </w:p>
        </w:tc>
        <w:tc>
          <w:tcPr>
            <w:tcW w:w="1350" w:type="dxa"/>
            <w:shd w:val="clear" w:color="auto" w:fill="auto"/>
            <w:vAlign w:val="center"/>
          </w:tcPr>
          <w:p w14:paraId="0596BBEF" w14:textId="244CF2AB" w:rsidR="00FD1616" w:rsidRDefault="00FD1616" w:rsidP="00574955">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Fail</w:t>
            </w:r>
          </w:p>
        </w:tc>
        <w:tc>
          <w:tcPr>
            <w:tcW w:w="990" w:type="dxa"/>
            <w:shd w:val="clear" w:color="auto" w:fill="auto"/>
            <w:vAlign w:val="center"/>
          </w:tcPr>
          <w:p w14:paraId="02B479AC" w14:textId="37065520" w:rsidR="00FD1616" w:rsidRDefault="00FD1616" w:rsidP="00574955">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5.8</w:t>
            </w:r>
          </w:p>
        </w:tc>
      </w:tr>
    </w:tbl>
    <w:p w14:paraId="43B25DC9" w14:textId="6448E97A" w:rsidR="007E3CB5" w:rsidRDefault="00B31133" w:rsidP="00B31133">
      <w:pPr>
        <w:pStyle w:val="Caption"/>
        <w:jc w:val="center"/>
      </w:pPr>
      <w:r>
        <w:lastRenderedPageBreak/>
        <w:t>Table 1</w:t>
      </w:r>
      <w:r w:rsidR="009E73FE">
        <w:t>2</w:t>
      </w:r>
      <w:r w:rsidR="00DB51AA">
        <w:t>,</w:t>
      </w:r>
      <w:r>
        <w:t xml:space="preserve"> continued: </w:t>
      </w:r>
      <w:r w:rsidRPr="007E3CB5">
        <w:t>BLE Comparison Results</w:t>
      </w:r>
    </w:p>
    <w:tbl>
      <w:tblPr>
        <w:tblW w:w="9990" w:type="dxa"/>
        <w:jc w:val="center"/>
        <w:tblBorders>
          <w:top w:val="single" w:sz="4" w:space="0" w:color="3379BD"/>
          <w:left w:val="single" w:sz="4" w:space="0" w:color="3379BD"/>
          <w:bottom w:val="single" w:sz="4" w:space="0" w:color="3379BD"/>
          <w:right w:val="single" w:sz="4" w:space="0" w:color="3379BD"/>
          <w:insideH w:val="single" w:sz="4" w:space="0" w:color="3379BD"/>
          <w:insideV w:val="single" w:sz="4" w:space="0" w:color="3379BD"/>
        </w:tblBorders>
        <w:tblLayout w:type="fixed"/>
        <w:tblCellMar>
          <w:left w:w="30" w:type="dxa"/>
          <w:right w:w="30" w:type="dxa"/>
        </w:tblCellMar>
        <w:tblLook w:val="0000" w:firstRow="0" w:lastRow="0" w:firstColumn="0" w:lastColumn="0" w:noHBand="0" w:noVBand="0"/>
      </w:tblPr>
      <w:tblGrid>
        <w:gridCol w:w="2790"/>
        <w:gridCol w:w="1710"/>
        <w:gridCol w:w="810"/>
        <w:gridCol w:w="810"/>
        <w:gridCol w:w="810"/>
        <w:gridCol w:w="720"/>
        <w:gridCol w:w="1350"/>
        <w:gridCol w:w="990"/>
      </w:tblGrid>
      <w:tr w:rsidR="00DB51AA" w14:paraId="6501334B" w14:textId="77777777" w:rsidTr="00443C49">
        <w:trPr>
          <w:trHeight w:val="288"/>
          <w:jc w:val="center"/>
        </w:trPr>
        <w:tc>
          <w:tcPr>
            <w:tcW w:w="4500" w:type="dxa"/>
            <w:gridSpan w:val="2"/>
            <w:shd w:val="clear" w:color="auto" w:fill="00B5E2" w:themeFill="accent1"/>
            <w:vAlign w:val="center"/>
          </w:tcPr>
          <w:p w14:paraId="221068F1" w14:textId="77777777" w:rsidR="00DB51AA" w:rsidRPr="00DB51AA" w:rsidRDefault="00DB51AA" w:rsidP="00443C49">
            <w:pPr>
              <w:jc w:val="center"/>
              <w:rPr>
                <w:rFonts w:ascii="Calibri" w:hAnsi="Calibri"/>
                <w:b/>
                <w:color w:val="FFFFFF"/>
                <w:sz w:val="22"/>
                <w:szCs w:val="22"/>
              </w:rPr>
            </w:pPr>
            <w:r w:rsidRPr="00DB51AA">
              <w:rPr>
                <w:rFonts w:ascii="Calibri" w:hAnsi="Calibri"/>
                <w:b/>
                <w:color w:val="FFFFFF"/>
                <w:sz w:val="22"/>
                <w:szCs w:val="22"/>
              </w:rPr>
              <w:t>HUC-12 Watershed</w:t>
            </w:r>
          </w:p>
        </w:tc>
        <w:tc>
          <w:tcPr>
            <w:tcW w:w="810" w:type="dxa"/>
            <w:vMerge w:val="restart"/>
            <w:shd w:val="clear" w:color="auto" w:fill="00B5E2" w:themeFill="accent1"/>
            <w:vAlign w:val="center"/>
          </w:tcPr>
          <w:p w14:paraId="6A96BC9D" w14:textId="77777777" w:rsidR="00DB51AA" w:rsidRPr="00DB51AA" w:rsidRDefault="00DB51AA" w:rsidP="00443C49">
            <w:pPr>
              <w:jc w:val="center"/>
              <w:rPr>
                <w:rFonts w:ascii="Calibri" w:hAnsi="Calibri"/>
                <w:b/>
                <w:color w:val="FFFFFF"/>
                <w:sz w:val="22"/>
                <w:szCs w:val="22"/>
              </w:rPr>
            </w:pPr>
            <w:r w:rsidRPr="00DB51AA">
              <w:rPr>
                <w:rFonts w:ascii="Calibri" w:hAnsi="Calibri"/>
                <w:b/>
                <w:color w:val="FFFFFF"/>
                <w:sz w:val="22"/>
                <w:szCs w:val="22"/>
              </w:rPr>
              <w:t>Total FBS points</w:t>
            </w:r>
          </w:p>
        </w:tc>
        <w:tc>
          <w:tcPr>
            <w:tcW w:w="810" w:type="dxa"/>
            <w:vMerge w:val="restart"/>
            <w:shd w:val="clear" w:color="auto" w:fill="00B5E2" w:themeFill="accent1"/>
            <w:vAlign w:val="center"/>
          </w:tcPr>
          <w:p w14:paraId="33CED5C9" w14:textId="77777777" w:rsidR="00DB51AA" w:rsidRPr="00DB51AA" w:rsidRDefault="00DB51AA" w:rsidP="00443C49">
            <w:pPr>
              <w:jc w:val="center"/>
              <w:rPr>
                <w:rFonts w:ascii="Calibri" w:hAnsi="Calibri"/>
                <w:b/>
                <w:color w:val="FFFFFF"/>
                <w:sz w:val="22"/>
                <w:szCs w:val="22"/>
              </w:rPr>
            </w:pPr>
            <w:r w:rsidRPr="00DB51AA">
              <w:rPr>
                <w:rFonts w:ascii="Calibri" w:hAnsi="Calibri"/>
                <w:b/>
                <w:color w:val="FFFFFF"/>
                <w:sz w:val="22"/>
                <w:szCs w:val="22"/>
              </w:rPr>
              <w:t>Fail</w:t>
            </w:r>
          </w:p>
        </w:tc>
        <w:tc>
          <w:tcPr>
            <w:tcW w:w="810" w:type="dxa"/>
            <w:vMerge w:val="restart"/>
            <w:shd w:val="clear" w:color="auto" w:fill="00B5E2" w:themeFill="accent1"/>
            <w:vAlign w:val="center"/>
          </w:tcPr>
          <w:p w14:paraId="20EC5870" w14:textId="77777777" w:rsidR="00DB51AA" w:rsidRPr="00DB51AA" w:rsidRDefault="00DB51AA" w:rsidP="00443C49">
            <w:pPr>
              <w:jc w:val="center"/>
              <w:rPr>
                <w:rFonts w:ascii="Calibri" w:hAnsi="Calibri"/>
                <w:b/>
                <w:color w:val="FFFFFF"/>
                <w:sz w:val="22"/>
                <w:szCs w:val="22"/>
              </w:rPr>
            </w:pPr>
            <w:r w:rsidRPr="00DB51AA">
              <w:rPr>
                <w:rFonts w:ascii="Calibri" w:hAnsi="Calibri"/>
                <w:b/>
                <w:color w:val="FFFFFF"/>
                <w:sz w:val="22"/>
                <w:szCs w:val="22"/>
              </w:rPr>
              <w:t>Pass</w:t>
            </w:r>
          </w:p>
        </w:tc>
        <w:tc>
          <w:tcPr>
            <w:tcW w:w="720" w:type="dxa"/>
            <w:vMerge w:val="restart"/>
            <w:shd w:val="clear" w:color="auto" w:fill="00B5E2" w:themeFill="accent1"/>
            <w:vAlign w:val="center"/>
          </w:tcPr>
          <w:p w14:paraId="2609810E" w14:textId="77777777" w:rsidR="00DB51AA" w:rsidRPr="00DB51AA" w:rsidRDefault="00DB51AA" w:rsidP="00443C49">
            <w:pPr>
              <w:jc w:val="center"/>
              <w:rPr>
                <w:rFonts w:ascii="Calibri" w:hAnsi="Calibri"/>
                <w:b/>
                <w:color w:val="FFFFFF"/>
                <w:sz w:val="22"/>
                <w:szCs w:val="22"/>
              </w:rPr>
            </w:pPr>
            <w:r w:rsidRPr="00DB51AA">
              <w:rPr>
                <w:rFonts w:ascii="Calibri" w:hAnsi="Calibri"/>
                <w:b/>
                <w:color w:val="FFFFFF"/>
                <w:sz w:val="22"/>
                <w:szCs w:val="22"/>
              </w:rPr>
              <w:t>%Pass</w:t>
            </w:r>
          </w:p>
        </w:tc>
        <w:tc>
          <w:tcPr>
            <w:tcW w:w="1350" w:type="dxa"/>
            <w:vMerge w:val="restart"/>
            <w:shd w:val="clear" w:color="auto" w:fill="00B5E2" w:themeFill="accent1"/>
            <w:vAlign w:val="center"/>
          </w:tcPr>
          <w:p w14:paraId="55A8AAAF" w14:textId="77777777" w:rsidR="00DB51AA" w:rsidRPr="00DB51AA" w:rsidRDefault="00DB51AA" w:rsidP="00443C49">
            <w:pPr>
              <w:jc w:val="center"/>
              <w:rPr>
                <w:rFonts w:ascii="Calibri" w:hAnsi="Calibri"/>
                <w:b/>
                <w:color w:val="FFFFFF"/>
                <w:sz w:val="22"/>
                <w:szCs w:val="22"/>
              </w:rPr>
            </w:pPr>
            <w:r w:rsidRPr="00DB51AA">
              <w:rPr>
                <w:rFonts w:ascii="Calibri" w:hAnsi="Calibri"/>
                <w:b/>
                <w:color w:val="FFFFFF"/>
                <w:sz w:val="22"/>
                <w:szCs w:val="22"/>
              </w:rPr>
              <w:t>BLE Comparison Pass? (&gt;85%)</w:t>
            </w:r>
          </w:p>
        </w:tc>
        <w:tc>
          <w:tcPr>
            <w:tcW w:w="990" w:type="dxa"/>
            <w:vMerge w:val="restart"/>
            <w:shd w:val="clear" w:color="auto" w:fill="00B5E2" w:themeFill="accent1"/>
            <w:vAlign w:val="center"/>
          </w:tcPr>
          <w:p w14:paraId="42A8E90B" w14:textId="77777777" w:rsidR="00DB51AA" w:rsidRPr="00DB51AA" w:rsidRDefault="00DB51AA" w:rsidP="00443C49">
            <w:pPr>
              <w:jc w:val="center"/>
              <w:rPr>
                <w:rFonts w:ascii="Calibri" w:hAnsi="Calibri"/>
                <w:b/>
                <w:color w:val="FFFFFF"/>
                <w:sz w:val="22"/>
                <w:szCs w:val="22"/>
              </w:rPr>
            </w:pPr>
            <w:r w:rsidRPr="00DB51AA">
              <w:rPr>
                <w:rFonts w:ascii="Calibri" w:hAnsi="Calibri"/>
                <w:b/>
                <w:color w:val="FFFFFF"/>
                <w:sz w:val="22"/>
                <w:szCs w:val="22"/>
              </w:rPr>
              <w:t>Priority Score</w:t>
            </w:r>
          </w:p>
        </w:tc>
      </w:tr>
      <w:tr w:rsidR="00DB51AA" w14:paraId="11F668CC" w14:textId="77777777" w:rsidTr="005004BB">
        <w:trPr>
          <w:trHeight w:val="288"/>
          <w:jc w:val="center"/>
        </w:trPr>
        <w:tc>
          <w:tcPr>
            <w:tcW w:w="2790" w:type="dxa"/>
            <w:tcBorders>
              <w:bottom w:val="single" w:sz="4" w:space="0" w:color="3379BD"/>
            </w:tcBorders>
            <w:shd w:val="clear" w:color="auto" w:fill="00B5E2" w:themeFill="accent1"/>
          </w:tcPr>
          <w:p w14:paraId="7A19BE73" w14:textId="77777777" w:rsidR="00DB51AA" w:rsidRPr="00DB51AA" w:rsidRDefault="00DB51AA" w:rsidP="00443C49">
            <w:pPr>
              <w:rPr>
                <w:rFonts w:ascii="Calibri" w:hAnsi="Calibri"/>
                <w:b/>
                <w:color w:val="FFFFFF"/>
                <w:sz w:val="22"/>
                <w:szCs w:val="22"/>
              </w:rPr>
            </w:pPr>
            <w:r w:rsidRPr="00DB51AA">
              <w:rPr>
                <w:rFonts w:ascii="Calibri" w:hAnsi="Calibri"/>
                <w:b/>
                <w:color w:val="FFFFFF"/>
                <w:sz w:val="22"/>
                <w:szCs w:val="22"/>
              </w:rPr>
              <w:t>Watershed Name</w:t>
            </w:r>
          </w:p>
        </w:tc>
        <w:tc>
          <w:tcPr>
            <w:tcW w:w="1710" w:type="dxa"/>
            <w:tcBorders>
              <w:bottom w:val="single" w:sz="4" w:space="0" w:color="3379BD"/>
            </w:tcBorders>
            <w:shd w:val="clear" w:color="auto" w:fill="00B5E2" w:themeFill="accent1"/>
          </w:tcPr>
          <w:p w14:paraId="48AC4BCC" w14:textId="77777777" w:rsidR="00DB51AA" w:rsidRPr="00DB51AA" w:rsidRDefault="00DB51AA" w:rsidP="00443C49">
            <w:pPr>
              <w:rPr>
                <w:rFonts w:ascii="Calibri" w:hAnsi="Calibri"/>
                <w:b/>
                <w:color w:val="FFFFFF"/>
                <w:sz w:val="22"/>
                <w:szCs w:val="22"/>
              </w:rPr>
            </w:pPr>
            <w:r w:rsidRPr="00DB51AA">
              <w:rPr>
                <w:rFonts w:ascii="Calibri" w:hAnsi="Calibri"/>
                <w:b/>
                <w:color w:val="FFFFFF"/>
                <w:sz w:val="22"/>
                <w:szCs w:val="22"/>
              </w:rPr>
              <w:t>Watershed Number</w:t>
            </w:r>
          </w:p>
        </w:tc>
        <w:tc>
          <w:tcPr>
            <w:tcW w:w="810" w:type="dxa"/>
            <w:vMerge/>
            <w:tcBorders>
              <w:bottom w:val="single" w:sz="4" w:space="0" w:color="3379BD"/>
            </w:tcBorders>
            <w:shd w:val="clear" w:color="auto" w:fill="00B5E2" w:themeFill="accent1"/>
          </w:tcPr>
          <w:p w14:paraId="14E49AEB" w14:textId="77777777" w:rsidR="00DB51AA" w:rsidRPr="009A3514" w:rsidRDefault="00DB51AA" w:rsidP="00443C49">
            <w:pPr>
              <w:jc w:val="right"/>
              <w:rPr>
                <w:rFonts w:ascii="Calibri" w:hAnsi="Calibri"/>
                <w:color w:val="FFFFFF"/>
                <w:sz w:val="22"/>
                <w:szCs w:val="22"/>
              </w:rPr>
            </w:pPr>
          </w:p>
        </w:tc>
        <w:tc>
          <w:tcPr>
            <w:tcW w:w="810" w:type="dxa"/>
            <w:vMerge/>
            <w:tcBorders>
              <w:bottom w:val="single" w:sz="4" w:space="0" w:color="3379BD"/>
            </w:tcBorders>
            <w:shd w:val="clear" w:color="auto" w:fill="00B5E2" w:themeFill="accent1"/>
          </w:tcPr>
          <w:p w14:paraId="2117D9A1" w14:textId="77777777" w:rsidR="00DB51AA" w:rsidRPr="009A3514" w:rsidRDefault="00DB51AA" w:rsidP="00443C49">
            <w:pPr>
              <w:jc w:val="center"/>
              <w:rPr>
                <w:rFonts w:ascii="Calibri" w:hAnsi="Calibri"/>
                <w:color w:val="FFFFFF"/>
                <w:sz w:val="22"/>
                <w:szCs w:val="22"/>
              </w:rPr>
            </w:pPr>
          </w:p>
        </w:tc>
        <w:tc>
          <w:tcPr>
            <w:tcW w:w="810" w:type="dxa"/>
            <w:vMerge/>
            <w:tcBorders>
              <w:bottom w:val="single" w:sz="4" w:space="0" w:color="3379BD"/>
            </w:tcBorders>
            <w:shd w:val="clear" w:color="auto" w:fill="00B5E2" w:themeFill="accent1"/>
          </w:tcPr>
          <w:p w14:paraId="2B04A811" w14:textId="77777777" w:rsidR="00DB51AA" w:rsidRPr="009A3514" w:rsidRDefault="00DB51AA" w:rsidP="00443C49">
            <w:pPr>
              <w:jc w:val="center"/>
              <w:rPr>
                <w:rFonts w:ascii="Calibri" w:hAnsi="Calibri"/>
                <w:color w:val="FFFFFF"/>
                <w:sz w:val="22"/>
                <w:szCs w:val="22"/>
              </w:rPr>
            </w:pPr>
          </w:p>
        </w:tc>
        <w:tc>
          <w:tcPr>
            <w:tcW w:w="720" w:type="dxa"/>
            <w:vMerge/>
            <w:tcBorders>
              <w:bottom w:val="single" w:sz="4" w:space="0" w:color="3379BD"/>
            </w:tcBorders>
            <w:shd w:val="clear" w:color="auto" w:fill="00B5E2" w:themeFill="accent1"/>
          </w:tcPr>
          <w:p w14:paraId="6CB05EF4" w14:textId="77777777" w:rsidR="00DB51AA" w:rsidRPr="009A3514" w:rsidRDefault="00DB51AA" w:rsidP="00443C49">
            <w:pPr>
              <w:jc w:val="center"/>
              <w:rPr>
                <w:rFonts w:ascii="Calibri" w:hAnsi="Calibri"/>
                <w:color w:val="FFFFFF"/>
                <w:sz w:val="22"/>
                <w:szCs w:val="22"/>
              </w:rPr>
            </w:pPr>
          </w:p>
        </w:tc>
        <w:tc>
          <w:tcPr>
            <w:tcW w:w="1350" w:type="dxa"/>
            <w:vMerge/>
            <w:tcBorders>
              <w:bottom w:val="single" w:sz="4" w:space="0" w:color="3379BD"/>
            </w:tcBorders>
            <w:shd w:val="clear" w:color="auto" w:fill="00B5E2" w:themeFill="accent1"/>
          </w:tcPr>
          <w:p w14:paraId="45379B1F" w14:textId="77777777" w:rsidR="00DB51AA" w:rsidRPr="009A3514" w:rsidRDefault="00DB51AA" w:rsidP="00443C49">
            <w:pPr>
              <w:jc w:val="center"/>
              <w:rPr>
                <w:rFonts w:ascii="Calibri" w:hAnsi="Calibri"/>
                <w:color w:val="FFFFFF"/>
                <w:sz w:val="22"/>
                <w:szCs w:val="22"/>
              </w:rPr>
            </w:pPr>
          </w:p>
        </w:tc>
        <w:tc>
          <w:tcPr>
            <w:tcW w:w="990" w:type="dxa"/>
            <w:vMerge/>
            <w:tcBorders>
              <w:bottom w:val="single" w:sz="4" w:space="0" w:color="3379BD"/>
            </w:tcBorders>
            <w:shd w:val="clear" w:color="auto" w:fill="00B5E2" w:themeFill="accent1"/>
          </w:tcPr>
          <w:p w14:paraId="0146BE12" w14:textId="77777777" w:rsidR="00DB51AA" w:rsidRPr="009A3514" w:rsidRDefault="00DB51AA" w:rsidP="00443C49">
            <w:pPr>
              <w:jc w:val="center"/>
              <w:rPr>
                <w:rFonts w:ascii="Calibri" w:hAnsi="Calibri"/>
                <w:color w:val="FFFFFF"/>
                <w:sz w:val="22"/>
                <w:szCs w:val="22"/>
              </w:rPr>
            </w:pPr>
          </w:p>
        </w:tc>
      </w:tr>
      <w:tr w:rsidR="00D55765" w:rsidRPr="00F05AAD" w14:paraId="2C1569A0" w14:textId="77777777" w:rsidTr="005004BB">
        <w:trPr>
          <w:trHeight w:val="413"/>
          <w:jc w:val="center"/>
        </w:trPr>
        <w:tc>
          <w:tcPr>
            <w:tcW w:w="2790" w:type="dxa"/>
            <w:tcBorders>
              <w:bottom w:val="single" w:sz="4" w:space="0" w:color="3379BD"/>
            </w:tcBorders>
            <w:shd w:val="clear" w:color="auto" w:fill="D9D9D9" w:themeFill="background1" w:themeFillShade="D9"/>
            <w:vAlign w:val="center"/>
          </w:tcPr>
          <w:p w14:paraId="3297F3FE" w14:textId="39D776F4" w:rsidR="00D55765" w:rsidRDefault="00D55765" w:rsidP="00443C49">
            <w:pPr>
              <w:tabs>
                <w:tab w:val="clear" w:pos="284"/>
              </w:tabs>
              <w:autoSpaceDE w:val="0"/>
              <w:autoSpaceDN w:val="0"/>
              <w:adjustRightInd w:val="0"/>
              <w:spacing w:line="240" w:lineRule="auto"/>
              <w:rPr>
                <w:rFonts w:ascii="Calibri" w:hAnsi="Calibri" w:cs="Arial"/>
                <w:sz w:val="20"/>
                <w:szCs w:val="20"/>
              </w:rPr>
            </w:pPr>
            <w:r>
              <w:rPr>
                <w:rFonts w:ascii="Calibri" w:hAnsi="Calibri" w:cs="Arial"/>
                <w:sz w:val="20"/>
                <w:szCs w:val="20"/>
              </w:rPr>
              <w:t>South Pasture Tank-Yellow House Draw</w:t>
            </w:r>
          </w:p>
        </w:tc>
        <w:tc>
          <w:tcPr>
            <w:tcW w:w="1710" w:type="dxa"/>
            <w:tcBorders>
              <w:bottom w:val="single" w:sz="4" w:space="0" w:color="3379BD"/>
            </w:tcBorders>
            <w:shd w:val="clear" w:color="auto" w:fill="D9D9D9" w:themeFill="background1" w:themeFillShade="D9"/>
            <w:vAlign w:val="center"/>
          </w:tcPr>
          <w:p w14:paraId="0A7816F7" w14:textId="19FB5153" w:rsidR="00D55765" w:rsidRDefault="00D55765" w:rsidP="00443C49">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120500011005</w:t>
            </w:r>
          </w:p>
        </w:tc>
        <w:tc>
          <w:tcPr>
            <w:tcW w:w="810" w:type="dxa"/>
            <w:tcBorders>
              <w:bottom w:val="single" w:sz="4" w:space="0" w:color="3379BD"/>
            </w:tcBorders>
            <w:shd w:val="clear" w:color="auto" w:fill="D9D9D9" w:themeFill="background1" w:themeFillShade="D9"/>
            <w:vAlign w:val="center"/>
          </w:tcPr>
          <w:p w14:paraId="3C15C458" w14:textId="596B9918" w:rsidR="00D55765" w:rsidRDefault="00D55765" w:rsidP="00443C49">
            <w:pPr>
              <w:jc w:val="center"/>
              <w:rPr>
                <w:rFonts w:ascii="Calibri" w:hAnsi="Calibri" w:cs="Arial"/>
                <w:sz w:val="20"/>
                <w:szCs w:val="20"/>
              </w:rPr>
            </w:pPr>
            <w:r>
              <w:rPr>
                <w:rFonts w:ascii="Calibri" w:hAnsi="Calibri" w:cs="Arial"/>
                <w:sz w:val="20"/>
                <w:szCs w:val="20"/>
              </w:rPr>
              <w:t>1,192</w:t>
            </w:r>
          </w:p>
        </w:tc>
        <w:tc>
          <w:tcPr>
            <w:tcW w:w="810" w:type="dxa"/>
            <w:tcBorders>
              <w:bottom w:val="single" w:sz="4" w:space="0" w:color="3379BD"/>
            </w:tcBorders>
            <w:shd w:val="clear" w:color="auto" w:fill="D9D9D9" w:themeFill="background1" w:themeFillShade="D9"/>
            <w:vAlign w:val="center"/>
          </w:tcPr>
          <w:p w14:paraId="2A1A29CE" w14:textId="0FDD138D" w:rsidR="00D55765" w:rsidRDefault="00D55765" w:rsidP="00443C49">
            <w:pPr>
              <w:jc w:val="center"/>
              <w:rPr>
                <w:rFonts w:ascii="Calibri" w:hAnsi="Calibri" w:cs="Arial"/>
                <w:sz w:val="20"/>
                <w:szCs w:val="20"/>
              </w:rPr>
            </w:pPr>
            <w:r>
              <w:rPr>
                <w:rFonts w:ascii="Calibri" w:hAnsi="Calibri" w:cs="Arial"/>
                <w:sz w:val="20"/>
                <w:szCs w:val="20"/>
              </w:rPr>
              <w:t>328</w:t>
            </w:r>
          </w:p>
        </w:tc>
        <w:tc>
          <w:tcPr>
            <w:tcW w:w="810" w:type="dxa"/>
            <w:tcBorders>
              <w:bottom w:val="single" w:sz="4" w:space="0" w:color="3379BD"/>
            </w:tcBorders>
            <w:shd w:val="clear" w:color="auto" w:fill="D9D9D9" w:themeFill="background1" w:themeFillShade="D9"/>
            <w:vAlign w:val="center"/>
          </w:tcPr>
          <w:p w14:paraId="48C28267" w14:textId="2F43B5EE" w:rsidR="00D55765" w:rsidRDefault="00D55765" w:rsidP="00443C49">
            <w:pPr>
              <w:jc w:val="center"/>
              <w:rPr>
                <w:rFonts w:ascii="Calibri" w:hAnsi="Calibri" w:cs="Arial"/>
                <w:sz w:val="20"/>
                <w:szCs w:val="20"/>
              </w:rPr>
            </w:pPr>
            <w:r>
              <w:rPr>
                <w:rFonts w:ascii="Calibri" w:hAnsi="Calibri" w:cs="Arial"/>
                <w:sz w:val="20"/>
                <w:szCs w:val="20"/>
              </w:rPr>
              <w:t>864</w:t>
            </w:r>
          </w:p>
        </w:tc>
        <w:tc>
          <w:tcPr>
            <w:tcW w:w="720" w:type="dxa"/>
            <w:tcBorders>
              <w:bottom w:val="single" w:sz="4" w:space="0" w:color="3379BD"/>
            </w:tcBorders>
            <w:shd w:val="clear" w:color="auto" w:fill="D9D9D9" w:themeFill="background1" w:themeFillShade="D9"/>
            <w:vAlign w:val="center"/>
          </w:tcPr>
          <w:p w14:paraId="69117698" w14:textId="53A73DA8" w:rsidR="00D55765" w:rsidRDefault="00D55765" w:rsidP="00443C49">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72%</w:t>
            </w:r>
          </w:p>
        </w:tc>
        <w:tc>
          <w:tcPr>
            <w:tcW w:w="1350" w:type="dxa"/>
            <w:tcBorders>
              <w:bottom w:val="single" w:sz="4" w:space="0" w:color="3379BD"/>
            </w:tcBorders>
            <w:shd w:val="clear" w:color="auto" w:fill="D9D9D9" w:themeFill="background1" w:themeFillShade="D9"/>
            <w:vAlign w:val="center"/>
          </w:tcPr>
          <w:p w14:paraId="5DFF8281" w14:textId="51F539D6" w:rsidR="00D55765" w:rsidRDefault="00D55765" w:rsidP="00443C49">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Fail</w:t>
            </w:r>
          </w:p>
        </w:tc>
        <w:tc>
          <w:tcPr>
            <w:tcW w:w="990" w:type="dxa"/>
            <w:tcBorders>
              <w:bottom w:val="single" w:sz="4" w:space="0" w:color="3379BD"/>
            </w:tcBorders>
            <w:shd w:val="clear" w:color="auto" w:fill="D9D9D9" w:themeFill="background1" w:themeFillShade="D9"/>
            <w:vAlign w:val="center"/>
          </w:tcPr>
          <w:p w14:paraId="2E3E6E2C" w14:textId="47B89E7C" w:rsidR="00D55765" w:rsidRDefault="00D55765" w:rsidP="00443C49">
            <w:pPr>
              <w:tabs>
                <w:tab w:val="clear" w:pos="284"/>
              </w:tabs>
              <w:autoSpaceDE w:val="0"/>
              <w:autoSpaceDN w:val="0"/>
              <w:adjustRightInd w:val="0"/>
              <w:spacing w:line="240" w:lineRule="auto"/>
              <w:rPr>
                <w:rFonts w:ascii="Calibri" w:hAnsi="Calibri" w:cs="Arial"/>
                <w:sz w:val="20"/>
                <w:szCs w:val="20"/>
              </w:rPr>
            </w:pPr>
            <w:r>
              <w:rPr>
                <w:rFonts w:ascii="Calibri" w:hAnsi="Calibri" w:cs="Arial"/>
                <w:sz w:val="20"/>
                <w:szCs w:val="20"/>
              </w:rPr>
              <w:t>6.9</w:t>
            </w:r>
          </w:p>
        </w:tc>
      </w:tr>
      <w:tr w:rsidR="00D55765" w:rsidRPr="00F05AAD" w14:paraId="50C861D3" w14:textId="77777777" w:rsidTr="00D55765">
        <w:trPr>
          <w:trHeight w:val="413"/>
          <w:jc w:val="center"/>
        </w:trPr>
        <w:tc>
          <w:tcPr>
            <w:tcW w:w="2790" w:type="dxa"/>
            <w:tcBorders>
              <w:bottom w:val="single" w:sz="4" w:space="0" w:color="3379BD"/>
            </w:tcBorders>
            <w:shd w:val="clear" w:color="auto" w:fill="FFFFFF" w:themeFill="background1"/>
            <w:vAlign w:val="center"/>
          </w:tcPr>
          <w:p w14:paraId="7E6EE162" w14:textId="10A4C96D" w:rsidR="00D55765" w:rsidRDefault="00D55765" w:rsidP="00443C49">
            <w:pPr>
              <w:tabs>
                <w:tab w:val="clear" w:pos="284"/>
              </w:tabs>
              <w:autoSpaceDE w:val="0"/>
              <w:autoSpaceDN w:val="0"/>
              <w:adjustRightInd w:val="0"/>
              <w:spacing w:line="240" w:lineRule="auto"/>
              <w:rPr>
                <w:rFonts w:ascii="Calibri" w:hAnsi="Calibri" w:cs="Arial"/>
                <w:sz w:val="20"/>
                <w:szCs w:val="20"/>
              </w:rPr>
            </w:pPr>
            <w:r>
              <w:rPr>
                <w:rFonts w:ascii="Calibri" w:hAnsi="Calibri" w:cs="Arial"/>
                <w:sz w:val="20"/>
                <w:szCs w:val="20"/>
              </w:rPr>
              <w:t>Goat Draw-Illusion Lake</w:t>
            </w:r>
          </w:p>
        </w:tc>
        <w:tc>
          <w:tcPr>
            <w:tcW w:w="1710" w:type="dxa"/>
            <w:tcBorders>
              <w:bottom w:val="single" w:sz="4" w:space="0" w:color="3379BD"/>
            </w:tcBorders>
            <w:shd w:val="clear" w:color="auto" w:fill="FFFFFF" w:themeFill="background1"/>
            <w:vAlign w:val="center"/>
          </w:tcPr>
          <w:p w14:paraId="7EC9648F" w14:textId="1CD00DED" w:rsidR="00D55765" w:rsidRDefault="00D55765" w:rsidP="00443C49">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120500011006</w:t>
            </w:r>
          </w:p>
        </w:tc>
        <w:tc>
          <w:tcPr>
            <w:tcW w:w="810" w:type="dxa"/>
            <w:tcBorders>
              <w:bottom w:val="single" w:sz="4" w:space="0" w:color="3379BD"/>
            </w:tcBorders>
            <w:shd w:val="clear" w:color="auto" w:fill="FFFFFF" w:themeFill="background1"/>
            <w:vAlign w:val="center"/>
          </w:tcPr>
          <w:p w14:paraId="0F23BAD0" w14:textId="74B300D4" w:rsidR="00D55765" w:rsidRDefault="00D55765" w:rsidP="00443C49">
            <w:pPr>
              <w:jc w:val="center"/>
              <w:rPr>
                <w:rFonts w:ascii="Calibri" w:hAnsi="Calibri" w:cs="Arial"/>
                <w:sz w:val="20"/>
                <w:szCs w:val="20"/>
              </w:rPr>
            </w:pPr>
            <w:r>
              <w:rPr>
                <w:rFonts w:ascii="Calibri" w:hAnsi="Calibri" w:cs="Arial"/>
                <w:sz w:val="20"/>
                <w:szCs w:val="20"/>
              </w:rPr>
              <w:t>510</w:t>
            </w:r>
          </w:p>
        </w:tc>
        <w:tc>
          <w:tcPr>
            <w:tcW w:w="810" w:type="dxa"/>
            <w:tcBorders>
              <w:bottom w:val="single" w:sz="4" w:space="0" w:color="3379BD"/>
            </w:tcBorders>
            <w:shd w:val="clear" w:color="auto" w:fill="FFFFFF" w:themeFill="background1"/>
            <w:vAlign w:val="center"/>
          </w:tcPr>
          <w:p w14:paraId="68C27096" w14:textId="1233CD03" w:rsidR="00D55765" w:rsidRDefault="00D55765" w:rsidP="00443C49">
            <w:pPr>
              <w:jc w:val="center"/>
              <w:rPr>
                <w:rFonts w:ascii="Calibri" w:hAnsi="Calibri" w:cs="Arial"/>
                <w:sz w:val="20"/>
                <w:szCs w:val="20"/>
              </w:rPr>
            </w:pPr>
            <w:r>
              <w:rPr>
                <w:rFonts w:ascii="Calibri" w:hAnsi="Calibri" w:cs="Arial"/>
                <w:sz w:val="20"/>
                <w:szCs w:val="20"/>
              </w:rPr>
              <w:t>111</w:t>
            </w:r>
          </w:p>
        </w:tc>
        <w:tc>
          <w:tcPr>
            <w:tcW w:w="810" w:type="dxa"/>
            <w:tcBorders>
              <w:bottom w:val="single" w:sz="4" w:space="0" w:color="3379BD"/>
            </w:tcBorders>
            <w:shd w:val="clear" w:color="auto" w:fill="FFFFFF" w:themeFill="background1"/>
            <w:vAlign w:val="center"/>
          </w:tcPr>
          <w:p w14:paraId="06661F16" w14:textId="684CB9A3" w:rsidR="00D55765" w:rsidRDefault="00D55765" w:rsidP="00443C49">
            <w:pPr>
              <w:jc w:val="center"/>
              <w:rPr>
                <w:rFonts w:ascii="Calibri" w:hAnsi="Calibri" w:cs="Arial"/>
                <w:sz w:val="20"/>
                <w:szCs w:val="20"/>
              </w:rPr>
            </w:pPr>
            <w:r>
              <w:rPr>
                <w:rFonts w:ascii="Calibri" w:hAnsi="Calibri" w:cs="Arial"/>
                <w:sz w:val="20"/>
                <w:szCs w:val="20"/>
              </w:rPr>
              <w:t>399</w:t>
            </w:r>
          </w:p>
        </w:tc>
        <w:tc>
          <w:tcPr>
            <w:tcW w:w="720" w:type="dxa"/>
            <w:tcBorders>
              <w:bottom w:val="single" w:sz="4" w:space="0" w:color="3379BD"/>
            </w:tcBorders>
            <w:shd w:val="clear" w:color="auto" w:fill="FFFFFF" w:themeFill="background1"/>
            <w:vAlign w:val="center"/>
          </w:tcPr>
          <w:p w14:paraId="16C33462" w14:textId="627AA257" w:rsidR="00D55765" w:rsidRDefault="00D55765" w:rsidP="00443C49">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78%</w:t>
            </w:r>
          </w:p>
        </w:tc>
        <w:tc>
          <w:tcPr>
            <w:tcW w:w="1350" w:type="dxa"/>
            <w:tcBorders>
              <w:bottom w:val="single" w:sz="4" w:space="0" w:color="3379BD"/>
            </w:tcBorders>
            <w:shd w:val="clear" w:color="auto" w:fill="FFFFFF" w:themeFill="background1"/>
            <w:vAlign w:val="center"/>
          </w:tcPr>
          <w:p w14:paraId="59BD5F94" w14:textId="15B2D4AD" w:rsidR="00D55765" w:rsidRDefault="00D55765" w:rsidP="00443C49">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Fail</w:t>
            </w:r>
          </w:p>
        </w:tc>
        <w:tc>
          <w:tcPr>
            <w:tcW w:w="990" w:type="dxa"/>
            <w:tcBorders>
              <w:bottom w:val="single" w:sz="4" w:space="0" w:color="3379BD"/>
            </w:tcBorders>
            <w:shd w:val="clear" w:color="auto" w:fill="FFFFFF" w:themeFill="background1"/>
            <w:vAlign w:val="center"/>
          </w:tcPr>
          <w:p w14:paraId="510891A6" w14:textId="0895A800" w:rsidR="00D55765" w:rsidRDefault="00D55765" w:rsidP="00443C49">
            <w:pPr>
              <w:tabs>
                <w:tab w:val="clear" w:pos="284"/>
              </w:tabs>
              <w:autoSpaceDE w:val="0"/>
              <w:autoSpaceDN w:val="0"/>
              <w:adjustRightInd w:val="0"/>
              <w:spacing w:line="240" w:lineRule="auto"/>
              <w:rPr>
                <w:rFonts w:ascii="Calibri" w:hAnsi="Calibri" w:cs="Arial"/>
                <w:sz w:val="20"/>
                <w:szCs w:val="20"/>
              </w:rPr>
            </w:pPr>
            <w:r>
              <w:rPr>
                <w:rFonts w:ascii="Calibri" w:hAnsi="Calibri" w:cs="Arial"/>
                <w:sz w:val="20"/>
                <w:szCs w:val="20"/>
              </w:rPr>
              <w:t>5.4</w:t>
            </w:r>
          </w:p>
        </w:tc>
      </w:tr>
      <w:tr w:rsidR="00FD1616" w:rsidRPr="00F05AAD" w14:paraId="032BDA16" w14:textId="77777777" w:rsidTr="005004BB">
        <w:trPr>
          <w:trHeight w:val="413"/>
          <w:jc w:val="center"/>
        </w:trPr>
        <w:tc>
          <w:tcPr>
            <w:tcW w:w="2790" w:type="dxa"/>
            <w:tcBorders>
              <w:bottom w:val="single" w:sz="4" w:space="0" w:color="3379BD"/>
            </w:tcBorders>
            <w:shd w:val="clear" w:color="auto" w:fill="D9D9D9" w:themeFill="background1" w:themeFillShade="D9"/>
            <w:vAlign w:val="center"/>
          </w:tcPr>
          <w:p w14:paraId="3E98EFED" w14:textId="34E0F9CA" w:rsidR="00FD1616" w:rsidRDefault="00FD1616" w:rsidP="00443C49">
            <w:pPr>
              <w:tabs>
                <w:tab w:val="clear" w:pos="284"/>
              </w:tabs>
              <w:autoSpaceDE w:val="0"/>
              <w:autoSpaceDN w:val="0"/>
              <w:adjustRightInd w:val="0"/>
              <w:spacing w:line="240" w:lineRule="auto"/>
              <w:rPr>
                <w:rFonts w:ascii="Calibri" w:hAnsi="Calibri" w:cs="Arial"/>
                <w:sz w:val="20"/>
                <w:szCs w:val="20"/>
              </w:rPr>
            </w:pPr>
            <w:r>
              <w:rPr>
                <w:rFonts w:ascii="Calibri" w:hAnsi="Calibri" w:cs="Arial"/>
                <w:sz w:val="20"/>
                <w:szCs w:val="20"/>
              </w:rPr>
              <w:t>McCauley Well-Yellow House Draw</w:t>
            </w:r>
          </w:p>
        </w:tc>
        <w:tc>
          <w:tcPr>
            <w:tcW w:w="1710" w:type="dxa"/>
            <w:tcBorders>
              <w:bottom w:val="single" w:sz="4" w:space="0" w:color="3379BD"/>
            </w:tcBorders>
            <w:shd w:val="clear" w:color="auto" w:fill="D9D9D9" w:themeFill="background1" w:themeFillShade="D9"/>
            <w:vAlign w:val="center"/>
          </w:tcPr>
          <w:p w14:paraId="0C393D61" w14:textId="35DB9186" w:rsidR="00FD1616" w:rsidRDefault="00FD1616" w:rsidP="00443C49">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120500011202</w:t>
            </w:r>
          </w:p>
        </w:tc>
        <w:tc>
          <w:tcPr>
            <w:tcW w:w="810" w:type="dxa"/>
            <w:tcBorders>
              <w:bottom w:val="single" w:sz="4" w:space="0" w:color="3379BD"/>
            </w:tcBorders>
            <w:shd w:val="clear" w:color="auto" w:fill="D9D9D9" w:themeFill="background1" w:themeFillShade="D9"/>
            <w:vAlign w:val="center"/>
          </w:tcPr>
          <w:p w14:paraId="0AF46365" w14:textId="436AA509" w:rsidR="00FD1616" w:rsidRDefault="00FD1616" w:rsidP="00443C49">
            <w:pPr>
              <w:jc w:val="center"/>
              <w:rPr>
                <w:rFonts w:ascii="Calibri" w:hAnsi="Calibri" w:cs="Arial"/>
                <w:sz w:val="20"/>
                <w:szCs w:val="20"/>
              </w:rPr>
            </w:pPr>
            <w:r>
              <w:rPr>
                <w:rFonts w:ascii="Calibri" w:hAnsi="Calibri" w:cs="Arial"/>
                <w:sz w:val="20"/>
                <w:szCs w:val="20"/>
              </w:rPr>
              <w:t>1,446</w:t>
            </w:r>
          </w:p>
        </w:tc>
        <w:tc>
          <w:tcPr>
            <w:tcW w:w="810" w:type="dxa"/>
            <w:tcBorders>
              <w:bottom w:val="single" w:sz="4" w:space="0" w:color="3379BD"/>
            </w:tcBorders>
            <w:shd w:val="clear" w:color="auto" w:fill="D9D9D9" w:themeFill="background1" w:themeFillShade="D9"/>
            <w:vAlign w:val="center"/>
          </w:tcPr>
          <w:p w14:paraId="5C95D329" w14:textId="6D4A1E90" w:rsidR="00FD1616" w:rsidRDefault="00FD1616" w:rsidP="00443C49">
            <w:pPr>
              <w:jc w:val="center"/>
              <w:rPr>
                <w:rFonts w:ascii="Calibri" w:hAnsi="Calibri" w:cs="Arial"/>
                <w:sz w:val="20"/>
                <w:szCs w:val="20"/>
              </w:rPr>
            </w:pPr>
            <w:r>
              <w:rPr>
                <w:rFonts w:ascii="Calibri" w:hAnsi="Calibri" w:cs="Arial"/>
                <w:sz w:val="20"/>
                <w:szCs w:val="20"/>
              </w:rPr>
              <w:t>425</w:t>
            </w:r>
          </w:p>
        </w:tc>
        <w:tc>
          <w:tcPr>
            <w:tcW w:w="810" w:type="dxa"/>
            <w:tcBorders>
              <w:bottom w:val="single" w:sz="4" w:space="0" w:color="3379BD"/>
            </w:tcBorders>
            <w:shd w:val="clear" w:color="auto" w:fill="D9D9D9" w:themeFill="background1" w:themeFillShade="D9"/>
            <w:vAlign w:val="center"/>
          </w:tcPr>
          <w:p w14:paraId="7AD2B1F2" w14:textId="4F83616A" w:rsidR="00FD1616" w:rsidRDefault="00FD1616" w:rsidP="00443C49">
            <w:pPr>
              <w:jc w:val="center"/>
              <w:rPr>
                <w:rFonts w:ascii="Calibri" w:hAnsi="Calibri" w:cs="Arial"/>
                <w:sz w:val="20"/>
                <w:szCs w:val="20"/>
              </w:rPr>
            </w:pPr>
            <w:r>
              <w:rPr>
                <w:rFonts w:ascii="Calibri" w:hAnsi="Calibri" w:cs="Arial"/>
                <w:sz w:val="20"/>
                <w:szCs w:val="20"/>
              </w:rPr>
              <w:t>1,021</w:t>
            </w:r>
          </w:p>
        </w:tc>
        <w:tc>
          <w:tcPr>
            <w:tcW w:w="720" w:type="dxa"/>
            <w:tcBorders>
              <w:bottom w:val="single" w:sz="4" w:space="0" w:color="3379BD"/>
            </w:tcBorders>
            <w:shd w:val="clear" w:color="auto" w:fill="D9D9D9" w:themeFill="background1" w:themeFillShade="D9"/>
            <w:vAlign w:val="center"/>
          </w:tcPr>
          <w:p w14:paraId="000179E5" w14:textId="7E3CF6F2" w:rsidR="00FD1616" w:rsidRDefault="00FD1616" w:rsidP="00443C49">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71%</w:t>
            </w:r>
          </w:p>
        </w:tc>
        <w:tc>
          <w:tcPr>
            <w:tcW w:w="1350" w:type="dxa"/>
            <w:tcBorders>
              <w:bottom w:val="single" w:sz="4" w:space="0" w:color="3379BD"/>
            </w:tcBorders>
            <w:shd w:val="clear" w:color="auto" w:fill="D9D9D9" w:themeFill="background1" w:themeFillShade="D9"/>
            <w:vAlign w:val="center"/>
          </w:tcPr>
          <w:p w14:paraId="53ADE5BC" w14:textId="03DAA125" w:rsidR="00FD1616" w:rsidRDefault="00FD1616" w:rsidP="00443C49">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Fail</w:t>
            </w:r>
          </w:p>
        </w:tc>
        <w:tc>
          <w:tcPr>
            <w:tcW w:w="990" w:type="dxa"/>
            <w:tcBorders>
              <w:bottom w:val="single" w:sz="4" w:space="0" w:color="3379BD"/>
            </w:tcBorders>
            <w:shd w:val="clear" w:color="auto" w:fill="D9D9D9" w:themeFill="background1" w:themeFillShade="D9"/>
            <w:vAlign w:val="center"/>
          </w:tcPr>
          <w:p w14:paraId="51534932" w14:textId="7564CC40" w:rsidR="00FD1616" w:rsidRDefault="00FD1616" w:rsidP="00443C49">
            <w:pPr>
              <w:tabs>
                <w:tab w:val="clear" w:pos="284"/>
              </w:tabs>
              <w:autoSpaceDE w:val="0"/>
              <w:autoSpaceDN w:val="0"/>
              <w:adjustRightInd w:val="0"/>
              <w:spacing w:line="240" w:lineRule="auto"/>
              <w:rPr>
                <w:rFonts w:ascii="Calibri" w:hAnsi="Calibri" w:cs="Arial"/>
                <w:sz w:val="20"/>
                <w:szCs w:val="20"/>
              </w:rPr>
            </w:pPr>
            <w:r>
              <w:rPr>
                <w:rFonts w:ascii="Calibri" w:hAnsi="Calibri" w:cs="Arial"/>
                <w:sz w:val="20"/>
                <w:szCs w:val="20"/>
              </w:rPr>
              <w:t>7.3</w:t>
            </w:r>
          </w:p>
        </w:tc>
      </w:tr>
      <w:tr w:rsidR="005004BB" w:rsidRPr="00F05AAD" w14:paraId="124BE19C" w14:textId="77777777" w:rsidTr="005004BB">
        <w:trPr>
          <w:trHeight w:val="413"/>
          <w:jc w:val="center"/>
        </w:trPr>
        <w:tc>
          <w:tcPr>
            <w:tcW w:w="2790" w:type="dxa"/>
            <w:tcBorders>
              <w:bottom w:val="single" w:sz="4" w:space="0" w:color="3379BD"/>
            </w:tcBorders>
            <w:shd w:val="clear" w:color="auto" w:fill="FFFFFF" w:themeFill="background1"/>
            <w:vAlign w:val="center"/>
          </w:tcPr>
          <w:p w14:paraId="4B07D3A1" w14:textId="5F3CAB6E" w:rsidR="005004BB" w:rsidRDefault="005004BB" w:rsidP="00443C49">
            <w:pPr>
              <w:tabs>
                <w:tab w:val="clear" w:pos="284"/>
              </w:tabs>
              <w:autoSpaceDE w:val="0"/>
              <w:autoSpaceDN w:val="0"/>
              <w:adjustRightInd w:val="0"/>
              <w:spacing w:line="240" w:lineRule="auto"/>
              <w:rPr>
                <w:rFonts w:ascii="Calibri" w:hAnsi="Calibri" w:cs="Arial"/>
                <w:sz w:val="20"/>
                <w:szCs w:val="20"/>
              </w:rPr>
            </w:pPr>
            <w:r>
              <w:rPr>
                <w:rFonts w:ascii="Calibri" w:hAnsi="Calibri" w:cs="Arial"/>
                <w:sz w:val="20"/>
                <w:szCs w:val="20"/>
              </w:rPr>
              <w:t>120500011101</w:t>
            </w:r>
          </w:p>
        </w:tc>
        <w:tc>
          <w:tcPr>
            <w:tcW w:w="1710" w:type="dxa"/>
            <w:tcBorders>
              <w:bottom w:val="single" w:sz="4" w:space="0" w:color="3379BD"/>
            </w:tcBorders>
            <w:shd w:val="clear" w:color="auto" w:fill="FFFFFF" w:themeFill="background1"/>
            <w:vAlign w:val="center"/>
          </w:tcPr>
          <w:p w14:paraId="064EA8D3" w14:textId="3589873C" w:rsidR="005004BB" w:rsidRDefault="005004BB" w:rsidP="00443C49">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120500011101</w:t>
            </w:r>
          </w:p>
        </w:tc>
        <w:tc>
          <w:tcPr>
            <w:tcW w:w="810" w:type="dxa"/>
            <w:tcBorders>
              <w:bottom w:val="single" w:sz="4" w:space="0" w:color="3379BD"/>
            </w:tcBorders>
            <w:shd w:val="clear" w:color="auto" w:fill="FFFFFF" w:themeFill="background1"/>
            <w:vAlign w:val="center"/>
          </w:tcPr>
          <w:p w14:paraId="12AF5842" w14:textId="7815CE54" w:rsidR="005004BB" w:rsidRDefault="005004BB" w:rsidP="00443C49">
            <w:pPr>
              <w:jc w:val="center"/>
              <w:rPr>
                <w:rFonts w:ascii="Calibri" w:hAnsi="Calibri" w:cs="Arial"/>
                <w:sz w:val="20"/>
                <w:szCs w:val="20"/>
              </w:rPr>
            </w:pPr>
            <w:r>
              <w:rPr>
                <w:rFonts w:ascii="Calibri" w:hAnsi="Calibri" w:cs="Arial"/>
                <w:sz w:val="20"/>
                <w:szCs w:val="20"/>
              </w:rPr>
              <w:t>1,138</w:t>
            </w:r>
          </w:p>
        </w:tc>
        <w:tc>
          <w:tcPr>
            <w:tcW w:w="810" w:type="dxa"/>
            <w:tcBorders>
              <w:bottom w:val="single" w:sz="4" w:space="0" w:color="3379BD"/>
            </w:tcBorders>
            <w:shd w:val="clear" w:color="auto" w:fill="FFFFFF" w:themeFill="background1"/>
            <w:vAlign w:val="center"/>
          </w:tcPr>
          <w:p w14:paraId="6BD998E4" w14:textId="77995BEE" w:rsidR="005004BB" w:rsidRDefault="005004BB" w:rsidP="00443C49">
            <w:pPr>
              <w:jc w:val="center"/>
              <w:rPr>
                <w:rFonts w:ascii="Calibri" w:hAnsi="Calibri" w:cs="Arial"/>
                <w:sz w:val="20"/>
                <w:szCs w:val="20"/>
              </w:rPr>
            </w:pPr>
            <w:r>
              <w:rPr>
                <w:rFonts w:ascii="Calibri" w:hAnsi="Calibri" w:cs="Arial"/>
                <w:sz w:val="20"/>
                <w:szCs w:val="20"/>
              </w:rPr>
              <w:t>303</w:t>
            </w:r>
          </w:p>
        </w:tc>
        <w:tc>
          <w:tcPr>
            <w:tcW w:w="810" w:type="dxa"/>
            <w:tcBorders>
              <w:bottom w:val="single" w:sz="4" w:space="0" w:color="3379BD"/>
            </w:tcBorders>
            <w:shd w:val="clear" w:color="auto" w:fill="FFFFFF" w:themeFill="background1"/>
            <w:vAlign w:val="center"/>
          </w:tcPr>
          <w:p w14:paraId="15CB5685" w14:textId="5168BD8F" w:rsidR="005004BB" w:rsidRDefault="005004BB" w:rsidP="00443C49">
            <w:pPr>
              <w:jc w:val="center"/>
              <w:rPr>
                <w:rFonts w:ascii="Calibri" w:hAnsi="Calibri" w:cs="Arial"/>
                <w:sz w:val="20"/>
                <w:szCs w:val="20"/>
              </w:rPr>
            </w:pPr>
            <w:r>
              <w:rPr>
                <w:rFonts w:ascii="Calibri" w:hAnsi="Calibri" w:cs="Arial"/>
                <w:sz w:val="20"/>
                <w:szCs w:val="20"/>
              </w:rPr>
              <w:t>835</w:t>
            </w:r>
          </w:p>
        </w:tc>
        <w:tc>
          <w:tcPr>
            <w:tcW w:w="720" w:type="dxa"/>
            <w:tcBorders>
              <w:bottom w:val="single" w:sz="4" w:space="0" w:color="3379BD"/>
            </w:tcBorders>
            <w:shd w:val="clear" w:color="auto" w:fill="FFFFFF" w:themeFill="background1"/>
            <w:vAlign w:val="center"/>
          </w:tcPr>
          <w:p w14:paraId="34C2F12D" w14:textId="3A3CF9C8" w:rsidR="005004BB" w:rsidRDefault="005004BB" w:rsidP="00443C49">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73%</w:t>
            </w:r>
          </w:p>
        </w:tc>
        <w:tc>
          <w:tcPr>
            <w:tcW w:w="1350" w:type="dxa"/>
            <w:tcBorders>
              <w:bottom w:val="single" w:sz="4" w:space="0" w:color="3379BD"/>
            </w:tcBorders>
            <w:shd w:val="clear" w:color="auto" w:fill="FFFFFF" w:themeFill="background1"/>
            <w:vAlign w:val="center"/>
          </w:tcPr>
          <w:p w14:paraId="35AB226A" w14:textId="50473789" w:rsidR="005004BB" w:rsidRDefault="005004BB" w:rsidP="00443C49">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Fail</w:t>
            </w:r>
          </w:p>
        </w:tc>
        <w:tc>
          <w:tcPr>
            <w:tcW w:w="990" w:type="dxa"/>
            <w:tcBorders>
              <w:bottom w:val="single" w:sz="4" w:space="0" w:color="3379BD"/>
            </w:tcBorders>
            <w:shd w:val="clear" w:color="auto" w:fill="FFFFFF" w:themeFill="background1"/>
            <w:vAlign w:val="center"/>
          </w:tcPr>
          <w:p w14:paraId="015418E6" w14:textId="572A605B" w:rsidR="005004BB" w:rsidRDefault="005004BB" w:rsidP="00443C49">
            <w:pPr>
              <w:tabs>
                <w:tab w:val="clear" w:pos="284"/>
              </w:tabs>
              <w:autoSpaceDE w:val="0"/>
              <w:autoSpaceDN w:val="0"/>
              <w:adjustRightInd w:val="0"/>
              <w:spacing w:line="240" w:lineRule="auto"/>
              <w:rPr>
                <w:rFonts w:ascii="Calibri" w:hAnsi="Calibri" w:cs="Arial"/>
                <w:sz w:val="20"/>
                <w:szCs w:val="20"/>
              </w:rPr>
            </w:pPr>
            <w:r>
              <w:rPr>
                <w:rFonts w:ascii="Calibri" w:hAnsi="Calibri" w:cs="Arial"/>
                <w:sz w:val="20"/>
                <w:szCs w:val="20"/>
              </w:rPr>
              <w:t>6.7</w:t>
            </w:r>
          </w:p>
        </w:tc>
      </w:tr>
      <w:tr w:rsidR="005004BB" w:rsidRPr="00F05AAD" w14:paraId="4EE66E7E" w14:textId="77777777" w:rsidTr="005004BB">
        <w:trPr>
          <w:trHeight w:val="413"/>
          <w:jc w:val="center"/>
        </w:trPr>
        <w:tc>
          <w:tcPr>
            <w:tcW w:w="2790" w:type="dxa"/>
            <w:tcBorders>
              <w:bottom w:val="single" w:sz="4" w:space="0" w:color="3379BD"/>
            </w:tcBorders>
            <w:shd w:val="clear" w:color="auto" w:fill="D9D9D9" w:themeFill="background1" w:themeFillShade="D9"/>
            <w:vAlign w:val="center"/>
          </w:tcPr>
          <w:p w14:paraId="17375DEF" w14:textId="0FBF57E1" w:rsidR="005004BB" w:rsidRDefault="005004BB" w:rsidP="00443C49">
            <w:pPr>
              <w:tabs>
                <w:tab w:val="clear" w:pos="284"/>
              </w:tabs>
              <w:autoSpaceDE w:val="0"/>
              <w:autoSpaceDN w:val="0"/>
              <w:adjustRightInd w:val="0"/>
              <w:spacing w:line="240" w:lineRule="auto"/>
              <w:rPr>
                <w:rFonts w:ascii="Calibri" w:hAnsi="Calibri" w:cs="Arial"/>
                <w:sz w:val="20"/>
                <w:szCs w:val="20"/>
              </w:rPr>
            </w:pPr>
            <w:r>
              <w:rPr>
                <w:rFonts w:ascii="Calibri" w:hAnsi="Calibri" w:cs="Arial"/>
                <w:sz w:val="20"/>
                <w:szCs w:val="20"/>
              </w:rPr>
              <w:t>Anton West Oil Field</w:t>
            </w:r>
          </w:p>
        </w:tc>
        <w:tc>
          <w:tcPr>
            <w:tcW w:w="1710" w:type="dxa"/>
            <w:tcBorders>
              <w:bottom w:val="single" w:sz="4" w:space="0" w:color="3379BD"/>
            </w:tcBorders>
            <w:shd w:val="clear" w:color="auto" w:fill="D9D9D9" w:themeFill="background1" w:themeFillShade="D9"/>
            <w:vAlign w:val="center"/>
          </w:tcPr>
          <w:p w14:paraId="421B516C" w14:textId="3A9B1DE4" w:rsidR="005004BB" w:rsidRDefault="005004BB" w:rsidP="00443C49">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120500011102</w:t>
            </w:r>
          </w:p>
        </w:tc>
        <w:tc>
          <w:tcPr>
            <w:tcW w:w="810" w:type="dxa"/>
            <w:tcBorders>
              <w:bottom w:val="single" w:sz="4" w:space="0" w:color="3379BD"/>
            </w:tcBorders>
            <w:shd w:val="clear" w:color="auto" w:fill="D9D9D9" w:themeFill="background1" w:themeFillShade="D9"/>
            <w:vAlign w:val="center"/>
          </w:tcPr>
          <w:p w14:paraId="2D0F6D88" w14:textId="6BD694C8" w:rsidR="005004BB" w:rsidRDefault="005004BB" w:rsidP="00443C49">
            <w:pPr>
              <w:jc w:val="center"/>
              <w:rPr>
                <w:rFonts w:ascii="Calibri" w:hAnsi="Calibri" w:cs="Arial"/>
                <w:sz w:val="20"/>
                <w:szCs w:val="20"/>
              </w:rPr>
            </w:pPr>
            <w:r>
              <w:rPr>
                <w:rFonts w:ascii="Calibri" w:hAnsi="Calibri" w:cs="Arial"/>
                <w:sz w:val="20"/>
                <w:szCs w:val="20"/>
              </w:rPr>
              <w:t>846</w:t>
            </w:r>
          </w:p>
        </w:tc>
        <w:tc>
          <w:tcPr>
            <w:tcW w:w="810" w:type="dxa"/>
            <w:tcBorders>
              <w:bottom w:val="single" w:sz="4" w:space="0" w:color="3379BD"/>
            </w:tcBorders>
            <w:shd w:val="clear" w:color="auto" w:fill="D9D9D9" w:themeFill="background1" w:themeFillShade="D9"/>
            <w:vAlign w:val="center"/>
          </w:tcPr>
          <w:p w14:paraId="43E9D751" w14:textId="2216BE82" w:rsidR="005004BB" w:rsidRDefault="005004BB" w:rsidP="00443C49">
            <w:pPr>
              <w:jc w:val="center"/>
              <w:rPr>
                <w:rFonts w:ascii="Calibri" w:hAnsi="Calibri" w:cs="Arial"/>
                <w:sz w:val="20"/>
                <w:szCs w:val="20"/>
              </w:rPr>
            </w:pPr>
            <w:r>
              <w:rPr>
                <w:rFonts w:ascii="Calibri" w:hAnsi="Calibri" w:cs="Arial"/>
                <w:sz w:val="20"/>
                <w:szCs w:val="20"/>
              </w:rPr>
              <w:t>253</w:t>
            </w:r>
          </w:p>
        </w:tc>
        <w:tc>
          <w:tcPr>
            <w:tcW w:w="810" w:type="dxa"/>
            <w:tcBorders>
              <w:bottom w:val="single" w:sz="4" w:space="0" w:color="3379BD"/>
            </w:tcBorders>
            <w:shd w:val="clear" w:color="auto" w:fill="D9D9D9" w:themeFill="background1" w:themeFillShade="D9"/>
            <w:vAlign w:val="center"/>
          </w:tcPr>
          <w:p w14:paraId="7CF62141" w14:textId="5D9752D2" w:rsidR="005004BB" w:rsidRDefault="005004BB" w:rsidP="00443C49">
            <w:pPr>
              <w:jc w:val="center"/>
              <w:rPr>
                <w:rFonts w:ascii="Calibri" w:hAnsi="Calibri" w:cs="Arial"/>
                <w:sz w:val="20"/>
                <w:szCs w:val="20"/>
              </w:rPr>
            </w:pPr>
            <w:r>
              <w:rPr>
                <w:rFonts w:ascii="Calibri" w:hAnsi="Calibri" w:cs="Arial"/>
                <w:sz w:val="20"/>
                <w:szCs w:val="20"/>
              </w:rPr>
              <w:t>593</w:t>
            </w:r>
          </w:p>
        </w:tc>
        <w:tc>
          <w:tcPr>
            <w:tcW w:w="720" w:type="dxa"/>
            <w:tcBorders>
              <w:bottom w:val="single" w:sz="4" w:space="0" w:color="3379BD"/>
            </w:tcBorders>
            <w:shd w:val="clear" w:color="auto" w:fill="D9D9D9" w:themeFill="background1" w:themeFillShade="D9"/>
            <w:vAlign w:val="center"/>
          </w:tcPr>
          <w:p w14:paraId="0966AADC" w14:textId="11513B14" w:rsidR="005004BB" w:rsidRDefault="005004BB" w:rsidP="00443C49">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70%</w:t>
            </w:r>
          </w:p>
        </w:tc>
        <w:tc>
          <w:tcPr>
            <w:tcW w:w="1350" w:type="dxa"/>
            <w:tcBorders>
              <w:bottom w:val="single" w:sz="4" w:space="0" w:color="3379BD"/>
            </w:tcBorders>
            <w:shd w:val="clear" w:color="auto" w:fill="D9D9D9" w:themeFill="background1" w:themeFillShade="D9"/>
            <w:vAlign w:val="center"/>
          </w:tcPr>
          <w:p w14:paraId="42B57125" w14:textId="74541A3F" w:rsidR="005004BB" w:rsidRDefault="005004BB" w:rsidP="00443C49">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Fail</w:t>
            </w:r>
          </w:p>
        </w:tc>
        <w:tc>
          <w:tcPr>
            <w:tcW w:w="990" w:type="dxa"/>
            <w:tcBorders>
              <w:bottom w:val="single" w:sz="4" w:space="0" w:color="3379BD"/>
            </w:tcBorders>
            <w:shd w:val="clear" w:color="auto" w:fill="D9D9D9" w:themeFill="background1" w:themeFillShade="D9"/>
            <w:vAlign w:val="center"/>
          </w:tcPr>
          <w:p w14:paraId="45C26D43" w14:textId="597FD4A0" w:rsidR="005004BB" w:rsidRDefault="005004BB" w:rsidP="00443C49">
            <w:pPr>
              <w:tabs>
                <w:tab w:val="clear" w:pos="284"/>
              </w:tabs>
              <w:autoSpaceDE w:val="0"/>
              <w:autoSpaceDN w:val="0"/>
              <w:adjustRightInd w:val="0"/>
              <w:spacing w:line="240" w:lineRule="auto"/>
              <w:rPr>
                <w:rFonts w:ascii="Calibri" w:hAnsi="Calibri" w:cs="Arial"/>
                <w:sz w:val="20"/>
                <w:szCs w:val="20"/>
              </w:rPr>
            </w:pPr>
            <w:r>
              <w:rPr>
                <w:rFonts w:ascii="Calibri" w:hAnsi="Calibri" w:cs="Arial"/>
                <w:sz w:val="20"/>
                <w:szCs w:val="20"/>
              </w:rPr>
              <w:t>7.5</w:t>
            </w:r>
          </w:p>
        </w:tc>
      </w:tr>
      <w:tr w:rsidR="005004BB" w:rsidRPr="00F05AAD" w14:paraId="1D0D712A" w14:textId="77777777" w:rsidTr="005004BB">
        <w:trPr>
          <w:trHeight w:val="413"/>
          <w:jc w:val="center"/>
        </w:trPr>
        <w:tc>
          <w:tcPr>
            <w:tcW w:w="2790" w:type="dxa"/>
            <w:tcBorders>
              <w:bottom w:val="single" w:sz="4" w:space="0" w:color="3379BD"/>
            </w:tcBorders>
            <w:shd w:val="clear" w:color="auto" w:fill="FFFFFF" w:themeFill="background1"/>
            <w:vAlign w:val="center"/>
          </w:tcPr>
          <w:p w14:paraId="1742F71D" w14:textId="180CF3FD" w:rsidR="005004BB" w:rsidRDefault="005004BB" w:rsidP="00443C49">
            <w:pPr>
              <w:tabs>
                <w:tab w:val="clear" w:pos="284"/>
              </w:tabs>
              <w:autoSpaceDE w:val="0"/>
              <w:autoSpaceDN w:val="0"/>
              <w:adjustRightInd w:val="0"/>
              <w:spacing w:line="240" w:lineRule="auto"/>
              <w:rPr>
                <w:rFonts w:ascii="Calibri" w:hAnsi="Calibri" w:cs="Arial"/>
                <w:sz w:val="20"/>
                <w:szCs w:val="20"/>
              </w:rPr>
            </w:pPr>
            <w:r>
              <w:rPr>
                <w:rFonts w:ascii="Calibri" w:hAnsi="Calibri" w:cs="Arial"/>
                <w:sz w:val="20"/>
                <w:szCs w:val="20"/>
              </w:rPr>
              <w:t>Town of Amhurst</w:t>
            </w:r>
          </w:p>
        </w:tc>
        <w:tc>
          <w:tcPr>
            <w:tcW w:w="1710" w:type="dxa"/>
            <w:tcBorders>
              <w:bottom w:val="single" w:sz="4" w:space="0" w:color="3379BD"/>
            </w:tcBorders>
            <w:shd w:val="clear" w:color="auto" w:fill="FFFFFF" w:themeFill="background1"/>
            <w:vAlign w:val="center"/>
          </w:tcPr>
          <w:p w14:paraId="7F0ED46B" w14:textId="43F90009" w:rsidR="005004BB" w:rsidRDefault="005004BB" w:rsidP="00443C49">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120500011103</w:t>
            </w:r>
          </w:p>
        </w:tc>
        <w:tc>
          <w:tcPr>
            <w:tcW w:w="810" w:type="dxa"/>
            <w:tcBorders>
              <w:bottom w:val="single" w:sz="4" w:space="0" w:color="3379BD"/>
            </w:tcBorders>
            <w:shd w:val="clear" w:color="auto" w:fill="FFFFFF" w:themeFill="background1"/>
            <w:vAlign w:val="center"/>
          </w:tcPr>
          <w:p w14:paraId="76F8189C" w14:textId="42832BEA" w:rsidR="005004BB" w:rsidRDefault="005004BB" w:rsidP="00443C49">
            <w:pPr>
              <w:jc w:val="center"/>
              <w:rPr>
                <w:rFonts w:ascii="Calibri" w:hAnsi="Calibri" w:cs="Arial"/>
                <w:sz w:val="20"/>
                <w:szCs w:val="20"/>
              </w:rPr>
            </w:pPr>
            <w:r>
              <w:rPr>
                <w:rFonts w:ascii="Calibri" w:hAnsi="Calibri" w:cs="Arial"/>
                <w:sz w:val="20"/>
                <w:szCs w:val="20"/>
              </w:rPr>
              <w:t>54</w:t>
            </w:r>
          </w:p>
        </w:tc>
        <w:tc>
          <w:tcPr>
            <w:tcW w:w="810" w:type="dxa"/>
            <w:tcBorders>
              <w:bottom w:val="single" w:sz="4" w:space="0" w:color="3379BD"/>
            </w:tcBorders>
            <w:shd w:val="clear" w:color="auto" w:fill="FFFFFF" w:themeFill="background1"/>
            <w:vAlign w:val="center"/>
          </w:tcPr>
          <w:p w14:paraId="26D50FBC" w14:textId="3D389742" w:rsidR="005004BB" w:rsidRDefault="005004BB" w:rsidP="00443C49">
            <w:pPr>
              <w:jc w:val="center"/>
              <w:rPr>
                <w:rFonts w:ascii="Calibri" w:hAnsi="Calibri" w:cs="Arial"/>
                <w:sz w:val="20"/>
                <w:szCs w:val="20"/>
              </w:rPr>
            </w:pPr>
            <w:r>
              <w:rPr>
                <w:rFonts w:ascii="Calibri" w:hAnsi="Calibri" w:cs="Arial"/>
                <w:sz w:val="20"/>
                <w:szCs w:val="20"/>
              </w:rPr>
              <w:t>16</w:t>
            </w:r>
          </w:p>
        </w:tc>
        <w:tc>
          <w:tcPr>
            <w:tcW w:w="810" w:type="dxa"/>
            <w:tcBorders>
              <w:bottom w:val="single" w:sz="4" w:space="0" w:color="3379BD"/>
            </w:tcBorders>
            <w:shd w:val="clear" w:color="auto" w:fill="FFFFFF" w:themeFill="background1"/>
            <w:vAlign w:val="center"/>
          </w:tcPr>
          <w:p w14:paraId="56C96AE6" w14:textId="3F0FA45B" w:rsidR="005004BB" w:rsidRDefault="005004BB" w:rsidP="00443C49">
            <w:pPr>
              <w:jc w:val="center"/>
              <w:rPr>
                <w:rFonts w:ascii="Calibri" w:hAnsi="Calibri" w:cs="Arial"/>
                <w:sz w:val="20"/>
                <w:szCs w:val="20"/>
              </w:rPr>
            </w:pPr>
            <w:r>
              <w:rPr>
                <w:rFonts w:ascii="Calibri" w:hAnsi="Calibri" w:cs="Arial"/>
                <w:sz w:val="20"/>
                <w:szCs w:val="20"/>
              </w:rPr>
              <w:t>38</w:t>
            </w:r>
          </w:p>
        </w:tc>
        <w:tc>
          <w:tcPr>
            <w:tcW w:w="720" w:type="dxa"/>
            <w:tcBorders>
              <w:bottom w:val="single" w:sz="4" w:space="0" w:color="3379BD"/>
            </w:tcBorders>
            <w:shd w:val="clear" w:color="auto" w:fill="FFFFFF" w:themeFill="background1"/>
            <w:vAlign w:val="center"/>
          </w:tcPr>
          <w:p w14:paraId="0816DDF6" w14:textId="562107AE" w:rsidR="005004BB" w:rsidRDefault="005004BB" w:rsidP="00443C49">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70%</w:t>
            </w:r>
          </w:p>
        </w:tc>
        <w:tc>
          <w:tcPr>
            <w:tcW w:w="1350" w:type="dxa"/>
            <w:tcBorders>
              <w:bottom w:val="single" w:sz="4" w:space="0" w:color="3379BD"/>
            </w:tcBorders>
            <w:shd w:val="clear" w:color="auto" w:fill="FFFFFF" w:themeFill="background1"/>
            <w:vAlign w:val="center"/>
          </w:tcPr>
          <w:p w14:paraId="704DE920" w14:textId="4C308922" w:rsidR="005004BB" w:rsidRDefault="005004BB" w:rsidP="00443C49">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Fail</w:t>
            </w:r>
          </w:p>
        </w:tc>
        <w:tc>
          <w:tcPr>
            <w:tcW w:w="990" w:type="dxa"/>
            <w:tcBorders>
              <w:bottom w:val="single" w:sz="4" w:space="0" w:color="3379BD"/>
            </w:tcBorders>
            <w:shd w:val="clear" w:color="auto" w:fill="FFFFFF" w:themeFill="background1"/>
            <w:vAlign w:val="center"/>
          </w:tcPr>
          <w:p w14:paraId="77F56AC1" w14:textId="7D09BEE8" w:rsidR="005004BB" w:rsidRDefault="005004BB" w:rsidP="00443C49">
            <w:pPr>
              <w:tabs>
                <w:tab w:val="clear" w:pos="284"/>
              </w:tabs>
              <w:autoSpaceDE w:val="0"/>
              <w:autoSpaceDN w:val="0"/>
              <w:adjustRightInd w:val="0"/>
              <w:spacing w:line="240" w:lineRule="auto"/>
              <w:rPr>
                <w:rFonts w:ascii="Calibri" w:hAnsi="Calibri" w:cs="Arial"/>
                <w:sz w:val="20"/>
                <w:szCs w:val="20"/>
              </w:rPr>
            </w:pPr>
            <w:r>
              <w:rPr>
                <w:rFonts w:ascii="Calibri" w:hAnsi="Calibri" w:cs="Arial"/>
                <w:sz w:val="20"/>
                <w:szCs w:val="20"/>
              </w:rPr>
              <w:t>7.4</w:t>
            </w:r>
          </w:p>
        </w:tc>
      </w:tr>
      <w:tr w:rsidR="005004BB" w:rsidRPr="00F05AAD" w14:paraId="285ED4E5" w14:textId="77777777" w:rsidTr="005004BB">
        <w:trPr>
          <w:trHeight w:val="413"/>
          <w:jc w:val="center"/>
        </w:trPr>
        <w:tc>
          <w:tcPr>
            <w:tcW w:w="2790" w:type="dxa"/>
            <w:tcBorders>
              <w:bottom w:val="single" w:sz="4" w:space="0" w:color="3379BD"/>
            </w:tcBorders>
            <w:shd w:val="clear" w:color="auto" w:fill="D9D9D9" w:themeFill="background1" w:themeFillShade="D9"/>
            <w:vAlign w:val="center"/>
          </w:tcPr>
          <w:p w14:paraId="45658A17" w14:textId="79EDB726" w:rsidR="005004BB" w:rsidRDefault="005004BB" w:rsidP="00443C49">
            <w:pPr>
              <w:tabs>
                <w:tab w:val="clear" w:pos="284"/>
              </w:tabs>
              <w:autoSpaceDE w:val="0"/>
              <w:autoSpaceDN w:val="0"/>
              <w:adjustRightInd w:val="0"/>
              <w:spacing w:line="240" w:lineRule="auto"/>
              <w:rPr>
                <w:rFonts w:ascii="Calibri" w:hAnsi="Calibri" w:cs="Arial"/>
                <w:sz w:val="20"/>
                <w:szCs w:val="20"/>
              </w:rPr>
            </w:pPr>
            <w:r>
              <w:rPr>
                <w:rFonts w:ascii="Calibri" w:hAnsi="Calibri" w:cs="Arial"/>
                <w:sz w:val="20"/>
                <w:szCs w:val="20"/>
              </w:rPr>
              <w:t>Littlefield Cemetery-Town of Littlefield</w:t>
            </w:r>
          </w:p>
        </w:tc>
        <w:tc>
          <w:tcPr>
            <w:tcW w:w="1710" w:type="dxa"/>
            <w:tcBorders>
              <w:bottom w:val="single" w:sz="4" w:space="0" w:color="3379BD"/>
            </w:tcBorders>
            <w:shd w:val="clear" w:color="auto" w:fill="D9D9D9" w:themeFill="background1" w:themeFillShade="D9"/>
            <w:vAlign w:val="center"/>
          </w:tcPr>
          <w:p w14:paraId="636F6FC4" w14:textId="2F982A29" w:rsidR="005004BB" w:rsidRDefault="005004BB" w:rsidP="00443C49">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120500011105</w:t>
            </w:r>
          </w:p>
        </w:tc>
        <w:tc>
          <w:tcPr>
            <w:tcW w:w="810" w:type="dxa"/>
            <w:tcBorders>
              <w:bottom w:val="single" w:sz="4" w:space="0" w:color="3379BD"/>
            </w:tcBorders>
            <w:shd w:val="clear" w:color="auto" w:fill="D9D9D9" w:themeFill="background1" w:themeFillShade="D9"/>
            <w:vAlign w:val="center"/>
          </w:tcPr>
          <w:p w14:paraId="451FA31F" w14:textId="7B963C62" w:rsidR="005004BB" w:rsidRDefault="005004BB" w:rsidP="00443C49">
            <w:pPr>
              <w:jc w:val="center"/>
              <w:rPr>
                <w:rFonts w:ascii="Calibri" w:hAnsi="Calibri" w:cs="Arial"/>
                <w:sz w:val="20"/>
                <w:szCs w:val="20"/>
              </w:rPr>
            </w:pPr>
            <w:r>
              <w:rPr>
                <w:rFonts w:ascii="Calibri" w:hAnsi="Calibri" w:cs="Arial"/>
                <w:sz w:val="20"/>
                <w:szCs w:val="20"/>
              </w:rPr>
              <w:t>215</w:t>
            </w:r>
          </w:p>
        </w:tc>
        <w:tc>
          <w:tcPr>
            <w:tcW w:w="810" w:type="dxa"/>
            <w:tcBorders>
              <w:bottom w:val="single" w:sz="4" w:space="0" w:color="3379BD"/>
            </w:tcBorders>
            <w:shd w:val="clear" w:color="auto" w:fill="D9D9D9" w:themeFill="background1" w:themeFillShade="D9"/>
            <w:vAlign w:val="center"/>
          </w:tcPr>
          <w:p w14:paraId="69C1ABD5" w14:textId="4D978578" w:rsidR="005004BB" w:rsidRDefault="005004BB" w:rsidP="00443C49">
            <w:pPr>
              <w:jc w:val="center"/>
              <w:rPr>
                <w:rFonts w:ascii="Calibri" w:hAnsi="Calibri" w:cs="Arial"/>
                <w:sz w:val="20"/>
                <w:szCs w:val="20"/>
              </w:rPr>
            </w:pPr>
            <w:r>
              <w:rPr>
                <w:rFonts w:ascii="Calibri" w:hAnsi="Calibri" w:cs="Arial"/>
                <w:sz w:val="20"/>
                <w:szCs w:val="20"/>
              </w:rPr>
              <w:t>13</w:t>
            </w:r>
          </w:p>
        </w:tc>
        <w:tc>
          <w:tcPr>
            <w:tcW w:w="810" w:type="dxa"/>
            <w:tcBorders>
              <w:bottom w:val="single" w:sz="4" w:space="0" w:color="3379BD"/>
            </w:tcBorders>
            <w:shd w:val="clear" w:color="auto" w:fill="D9D9D9" w:themeFill="background1" w:themeFillShade="D9"/>
            <w:vAlign w:val="center"/>
          </w:tcPr>
          <w:p w14:paraId="45EA06D6" w14:textId="48E82ED3" w:rsidR="005004BB" w:rsidRDefault="005004BB" w:rsidP="00443C49">
            <w:pPr>
              <w:jc w:val="center"/>
              <w:rPr>
                <w:rFonts w:ascii="Calibri" w:hAnsi="Calibri" w:cs="Arial"/>
                <w:sz w:val="20"/>
                <w:szCs w:val="20"/>
              </w:rPr>
            </w:pPr>
            <w:r>
              <w:rPr>
                <w:rFonts w:ascii="Calibri" w:hAnsi="Calibri" w:cs="Arial"/>
                <w:sz w:val="20"/>
                <w:szCs w:val="20"/>
              </w:rPr>
              <w:t>202</w:t>
            </w:r>
          </w:p>
        </w:tc>
        <w:tc>
          <w:tcPr>
            <w:tcW w:w="720" w:type="dxa"/>
            <w:tcBorders>
              <w:bottom w:val="single" w:sz="4" w:space="0" w:color="3379BD"/>
            </w:tcBorders>
            <w:shd w:val="clear" w:color="auto" w:fill="D9D9D9" w:themeFill="background1" w:themeFillShade="D9"/>
            <w:vAlign w:val="center"/>
          </w:tcPr>
          <w:p w14:paraId="3E150E44" w14:textId="0E593384" w:rsidR="005004BB" w:rsidRDefault="005004BB" w:rsidP="00443C49">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94%</w:t>
            </w:r>
          </w:p>
        </w:tc>
        <w:tc>
          <w:tcPr>
            <w:tcW w:w="1350" w:type="dxa"/>
            <w:tcBorders>
              <w:bottom w:val="single" w:sz="4" w:space="0" w:color="3379BD"/>
            </w:tcBorders>
            <w:shd w:val="clear" w:color="auto" w:fill="D9D9D9" w:themeFill="background1" w:themeFillShade="D9"/>
            <w:vAlign w:val="center"/>
          </w:tcPr>
          <w:p w14:paraId="48D12E54" w14:textId="0F1A00C9" w:rsidR="005004BB" w:rsidRDefault="005004BB" w:rsidP="00443C49">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Pass</w:t>
            </w:r>
          </w:p>
        </w:tc>
        <w:tc>
          <w:tcPr>
            <w:tcW w:w="990" w:type="dxa"/>
            <w:tcBorders>
              <w:bottom w:val="single" w:sz="4" w:space="0" w:color="3379BD"/>
            </w:tcBorders>
            <w:shd w:val="clear" w:color="auto" w:fill="D9D9D9" w:themeFill="background1" w:themeFillShade="D9"/>
            <w:vAlign w:val="center"/>
          </w:tcPr>
          <w:p w14:paraId="1BEB2E60" w14:textId="739CCA7A" w:rsidR="005004BB" w:rsidRDefault="005004BB" w:rsidP="00443C49">
            <w:pPr>
              <w:tabs>
                <w:tab w:val="clear" w:pos="284"/>
              </w:tabs>
              <w:autoSpaceDE w:val="0"/>
              <w:autoSpaceDN w:val="0"/>
              <w:adjustRightInd w:val="0"/>
              <w:spacing w:line="240" w:lineRule="auto"/>
              <w:rPr>
                <w:rFonts w:ascii="Calibri" w:hAnsi="Calibri" w:cs="Arial"/>
                <w:sz w:val="20"/>
                <w:szCs w:val="20"/>
              </w:rPr>
            </w:pPr>
            <w:r>
              <w:rPr>
                <w:rFonts w:ascii="Calibri" w:hAnsi="Calibri" w:cs="Arial"/>
                <w:sz w:val="20"/>
                <w:szCs w:val="20"/>
              </w:rPr>
              <w:t>1.8</w:t>
            </w:r>
          </w:p>
        </w:tc>
      </w:tr>
      <w:tr w:rsidR="005004BB" w:rsidRPr="00F05AAD" w14:paraId="513E4514" w14:textId="77777777" w:rsidTr="005004BB">
        <w:trPr>
          <w:trHeight w:val="413"/>
          <w:jc w:val="center"/>
        </w:trPr>
        <w:tc>
          <w:tcPr>
            <w:tcW w:w="2790" w:type="dxa"/>
            <w:tcBorders>
              <w:bottom w:val="single" w:sz="4" w:space="0" w:color="3379BD"/>
            </w:tcBorders>
            <w:shd w:val="clear" w:color="auto" w:fill="FFFFFF" w:themeFill="background1"/>
            <w:vAlign w:val="center"/>
          </w:tcPr>
          <w:p w14:paraId="3AFC9AE5" w14:textId="611091A5" w:rsidR="005004BB" w:rsidRDefault="005004BB" w:rsidP="00443C49">
            <w:pPr>
              <w:tabs>
                <w:tab w:val="clear" w:pos="284"/>
              </w:tabs>
              <w:autoSpaceDE w:val="0"/>
              <w:autoSpaceDN w:val="0"/>
              <w:adjustRightInd w:val="0"/>
              <w:spacing w:line="240" w:lineRule="auto"/>
              <w:rPr>
                <w:rFonts w:ascii="Calibri" w:hAnsi="Calibri" w:cs="Arial"/>
                <w:sz w:val="20"/>
                <w:szCs w:val="20"/>
              </w:rPr>
            </w:pPr>
            <w:r>
              <w:rPr>
                <w:rFonts w:ascii="Calibri" w:hAnsi="Calibri" w:cs="Arial"/>
                <w:sz w:val="20"/>
                <w:szCs w:val="20"/>
              </w:rPr>
              <w:t>120500011106-Town of Littlefield</w:t>
            </w:r>
          </w:p>
        </w:tc>
        <w:tc>
          <w:tcPr>
            <w:tcW w:w="1710" w:type="dxa"/>
            <w:tcBorders>
              <w:bottom w:val="single" w:sz="4" w:space="0" w:color="3379BD"/>
            </w:tcBorders>
            <w:shd w:val="clear" w:color="auto" w:fill="FFFFFF" w:themeFill="background1"/>
            <w:vAlign w:val="center"/>
          </w:tcPr>
          <w:p w14:paraId="07CF0C53" w14:textId="53B0535D" w:rsidR="005004BB" w:rsidRDefault="005004BB" w:rsidP="00443C49">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120500011106</w:t>
            </w:r>
          </w:p>
        </w:tc>
        <w:tc>
          <w:tcPr>
            <w:tcW w:w="810" w:type="dxa"/>
            <w:tcBorders>
              <w:bottom w:val="single" w:sz="4" w:space="0" w:color="3379BD"/>
            </w:tcBorders>
            <w:shd w:val="clear" w:color="auto" w:fill="FFFFFF" w:themeFill="background1"/>
            <w:vAlign w:val="center"/>
          </w:tcPr>
          <w:p w14:paraId="2D188A6B" w14:textId="2E7AEA42" w:rsidR="005004BB" w:rsidRDefault="005004BB" w:rsidP="00443C49">
            <w:pPr>
              <w:jc w:val="center"/>
              <w:rPr>
                <w:rFonts w:ascii="Calibri" w:hAnsi="Calibri" w:cs="Arial"/>
                <w:sz w:val="20"/>
                <w:szCs w:val="20"/>
              </w:rPr>
            </w:pPr>
            <w:r>
              <w:rPr>
                <w:rFonts w:ascii="Calibri" w:hAnsi="Calibri" w:cs="Arial"/>
                <w:sz w:val="20"/>
                <w:szCs w:val="20"/>
              </w:rPr>
              <w:t>22</w:t>
            </w:r>
          </w:p>
        </w:tc>
        <w:tc>
          <w:tcPr>
            <w:tcW w:w="810" w:type="dxa"/>
            <w:tcBorders>
              <w:bottom w:val="single" w:sz="4" w:space="0" w:color="3379BD"/>
            </w:tcBorders>
            <w:shd w:val="clear" w:color="auto" w:fill="FFFFFF" w:themeFill="background1"/>
            <w:vAlign w:val="center"/>
          </w:tcPr>
          <w:p w14:paraId="2183028A" w14:textId="3C79A6CA" w:rsidR="005004BB" w:rsidRDefault="005004BB" w:rsidP="00443C49">
            <w:pPr>
              <w:jc w:val="center"/>
              <w:rPr>
                <w:rFonts w:ascii="Calibri" w:hAnsi="Calibri" w:cs="Arial"/>
                <w:sz w:val="20"/>
                <w:szCs w:val="20"/>
              </w:rPr>
            </w:pPr>
            <w:r>
              <w:rPr>
                <w:rFonts w:ascii="Calibri" w:hAnsi="Calibri" w:cs="Arial"/>
                <w:sz w:val="20"/>
                <w:szCs w:val="20"/>
              </w:rPr>
              <w:t>4</w:t>
            </w:r>
          </w:p>
        </w:tc>
        <w:tc>
          <w:tcPr>
            <w:tcW w:w="810" w:type="dxa"/>
            <w:tcBorders>
              <w:bottom w:val="single" w:sz="4" w:space="0" w:color="3379BD"/>
            </w:tcBorders>
            <w:shd w:val="clear" w:color="auto" w:fill="FFFFFF" w:themeFill="background1"/>
            <w:vAlign w:val="center"/>
          </w:tcPr>
          <w:p w14:paraId="3A052F8A" w14:textId="220071CB" w:rsidR="005004BB" w:rsidRDefault="005004BB" w:rsidP="00443C49">
            <w:pPr>
              <w:jc w:val="center"/>
              <w:rPr>
                <w:rFonts w:ascii="Calibri" w:hAnsi="Calibri" w:cs="Arial"/>
                <w:sz w:val="20"/>
                <w:szCs w:val="20"/>
              </w:rPr>
            </w:pPr>
            <w:r>
              <w:rPr>
                <w:rFonts w:ascii="Calibri" w:hAnsi="Calibri" w:cs="Arial"/>
                <w:sz w:val="20"/>
                <w:szCs w:val="20"/>
              </w:rPr>
              <w:t>18</w:t>
            </w:r>
          </w:p>
        </w:tc>
        <w:tc>
          <w:tcPr>
            <w:tcW w:w="720" w:type="dxa"/>
            <w:tcBorders>
              <w:bottom w:val="single" w:sz="4" w:space="0" w:color="3379BD"/>
            </w:tcBorders>
            <w:shd w:val="clear" w:color="auto" w:fill="FFFFFF" w:themeFill="background1"/>
            <w:vAlign w:val="center"/>
          </w:tcPr>
          <w:p w14:paraId="73FD9EF1" w14:textId="061A4D7E" w:rsidR="005004BB" w:rsidRDefault="005004BB" w:rsidP="00443C49">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82%</w:t>
            </w:r>
          </w:p>
        </w:tc>
        <w:tc>
          <w:tcPr>
            <w:tcW w:w="1350" w:type="dxa"/>
            <w:tcBorders>
              <w:bottom w:val="single" w:sz="4" w:space="0" w:color="3379BD"/>
            </w:tcBorders>
            <w:shd w:val="clear" w:color="auto" w:fill="FFFFFF" w:themeFill="background1"/>
            <w:vAlign w:val="center"/>
          </w:tcPr>
          <w:p w14:paraId="63C76D46" w14:textId="3A1B9EF5" w:rsidR="005004BB" w:rsidRDefault="005004BB" w:rsidP="00443C49">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Fail</w:t>
            </w:r>
          </w:p>
        </w:tc>
        <w:tc>
          <w:tcPr>
            <w:tcW w:w="990" w:type="dxa"/>
            <w:tcBorders>
              <w:bottom w:val="single" w:sz="4" w:space="0" w:color="3379BD"/>
            </w:tcBorders>
            <w:shd w:val="clear" w:color="auto" w:fill="FFFFFF" w:themeFill="background1"/>
            <w:vAlign w:val="center"/>
          </w:tcPr>
          <w:p w14:paraId="74B7FBA8" w14:textId="50AE0215" w:rsidR="005004BB" w:rsidRDefault="005004BB" w:rsidP="00443C49">
            <w:pPr>
              <w:tabs>
                <w:tab w:val="clear" w:pos="284"/>
              </w:tabs>
              <w:autoSpaceDE w:val="0"/>
              <w:autoSpaceDN w:val="0"/>
              <w:adjustRightInd w:val="0"/>
              <w:spacing w:line="240" w:lineRule="auto"/>
              <w:rPr>
                <w:rFonts w:ascii="Calibri" w:hAnsi="Calibri" w:cs="Arial"/>
                <w:sz w:val="20"/>
                <w:szCs w:val="20"/>
              </w:rPr>
            </w:pPr>
            <w:r>
              <w:rPr>
                <w:rFonts w:ascii="Calibri" w:hAnsi="Calibri" w:cs="Arial"/>
                <w:sz w:val="20"/>
                <w:szCs w:val="20"/>
              </w:rPr>
              <w:t>4.5</w:t>
            </w:r>
          </w:p>
        </w:tc>
      </w:tr>
      <w:tr w:rsidR="005004BB" w:rsidRPr="00F05AAD" w14:paraId="1CFF6EE7" w14:textId="77777777" w:rsidTr="005004BB">
        <w:trPr>
          <w:trHeight w:val="413"/>
          <w:jc w:val="center"/>
        </w:trPr>
        <w:tc>
          <w:tcPr>
            <w:tcW w:w="2790" w:type="dxa"/>
            <w:tcBorders>
              <w:bottom w:val="single" w:sz="4" w:space="0" w:color="3379BD"/>
            </w:tcBorders>
            <w:shd w:val="clear" w:color="auto" w:fill="D9D9D9" w:themeFill="background1" w:themeFillShade="D9"/>
            <w:vAlign w:val="center"/>
          </w:tcPr>
          <w:p w14:paraId="179E0EF2" w14:textId="3E92BABE" w:rsidR="005004BB" w:rsidRDefault="005004BB" w:rsidP="00443C49">
            <w:pPr>
              <w:tabs>
                <w:tab w:val="clear" w:pos="284"/>
              </w:tabs>
              <w:autoSpaceDE w:val="0"/>
              <w:autoSpaceDN w:val="0"/>
              <w:adjustRightInd w:val="0"/>
              <w:spacing w:line="240" w:lineRule="auto"/>
              <w:rPr>
                <w:rFonts w:ascii="Calibri" w:hAnsi="Calibri" w:cs="Arial"/>
                <w:sz w:val="20"/>
                <w:szCs w:val="20"/>
              </w:rPr>
            </w:pPr>
            <w:r>
              <w:rPr>
                <w:rFonts w:ascii="Calibri" w:hAnsi="Calibri" w:cs="Arial"/>
                <w:sz w:val="20"/>
                <w:szCs w:val="20"/>
              </w:rPr>
              <w:t>120500011107-Town of Anton</w:t>
            </w:r>
          </w:p>
        </w:tc>
        <w:tc>
          <w:tcPr>
            <w:tcW w:w="1710" w:type="dxa"/>
            <w:tcBorders>
              <w:bottom w:val="single" w:sz="4" w:space="0" w:color="3379BD"/>
            </w:tcBorders>
            <w:shd w:val="clear" w:color="auto" w:fill="D9D9D9" w:themeFill="background1" w:themeFillShade="D9"/>
            <w:vAlign w:val="center"/>
          </w:tcPr>
          <w:p w14:paraId="25B00E71" w14:textId="1E12E012" w:rsidR="005004BB" w:rsidRDefault="005004BB" w:rsidP="00443C49">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120500011107</w:t>
            </w:r>
          </w:p>
        </w:tc>
        <w:tc>
          <w:tcPr>
            <w:tcW w:w="810" w:type="dxa"/>
            <w:tcBorders>
              <w:bottom w:val="single" w:sz="4" w:space="0" w:color="3379BD"/>
            </w:tcBorders>
            <w:shd w:val="clear" w:color="auto" w:fill="D9D9D9" w:themeFill="background1" w:themeFillShade="D9"/>
            <w:vAlign w:val="center"/>
          </w:tcPr>
          <w:p w14:paraId="6E26C530" w14:textId="552ACC3C" w:rsidR="005004BB" w:rsidRDefault="005004BB" w:rsidP="00443C49">
            <w:pPr>
              <w:jc w:val="center"/>
              <w:rPr>
                <w:rFonts w:ascii="Calibri" w:hAnsi="Calibri" w:cs="Arial"/>
                <w:sz w:val="20"/>
                <w:szCs w:val="20"/>
              </w:rPr>
            </w:pPr>
            <w:r>
              <w:rPr>
                <w:rFonts w:ascii="Calibri" w:hAnsi="Calibri" w:cs="Arial"/>
                <w:sz w:val="20"/>
                <w:szCs w:val="20"/>
              </w:rPr>
              <w:t>118</w:t>
            </w:r>
          </w:p>
        </w:tc>
        <w:tc>
          <w:tcPr>
            <w:tcW w:w="810" w:type="dxa"/>
            <w:tcBorders>
              <w:bottom w:val="single" w:sz="4" w:space="0" w:color="3379BD"/>
            </w:tcBorders>
            <w:shd w:val="clear" w:color="auto" w:fill="D9D9D9" w:themeFill="background1" w:themeFillShade="D9"/>
            <w:vAlign w:val="center"/>
          </w:tcPr>
          <w:p w14:paraId="6067AEDB" w14:textId="65E9EE64" w:rsidR="005004BB" w:rsidRDefault="005004BB" w:rsidP="00443C49">
            <w:pPr>
              <w:jc w:val="center"/>
              <w:rPr>
                <w:rFonts w:ascii="Calibri" w:hAnsi="Calibri" w:cs="Arial"/>
                <w:sz w:val="20"/>
                <w:szCs w:val="20"/>
              </w:rPr>
            </w:pPr>
            <w:r>
              <w:rPr>
                <w:rFonts w:ascii="Calibri" w:hAnsi="Calibri" w:cs="Arial"/>
                <w:sz w:val="20"/>
                <w:szCs w:val="20"/>
              </w:rPr>
              <w:t>31</w:t>
            </w:r>
          </w:p>
        </w:tc>
        <w:tc>
          <w:tcPr>
            <w:tcW w:w="810" w:type="dxa"/>
            <w:tcBorders>
              <w:bottom w:val="single" w:sz="4" w:space="0" w:color="3379BD"/>
            </w:tcBorders>
            <w:shd w:val="clear" w:color="auto" w:fill="D9D9D9" w:themeFill="background1" w:themeFillShade="D9"/>
            <w:vAlign w:val="center"/>
          </w:tcPr>
          <w:p w14:paraId="04AC0179" w14:textId="5A6B4EF0" w:rsidR="005004BB" w:rsidRDefault="005004BB" w:rsidP="00443C49">
            <w:pPr>
              <w:jc w:val="center"/>
              <w:rPr>
                <w:rFonts w:ascii="Calibri" w:hAnsi="Calibri" w:cs="Arial"/>
                <w:sz w:val="20"/>
                <w:szCs w:val="20"/>
              </w:rPr>
            </w:pPr>
            <w:r>
              <w:rPr>
                <w:rFonts w:ascii="Calibri" w:hAnsi="Calibri" w:cs="Arial"/>
                <w:sz w:val="20"/>
                <w:szCs w:val="20"/>
              </w:rPr>
              <w:t>87</w:t>
            </w:r>
          </w:p>
        </w:tc>
        <w:tc>
          <w:tcPr>
            <w:tcW w:w="720" w:type="dxa"/>
            <w:tcBorders>
              <w:bottom w:val="single" w:sz="4" w:space="0" w:color="3379BD"/>
            </w:tcBorders>
            <w:shd w:val="clear" w:color="auto" w:fill="D9D9D9" w:themeFill="background1" w:themeFillShade="D9"/>
            <w:vAlign w:val="center"/>
          </w:tcPr>
          <w:p w14:paraId="55C12060" w14:textId="61C03A82" w:rsidR="005004BB" w:rsidRDefault="005004BB" w:rsidP="00443C49">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74%</w:t>
            </w:r>
          </w:p>
        </w:tc>
        <w:tc>
          <w:tcPr>
            <w:tcW w:w="1350" w:type="dxa"/>
            <w:tcBorders>
              <w:bottom w:val="single" w:sz="4" w:space="0" w:color="3379BD"/>
            </w:tcBorders>
            <w:shd w:val="clear" w:color="auto" w:fill="D9D9D9" w:themeFill="background1" w:themeFillShade="D9"/>
            <w:vAlign w:val="center"/>
          </w:tcPr>
          <w:p w14:paraId="6D03DD29" w14:textId="26916798" w:rsidR="005004BB" w:rsidRDefault="005004BB" w:rsidP="00443C49">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Fail</w:t>
            </w:r>
          </w:p>
        </w:tc>
        <w:tc>
          <w:tcPr>
            <w:tcW w:w="990" w:type="dxa"/>
            <w:tcBorders>
              <w:bottom w:val="single" w:sz="4" w:space="0" w:color="3379BD"/>
            </w:tcBorders>
            <w:shd w:val="clear" w:color="auto" w:fill="D9D9D9" w:themeFill="background1" w:themeFillShade="D9"/>
            <w:vAlign w:val="center"/>
          </w:tcPr>
          <w:p w14:paraId="48486960" w14:textId="333FE7F2" w:rsidR="005004BB" w:rsidRDefault="005004BB" w:rsidP="00443C49">
            <w:pPr>
              <w:tabs>
                <w:tab w:val="clear" w:pos="284"/>
              </w:tabs>
              <w:autoSpaceDE w:val="0"/>
              <w:autoSpaceDN w:val="0"/>
              <w:adjustRightInd w:val="0"/>
              <w:spacing w:line="240" w:lineRule="auto"/>
              <w:rPr>
                <w:rFonts w:ascii="Calibri" w:hAnsi="Calibri" w:cs="Arial"/>
                <w:sz w:val="20"/>
                <w:szCs w:val="20"/>
              </w:rPr>
            </w:pPr>
            <w:r>
              <w:rPr>
                <w:rFonts w:ascii="Calibri" w:hAnsi="Calibri" w:cs="Arial"/>
                <w:sz w:val="20"/>
                <w:szCs w:val="20"/>
              </w:rPr>
              <w:t>6.6</w:t>
            </w:r>
          </w:p>
        </w:tc>
      </w:tr>
      <w:tr w:rsidR="005004BB" w:rsidRPr="00F05AAD" w14:paraId="159E8267" w14:textId="77777777" w:rsidTr="00A01FD2">
        <w:trPr>
          <w:trHeight w:val="413"/>
          <w:jc w:val="center"/>
        </w:trPr>
        <w:tc>
          <w:tcPr>
            <w:tcW w:w="2790" w:type="dxa"/>
            <w:tcBorders>
              <w:bottom w:val="single" w:sz="4" w:space="0" w:color="3379BD"/>
            </w:tcBorders>
            <w:shd w:val="clear" w:color="auto" w:fill="FFFFFF" w:themeFill="background1"/>
            <w:vAlign w:val="center"/>
          </w:tcPr>
          <w:p w14:paraId="5B0F46B4" w14:textId="35B1EB75" w:rsidR="005004BB" w:rsidRDefault="005004BB" w:rsidP="00443C49">
            <w:pPr>
              <w:tabs>
                <w:tab w:val="clear" w:pos="284"/>
              </w:tabs>
              <w:autoSpaceDE w:val="0"/>
              <w:autoSpaceDN w:val="0"/>
              <w:adjustRightInd w:val="0"/>
              <w:spacing w:line="240" w:lineRule="auto"/>
              <w:rPr>
                <w:rFonts w:ascii="Calibri" w:hAnsi="Calibri" w:cs="Arial"/>
                <w:sz w:val="20"/>
                <w:szCs w:val="20"/>
              </w:rPr>
            </w:pPr>
            <w:r>
              <w:rPr>
                <w:rFonts w:ascii="Calibri" w:hAnsi="Calibri" w:cs="Arial"/>
                <w:sz w:val="20"/>
                <w:szCs w:val="20"/>
              </w:rPr>
              <w:t>120500011201-Smyer Oil Field</w:t>
            </w:r>
          </w:p>
        </w:tc>
        <w:tc>
          <w:tcPr>
            <w:tcW w:w="1710" w:type="dxa"/>
            <w:tcBorders>
              <w:bottom w:val="single" w:sz="4" w:space="0" w:color="3379BD"/>
            </w:tcBorders>
            <w:shd w:val="clear" w:color="auto" w:fill="FFFFFF" w:themeFill="background1"/>
            <w:vAlign w:val="center"/>
          </w:tcPr>
          <w:p w14:paraId="741844F9" w14:textId="05A2B85B" w:rsidR="005004BB" w:rsidRDefault="005004BB" w:rsidP="00443C49">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120500011201</w:t>
            </w:r>
          </w:p>
        </w:tc>
        <w:tc>
          <w:tcPr>
            <w:tcW w:w="810" w:type="dxa"/>
            <w:tcBorders>
              <w:bottom w:val="single" w:sz="4" w:space="0" w:color="3379BD"/>
            </w:tcBorders>
            <w:shd w:val="clear" w:color="auto" w:fill="FFFFFF" w:themeFill="background1"/>
            <w:vAlign w:val="center"/>
          </w:tcPr>
          <w:p w14:paraId="621AFFA3" w14:textId="4E872E29" w:rsidR="005004BB" w:rsidRDefault="005004BB" w:rsidP="00443C49">
            <w:pPr>
              <w:jc w:val="center"/>
              <w:rPr>
                <w:rFonts w:ascii="Calibri" w:hAnsi="Calibri" w:cs="Arial"/>
                <w:sz w:val="20"/>
                <w:szCs w:val="20"/>
              </w:rPr>
            </w:pPr>
            <w:r>
              <w:rPr>
                <w:rFonts w:ascii="Calibri" w:hAnsi="Calibri" w:cs="Arial"/>
                <w:sz w:val="20"/>
                <w:szCs w:val="20"/>
              </w:rPr>
              <w:t>2,182</w:t>
            </w:r>
          </w:p>
        </w:tc>
        <w:tc>
          <w:tcPr>
            <w:tcW w:w="810" w:type="dxa"/>
            <w:tcBorders>
              <w:bottom w:val="single" w:sz="4" w:space="0" w:color="3379BD"/>
            </w:tcBorders>
            <w:shd w:val="clear" w:color="auto" w:fill="FFFFFF" w:themeFill="background1"/>
            <w:vAlign w:val="center"/>
          </w:tcPr>
          <w:p w14:paraId="40CE01BB" w14:textId="3302B017" w:rsidR="005004BB" w:rsidRDefault="005004BB" w:rsidP="00443C49">
            <w:pPr>
              <w:jc w:val="center"/>
              <w:rPr>
                <w:rFonts w:ascii="Calibri" w:hAnsi="Calibri" w:cs="Arial"/>
                <w:sz w:val="20"/>
                <w:szCs w:val="20"/>
              </w:rPr>
            </w:pPr>
            <w:r>
              <w:rPr>
                <w:rFonts w:ascii="Calibri" w:hAnsi="Calibri" w:cs="Arial"/>
                <w:sz w:val="20"/>
                <w:szCs w:val="20"/>
              </w:rPr>
              <w:t>930</w:t>
            </w:r>
          </w:p>
        </w:tc>
        <w:tc>
          <w:tcPr>
            <w:tcW w:w="810" w:type="dxa"/>
            <w:tcBorders>
              <w:bottom w:val="single" w:sz="4" w:space="0" w:color="3379BD"/>
            </w:tcBorders>
            <w:shd w:val="clear" w:color="auto" w:fill="FFFFFF" w:themeFill="background1"/>
            <w:vAlign w:val="center"/>
          </w:tcPr>
          <w:p w14:paraId="3A2543E4" w14:textId="092A29FE" w:rsidR="005004BB" w:rsidRDefault="005004BB" w:rsidP="00443C49">
            <w:pPr>
              <w:jc w:val="center"/>
              <w:rPr>
                <w:rFonts w:ascii="Calibri" w:hAnsi="Calibri" w:cs="Arial"/>
                <w:sz w:val="20"/>
                <w:szCs w:val="20"/>
              </w:rPr>
            </w:pPr>
            <w:r>
              <w:rPr>
                <w:rFonts w:ascii="Calibri" w:hAnsi="Calibri" w:cs="Arial"/>
                <w:sz w:val="20"/>
                <w:szCs w:val="20"/>
              </w:rPr>
              <w:t>1,252</w:t>
            </w:r>
          </w:p>
        </w:tc>
        <w:tc>
          <w:tcPr>
            <w:tcW w:w="720" w:type="dxa"/>
            <w:tcBorders>
              <w:bottom w:val="single" w:sz="4" w:space="0" w:color="3379BD"/>
            </w:tcBorders>
            <w:shd w:val="clear" w:color="auto" w:fill="FFFFFF" w:themeFill="background1"/>
            <w:vAlign w:val="center"/>
          </w:tcPr>
          <w:p w14:paraId="42AA5D51" w14:textId="31999B43" w:rsidR="005004BB" w:rsidRDefault="005004BB" w:rsidP="00443C49">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57%</w:t>
            </w:r>
          </w:p>
        </w:tc>
        <w:tc>
          <w:tcPr>
            <w:tcW w:w="1350" w:type="dxa"/>
            <w:tcBorders>
              <w:bottom w:val="single" w:sz="4" w:space="0" w:color="3379BD"/>
            </w:tcBorders>
            <w:shd w:val="clear" w:color="auto" w:fill="FFFFFF" w:themeFill="background1"/>
            <w:vAlign w:val="center"/>
          </w:tcPr>
          <w:p w14:paraId="1CCABDF3" w14:textId="6CE636B3" w:rsidR="005004BB" w:rsidRDefault="005004BB" w:rsidP="00443C49">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Fail</w:t>
            </w:r>
          </w:p>
        </w:tc>
        <w:tc>
          <w:tcPr>
            <w:tcW w:w="990" w:type="dxa"/>
            <w:tcBorders>
              <w:bottom w:val="single" w:sz="4" w:space="0" w:color="3379BD"/>
            </w:tcBorders>
            <w:shd w:val="clear" w:color="auto" w:fill="FFFFFF" w:themeFill="background1"/>
            <w:vAlign w:val="center"/>
          </w:tcPr>
          <w:p w14:paraId="28E5DEBB" w14:textId="56CD574E" w:rsidR="005004BB" w:rsidRDefault="005004BB" w:rsidP="00443C49">
            <w:pPr>
              <w:tabs>
                <w:tab w:val="clear" w:pos="284"/>
              </w:tabs>
              <w:autoSpaceDE w:val="0"/>
              <w:autoSpaceDN w:val="0"/>
              <w:adjustRightInd w:val="0"/>
              <w:spacing w:line="240" w:lineRule="auto"/>
              <w:rPr>
                <w:rFonts w:ascii="Calibri" w:hAnsi="Calibri" w:cs="Arial"/>
                <w:sz w:val="20"/>
                <w:szCs w:val="20"/>
              </w:rPr>
            </w:pPr>
            <w:r>
              <w:rPr>
                <w:rFonts w:ascii="Calibri" w:hAnsi="Calibri" w:cs="Arial"/>
                <w:sz w:val="20"/>
                <w:szCs w:val="20"/>
              </w:rPr>
              <w:t>10.7</w:t>
            </w:r>
          </w:p>
        </w:tc>
      </w:tr>
      <w:tr w:rsidR="005004BB" w:rsidRPr="00F05AAD" w14:paraId="38D01C58" w14:textId="77777777" w:rsidTr="00A01FD2">
        <w:trPr>
          <w:trHeight w:val="413"/>
          <w:jc w:val="center"/>
        </w:trPr>
        <w:tc>
          <w:tcPr>
            <w:tcW w:w="2790" w:type="dxa"/>
            <w:shd w:val="clear" w:color="auto" w:fill="D9D9D9" w:themeFill="background1" w:themeFillShade="D9"/>
            <w:vAlign w:val="center"/>
          </w:tcPr>
          <w:p w14:paraId="783EFAF3" w14:textId="36FC9BDA" w:rsidR="005004BB" w:rsidRDefault="005004BB" w:rsidP="00443C49">
            <w:pPr>
              <w:tabs>
                <w:tab w:val="clear" w:pos="284"/>
              </w:tabs>
              <w:autoSpaceDE w:val="0"/>
              <w:autoSpaceDN w:val="0"/>
              <w:adjustRightInd w:val="0"/>
              <w:spacing w:line="240" w:lineRule="auto"/>
              <w:rPr>
                <w:rFonts w:ascii="Calibri" w:hAnsi="Calibri" w:cs="Arial"/>
                <w:sz w:val="20"/>
                <w:szCs w:val="20"/>
              </w:rPr>
            </w:pPr>
            <w:r>
              <w:rPr>
                <w:rFonts w:ascii="Calibri" w:hAnsi="Calibri" w:cs="Arial"/>
                <w:sz w:val="20"/>
                <w:szCs w:val="20"/>
              </w:rPr>
              <w:t>120500011203-Smyer Oil Field</w:t>
            </w:r>
          </w:p>
        </w:tc>
        <w:tc>
          <w:tcPr>
            <w:tcW w:w="1710" w:type="dxa"/>
            <w:shd w:val="clear" w:color="auto" w:fill="D9D9D9" w:themeFill="background1" w:themeFillShade="D9"/>
            <w:vAlign w:val="center"/>
          </w:tcPr>
          <w:p w14:paraId="232E3EBB" w14:textId="13F3C38E" w:rsidR="005004BB" w:rsidRDefault="005004BB" w:rsidP="00443C49">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120500011203</w:t>
            </w:r>
          </w:p>
        </w:tc>
        <w:tc>
          <w:tcPr>
            <w:tcW w:w="810" w:type="dxa"/>
            <w:shd w:val="clear" w:color="auto" w:fill="D9D9D9" w:themeFill="background1" w:themeFillShade="D9"/>
            <w:vAlign w:val="center"/>
          </w:tcPr>
          <w:p w14:paraId="4029488D" w14:textId="09A1CB66" w:rsidR="005004BB" w:rsidRDefault="005004BB" w:rsidP="00443C49">
            <w:pPr>
              <w:jc w:val="center"/>
              <w:rPr>
                <w:rFonts w:ascii="Calibri" w:hAnsi="Calibri" w:cs="Arial"/>
                <w:sz w:val="20"/>
                <w:szCs w:val="20"/>
              </w:rPr>
            </w:pPr>
            <w:r>
              <w:rPr>
                <w:rFonts w:ascii="Calibri" w:hAnsi="Calibri" w:cs="Arial"/>
                <w:sz w:val="20"/>
                <w:szCs w:val="20"/>
              </w:rPr>
              <w:t>1,524</w:t>
            </w:r>
          </w:p>
        </w:tc>
        <w:tc>
          <w:tcPr>
            <w:tcW w:w="810" w:type="dxa"/>
            <w:shd w:val="clear" w:color="auto" w:fill="D9D9D9" w:themeFill="background1" w:themeFillShade="D9"/>
            <w:vAlign w:val="center"/>
          </w:tcPr>
          <w:p w14:paraId="0AD1210B" w14:textId="1F04ACFF" w:rsidR="005004BB" w:rsidRDefault="005004BB" w:rsidP="00443C49">
            <w:pPr>
              <w:jc w:val="center"/>
              <w:rPr>
                <w:rFonts w:ascii="Calibri" w:hAnsi="Calibri" w:cs="Arial"/>
                <w:sz w:val="20"/>
                <w:szCs w:val="20"/>
              </w:rPr>
            </w:pPr>
            <w:r>
              <w:rPr>
                <w:rFonts w:ascii="Calibri" w:hAnsi="Calibri" w:cs="Arial"/>
                <w:sz w:val="20"/>
                <w:szCs w:val="20"/>
              </w:rPr>
              <w:t>517</w:t>
            </w:r>
          </w:p>
        </w:tc>
        <w:tc>
          <w:tcPr>
            <w:tcW w:w="810" w:type="dxa"/>
            <w:shd w:val="clear" w:color="auto" w:fill="D9D9D9" w:themeFill="background1" w:themeFillShade="D9"/>
            <w:vAlign w:val="center"/>
          </w:tcPr>
          <w:p w14:paraId="13ED51FB" w14:textId="116D7B2C" w:rsidR="005004BB" w:rsidRDefault="005004BB" w:rsidP="00443C49">
            <w:pPr>
              <w:jc w:val="center"/>
              <w:rPr>
                <w:rFonts w:ascii="Calibri" w:hAnsi="Calibri" w:cs="Arial"/>
                <w:sz w:val="20"/>
                <w:szCs w:val="20"/>
              </w:rPr>
            </w:pPr>
            <w:r>
              <w:rPr>
                <w:rFonts w:ascii="Calibri" w:hAnsi="Calibri" w:cs="Arial"/>
                <w:sz w:val="20"/>
                <w:szCs w:val="20"/>
              </w:rPr>
              <w:t>1,007</w:t>
            </w:r>
          </w:p>
        </w:tc>
        <w:tc>
          <w:tcPr>
            <w:tcW w:w="720" w:type="dxa"/>
            <w:shd w:val="clear" w:color="auto" w:fill="D9D9D9" w:themeFill="background1" w:themeFillShade="D9"/>
            <w:vAlign w:val="center"/>
          </w:tcPr>
          <w:p w14:paraId="126EB964" w14:textId="301AF3DE" w:rsidR="005004BB" w:rsidRDefault="005004BB" w:rsidP="00443C49">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66%</w:t>
            </w:r>
          </w:p>
        </w:tc>
        <w:tc>
          <w:tcPr>
            <w:tcW w:w="1350" w:type="dxa"/>
            <w:shd w:val="clear" w:color="auto" w:fill="D9D9D9" w:themeFill="background1" w:themeFillShade="D9"/>
            <w:vAlign w:val="center"/>
          </w:tcPr>
          <w:p w14:paraId="3CCAF570" w14:textId="150A5DEC" w:rsidR="005004BB" w:rsidRDefault="005004BB" w:rsidP="00443C49">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Fail</w:t>
            </w:r>
          </w:p>
        </w:tc>
        <w:tc>
          <w:tcPr>
            <w:tcW w:w="990" w:type="dxa"/>
            <w:shd w:val="clear" w:color="auto" w:fill="D9D9D9" w:themeFill="background1" w:themeFillShade="D9"/>
            <w:vAlign w:val="center"/>
          </w:tcPr>
          <w:p w14:paraId="5136A7CC" w14:textId="49C1EB25" w:rsidR="005004BB" w:rsidRDefault="005004BB" w:rsidP="00443C49">
            <w:pPr>
              <w:tabs>
                <w:tab w:val="clear" w:pos="284"/>
              </w:tabs>
              <w:autoSpaceDE w:val="0"/>
              <w:autoSpaceDN w:val="0"/>
              <w:adjustRightInd w:val="0"/>
              <w:spacing w:line="240" w:lineRule="auto"/>
              <w:rPr>
                <w:rFonts w:ascii="Calibri" w:hAnsi="Calibri" w:cs="Arial"/>
                <w:sz w:val="20"/>
                <w:szCs w:val="20"/>
              </w:rPr>
            </w:pPr>
            <w:r>
              <w:rPr>
                <w:rFonts w:ascii="Calibri" w:hAnsi="Calibri" w:cs="Arial"/>
                <w:sz w:val="20"/>
                <w:szCs w:val="20"/>
              </w:rPr>
              <w:t>8.5</w:t>
            </w:r>
          </w:p>
        </w:tc>
      </w:tr>
      <w:tr w:rsidR="005004BB" w:rsidRPr="00F05AAD" w14:paraId="35B327C8" w14:textId="77777777" w:rsidTr="00A01FD2">
        <w:trPr>
          <w:trHeight w:val="413"/>
          <w:jc w:val="center"/>
        </w:trPr>
        <w:tc>
          <w:tcPr>
            <w:tcW w:w="2790" w:type="dxa"/>
            <w:tcBorders>
              <w:bottom w:val="single" w:sz="4" w:space="0" w:color="3379BD"/>
            </w:tcBorders>
            <w:shd w:val="clear" w:color="auto" w:fill="FFFFFF" w:themeFill="background1"/>
            <w:vAlign w:val="center"/>
          </w:tcPr>
          <w:p w14:paraId="40550A9B" w14:textId="2F66BE10" w:rsidR="005004BB" w:rsidRDefault="005004BB" w:rsidP="00443C49">
            <w:pPr>
              <w:tabs>
                <w:tab w:val="clear" w:pos="284"/>
              </w:tabs>
              <w:autoSpaceDE w:val="0"/>
              <w:autoSpaceDN w:val="0"/>
              <w:adjustRightInd w:val="0"/>
              <w:spacing w:line="240" w:lineRule="auto"/>
              <w:rPr>
                <w:rFonts w:ascii="Calibri" w:hAnsi="Calibri" w:cs="Arial"/>
                <w:sz w:val="20"/>
                <w:szCs w:val="20"/>
              </w:rPr>
            </w:pPr>
            <w:r>
              <w:rPr>
                <w:rFonts w:ascii="Calibri" w:hAnsi="Calibri" w:cs="Arial"/>
                <w:sz w:val="20"/>
                <w:szCs w:val="20"/>
              </w:rPr>
              <w:t>Town of Anton-Yellow House Draw</w:t>
            </w:r>
          </w:p>
        </w:tc>
        <w:tc>
          <w:tcPr>
            <w:tcW w:w="1710" w:type="dxa"/>
            <w:tcBorders>
              <w:bottom w:val="single" w:sz="4" w:space="0" w:color="3379BD"/>
            </w:tcBorders>
            <w:shd w:val="clear" w:color="auto" w:fill="FFFFFF" w:themeFill="background1"/>
            <w:vAlign w:val="center"/>
          </w:tcPr>
          <w:p w14:paraId="1984BF84" w14:textId="13963A91" w:rsidR="005004BB" w:rsidRDefault="005004BB" w:rsidP="00443C49">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120500011301</w:t>
            </w:r>
          </w:p>
        </w:tc>
        <w:tc>
          <w:tcPr>
            <w:tcW w:w="810" w:type="dxa"/>
            <w:tcBorders>
              <w:bottom w:val="single" w:sz="4" w:space="0" w:color="3379BD"/>
            </w:tcBorders>
            <w:shd w:val="clear" w:color="auto" w:fill="FFFFFF" w:themeFill="background1"/>
            <w:vAlign w:val="center"/>
          </w:tcPr>
          <w:p w14:paraId="14B3F150" w14:textId="05517C7C" w:rsidR="005004BB" w:rsidRDefault="005004BB" w:rsidP="00443C49">
            <w:pPr>
              <w:jc w:val="center"/>
              <w:rPr>
                <w:rFonts w:ascii="Calibri" w:hAnsi="Calibri" w:cs="Arial"/>
                <w:sz w:val="20"/>
                <w:szCs w:val="20"/>
              </w:rPr>
            </w:pPr>
            <w:r>
              <w:rPr>
                <w:rFonts w:ascii="Calibri" w:hAnsi="Calibri" w:cs="Arial"/>
                <w:sz w:val="20"/>
                <w:szCs w:val="20"/>
              </w:rPr>
              <w:t>974</w:t>
            </w:r>
          </w:p>
        </w:tc>
        <w:tc>
          <w:tcPr>
            <w:tcW w:w="810" w:type="dxa"/>
            <w:tcBorders>
              <w:bottom w:val="single" w:sz="4" w:space="0" w:color="3379BD"/>
            </w:tcBorders>
            <w:shd w:val="clear" w:color="auto" w:fill="FFFFFF" w:themeFill="background1"/>
            <w:vAlign w:val="center"/>
          </w:tcPr>
          <w:p w14:paraId="563D530B" w14:textId="2221502E" w:rsidR="005004BB" w:rsidRDefault="005004BB" w:rsidP="00443C49">
            <w:pPr>
              <w:jc w:val="center"/>
              <w:rPr>
                <w:rFonts w:ascii="Calibri" w:hAnsi="Calibri" w:cs="Arial"/>
                <w:sz w:val="20"/>
                <w:szCs w:val="20"/>
              </w:rPr>
            </w:pPr>
            <w:r>
              <w:rPr>
                <w:rFonts w:ascii="Calibri" w:hAnsi="Calibri" w:cs="Arial"/>
                <w:sz w:val="20"/>
                <w:szCs w:val="20"/>
              </w:rPr>
              <w:t>292</w:t>
            </w:r>
          </w:p>
        </w:tc>
        <w:tc>
          <w:tcPr>
            <w:tcW w:w="810" w:type="dxa"/>
            <w:tcBorders>
              <w:bottom w:val="single" w:sz="4" w:space="0" w:color="3379BD"/>
            </w:tcBorders>
            <w:shd w:val="clear" w:color="auto" w:fill="FFFFFF" w:themeFill="background1"/>
            <w:vAlign w:val="center"/>
          </w:tcPr>
          <w:p w14:paraId="09A7A3B1" w14:textId="730DB1DA" w:rsidR="005004BB" w:rsidRDefault="005004BB" w:rsidP="00443C49">
            <w:pPr>
              <w:jc w:val="center"/>
              <w:rPr>
                <w:rFonts w:ascii="Calibri" w:hAnsi="Calibri" w:cs="Arial"/>
                <w:sz w:val="20"/>
                <w:szCs w:val="20"/>
              </w:rPr>
            </w:pPr>
            <w:r>
              <w:rPr>
                <w:rFonts w:ascii="Calibri" w:hAnsi="Calibri" w:cs="Arial"/>
                <w:sz w:val="20"/>
                <w:szCs w:val="20"/>
              </w:rPr>
              <w:t>682</w:t>
            </w:r>
          </w:p>
        </w:tc>
        <w:tc>
          <w:tcPr>
            <w:tcW w:w="720" w:type="dxa"/>
            <w:tcBorders>
              <w:bottom w:val="single" w:sz="4" w:space="0" w:color="3379BD"/>
            </w:tcBorders>
            <w:shd w:val="clear" w:color="auto" w:fill="FFFFFF" w:themeFill="background1"/>
            <w:vAlign w:val="center"/>
          </w:tcPr>
          <w:p w14:paraId="7F3F76D8" w14:textId="6F6CDA6C" w:rsidR="005004BB" w:rsidRDefault="005004BB" w:rsidP="00443C49">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70%</w:t>
            </w:r>
          </w:p>
        </w:tc>
        <w:tc>
          <w:tcPr>
            <w:tcW w:w="1350" w:type="dxa"/>
            <w:tcBorders>
              <w:bottom w:val="single" w:sz="4" w:space="0" w:color="3379BD"/>
            </w:tcBorders>
            <w:shd w:val="clear" w:color="auto" w:fill="FFFFFF" w:themeFill="background1"/>
            <w:vAlign w:val="center"/>
          </w:tcPr>
          <w:p w14:paraId="40BF297D" w14:textId="3E046688" w:rsidR="005004BB" w:rsidRDefault="005004BB" w:rsidP="00443C49">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Fail</w:t>
            </w:r>
          </w:p>
        </w:tc>
        <w:tc>
          <w:tcPr>
            <w:tcW w:w="990" w:type="dxa"/>
            <w:tcBorders>
              <w:bottom w:val="single" w:sz="4" w:space="0" w:color="3379BD"/>
            </w:tcBorders>
            <w:shd w:val="clear" w:color="auto" w:fill="FFFFFF" w:themeFill="background1"/>
            <w:vAlign w:val="center"/>
          </w:tcPr>
          <w:p w14:paraId="00A78558" w14:textId="49DE4EA4" w:rsidR="005004BB" w:rsidRDefault="005004BB" w:rsidP="00443C49">
            <w:pPr>
              <w:tabs>
                <w:tab w:val="clear" w:pos="284"/>
              </w:tabs>
              <w:autoSpaceDE w:val="0"/>
              <w:autoSpaceDN w:val="0"/>
              <w:adjustRightInd w:val="0"/>
              <w:spacing w:line="240" w:lineRule="auto"/>
              <w:rPr>
                <w:rFonts w:ascii="Calibri" w:hAnsi="Calibri" w:cs="Arial"/>
                <w:sz w:val="20"/>
                <w:szCs w:val="20"/>
              </w:rPr>
            </w:pPr>
            <w:r>
              <w:rPr>
                <w:rFonts w:ascii="Calibri" w:hAnsi="Calibri" w:cs="Arial"/>
                <w:sz w:val="20"/>
                <w:szCs w:val="20"/>
              </w:rPr>
              <w:t>7.5</w:t>
            </w:r>
          </w:p>
        </w:tc>
      </w:tr>
      <w:tr w:rsidR="005004BB" w:rsidRPr="00F05AAD" w14:paraId="79755B5C" w14:textId="77777777" w:rsidTr="00A01FD2">
        <w:trPr>
          <w:trHeight w:val="413"/>
          <w:jc w:val="center"/>
        </w:trPr>
        <w:tc>
          <w:tcPr>
            <w:tcW w:w="2790" w:type="dxa"/>
            <w:shd w:val="clear" w:color="auto" w:fill="D9D9D9" w:themeFill="background1" w:themeFillShade="D9"/>
            <w:vAlign w:val="center"/>
          </w:tcPr>
          <w:p w14:paraId="015998C6" w14:textId="707BBE3F" w:rsidR="005004BB" w:rsidRDefault="005004BB" w:rsidP="00443C49">
            <w:pPr>
              <w:tabs>
                <w:tab w:val="clear" w:pos="284"/>
              </w:tabs>
              <w:autoSpaceDE w:val="0"/>
              <w:autoSpaceDN w:val="0"/>
              <w:adjustRightInd w:val="0"/>
              <w:spacing w:line="240" w:lineRule="auto"/>
              <w:rPr>
                <w:rFonts w:ascii="Calibri" w:hAnsi="Calibri" w:cs="Arial"/>
                <w:sz w:val="20"/>
                <w:szCs w:val="20"/>
              </w:rPr>
            </w:pPr>
            <w:r>
              <w:rPr>
                <w:rFonts w:ascii="Calibri" w:hAnsi="Calibri" w:cs="Arial"/>
                <w:sz w:val="20"/>
                <w:szCs w:val="20"/>
              </w:rPr>
              <w:t>120500011302-Yellow House Draw</w:t>
            </w:r>
          </w:p>
        </w:tc>
        <w:tc>
          <w:tcPr>
            <w:tcW w:w="1710" w:type="dxa"/>
            <w:shd w:val="clear" w:color="auto" w:fill="D9D9D9" w:themeFill="background1" w:themeFillShade="D9"/>
            <w:vAlign w:val="center"/>
          </w:tcPr>
          <w:p w14:paraId="65469202" w14:textId="563E5A77" w:rsidR="005004BB" w:rsidRDefault="005004BB" w:rsidP="00443C49">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120500011302</w:t>
            </w:r>
          </w:p>
        </w:tc>
        <w:tc>
          <w:tcPr>
            <w:tcW w:w="810" w:type="dxa"/>
            <w:shd w:val="clear" w:color="auto" w:fill="D9D9D9" w:themeFill="background1" w:themeFillShade="D9"/>
            <w:vAlign w:val="center"/>
          </w:tcPr>
          <w:p w14:paraId="5F5C4BC4" w14:textId="31217082" w:rsidR="005004BB" w:rsidRDefault="005004BB" w:rsidP="00443C49">
            <w:pPr>
              <w:jc w:val="center"/>
              <w:rPr>
                <w:rFonts w:ascii="Calibri" w:hAnsi="Calibri" w:cs="Arial"/>
                <w:sz w:val="20"/>
                <w:szCs w:val="20"/>
              </w:rPr>
            </w:pPr>
            <w:r>
              <w:rPr>
                <w:rFonts w:ascii="Calibri" w:hAnsi="Calibri" w:cs="Arial"/>
                <w:sz w:val="20"/>
                <w:szCs w:val="20"/>
              </w:rPr>
              <w:t>1,695</w:t>
            </w:r>
          </w:p>
        </w:tc>
        <w:tc>
          <w:tcPr>
            <w:tcW w:w="810" w:type="dxa"/>
            <w:shd w:val="clear" w:color="auto" w:fill="D9D9D9" w:themeFill="background1" w:themeFillShade="D9"/>
            <w:vAlign w:val="center"/>
          </w:tcPr>
          <w:p w14:paraId="72D378DD" w14:textId="6AE5E691" w:rsidR="005004BB" w:rsidRDefault="005004BB" w:rsidP="00443C49">
            <w:pPr>
              <w:jc w:val="center"/>
              <w:rPr>
                <w:rFonts w:ascii="Calibri" w:hAnsi="Calibri" w:cs="Arial"/>
                <w:sz w:val="20"/>
                <w:szCs w:val="20"/>
              </w:rPr>
            </w:pPr>
            <w:r>
              <w:rPr>
                <w:rFonts w:ascii="Calibri" w:hAnsi="Calibri" w:cs="Arial"/>
                <w:sz w:val="20"/>
                <w:szCs w:val="20"/>
              </w:rPr>
              <w:t>418</w:t>
            </w:r>
          </w:p>
        </w:tc>
        <w:tc>
          <w:tcPr>
            <w:tcW w:w="810" w:type="dxa"/>
            <w:shd w:val="clear" w:color="auto" w:fill="D9D9D9" w:themeFill="background1" w:themeFillShade="D9"/>
            <w:vAlign w:val="center"/>
          </w:tcPr>
          <w:p w14:paraId="35D0AE3F" w14:textId="10CB437D" w:rsidR="005004BB" w:rsidRDefault="005004BB" w:rsidP="00443C49">
            <w:pPr>
              <w:jc w:val="center"/>
              <w:rPr>
                <w:rFonts w:ascii="Calibri" w:hAnsi="Calibri" w:cs="Arial"/>
                <w:sz w:val="20"/>
                <w:szCs w:val="20"/>
              </w:rPr>
            </w:pPr>
            <w:r>
              <w:rPr>
                <w:rFonts w:ascii="Calibri" w:hAnsi="Calibri" w:cs="Arial"/>
                <w:sz w:val="20"/>
                <w:szCs w:val="20"/>
              </w:rPr>
              <w:t>1,277</w:t>
            </w:r>
          </w:p>
        </w:tc>
        <w:tc>
          <w:tcPr>
            <w:tcW w:w="720" w:type="dxa"/>
            <w:shd w:val="clear" w:color="auto" w:fill="D9D9D9" w:themeFill="background1" w:themeFillShade="D9"/>
            <w:vAlign w:val="center"/>
          </w:tcPr>
          <w:p w14:paraId="21B97963" w14:textId="60E8BACB" w:rsidR="005004BB" w:rsidRDefault="005004BB" w:rsidP="00443C49">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75%</w:t>
            </w:r>
          </w:p>
        </w:tc>
        <w:tc>
          <w:tcPr>
            <w:tcW w:w="1350" w:type="dxa"/>
            <w:shd w:val="clear" w:color="auto" w:fill="D9D9D9" w:themeFill="background1" w:themeFillShade="D9"/>
            <w:vAlign w:val="center"/>
          </w:tcPr>
          <w:p w14:paraId="63727DEA" w14:textId="5B52FA47" w:rsidR="005004BB" w:rsidRDefault="005004BB" w:rsidP="00443C49">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Fail</w:t>
            </w:r>
          </w:p>
        </w:tc>
        <w:tc>
          <w:tcPr>
            <w:tcW w:w="990" w:type="dxa"/>
            <w:shd w:val="clear" w:color="auto" w:fill="D9D9D9" w:themeFill="background1" w:themeFillShade="D9"/>
            <w:vAlign w:val="center"/>
          </w:tcPr>
          <w:p w14:paraId="3A5567A1" w14:textId="19584B4A" w:rsidR="005004BB" w:rsidRDefault="005004BB" w:rsidP="00443C49">
            <w:pPr>
              <w:tabs>
                <w:tab w:val="clear" w:pos="284"/>
              </w:tabs>
              <w:autoSpaceDE w:val="0"/>
              <w:autoSpaceDN w:val="0"/>
              <w:adjustRightInd w:val="0"/>
              <w:spacing w:line="240" w:lineRule="auto"/>
              <w:rPr>
                <w:rFonts w:ascii="Calibri" w:hAnsi="Calibri" w:cs="Arial"/>
                <w:sz w:val="20"/>
                <w:szCs w:val="20"/>
              </w:rPr>
            </w:pPr>
            <w:r>
              <w:rPr>
                <w:rFonts w:ascii="Calibri" w:hAnsi="Calibri" w:cs="Arial"/>
                <w:sz w:val="20"/>
                <w:szCs w:val="20"/>
              </w:rPr>
              <w:t>6.2</w:t>
            </w:r>
          </w:p>
        </w:tc>
      </w:tr>
      <w:tr w:rsidR="005004BB" w:rsidRPr="00F05AAD" w14:paraId="40D7D5DC" w14:textId="77777777" w:rsidTr="00A01FD2">
        <w:trPr>
          <w:trHeight w:val="413"/>
          <w:jc w:val="center"/>
        </w:trPr>
        <w:tc>
          <w:tcPr>
            <w:tcW w:w="2790" w:type="dxa"/>
            <w:tcBorders>
              <w:bottom w:val="single" w:sz="4" w:space="0" w:color="3379BD"/>
            </w:tcBorders>
            <w:shd w:val="clear" w:color="auto" w:fill="FFFFFF" w:themeFill="background1"/>
            <w:vAlign w:val="center"/>
          </w:tcPr>
          <w:p w14:paraId="67CB00F7" w14:textId="6B4D1306" w:rsidR="005004BB" w:rsidRDefault="005004BB" w:rsidP="00443C49">
            <w:pPr>
              <w:tabs>
                <w:tab w:val="clear" w:pos="284"/>
              </w:tabs>
              <w:autoSpaceDE w:val="0"/>
              <w:autoSpaceDN w:val="0"/>
              <w:adjustRightInd w:val="0"/>
              <w:spacing w:line="240" w:lineRule="auto"/>
              <w:rPr>
                <w:rFonts w:ascii="Calibri" w:hAnsi="Calibri" w:cs="Arial"/>
                <w:sz w:val="20"/>
                <w:szCs w:val="20"/>
              </w:rPr>
            </w:pPr>
            <w:r>
              <w:rPr>
                <w:rFonts w:ascii="Calibri" w:hAnsi="Calibri" w:cs="Arial"/>
                <w:sz w:val="20"/>
                <w:szCs w:val="20"/>
              </w:rPr>
              <w:t>120500011303-Yellow House Draw</w:t>
            </w:r>
          </w:p>
        </w:tc>
        <w:tc>
          <w:tcPr>
            <w:tcW w:w="1710" w:type="dxa"/>
            <w:tcBorders>
              <w:bottom w:val="single" w:sz="4" w:space="0" w:color="3379BD"/>
            </w:tcBorders>
            <w:shd w:val="clear" w:color="auto" w:fill="FFFFFF" w:themeFill="background1"/>
            <w:vAlign w:val="center"/>
          </w:tcPr>
          <w:p w14:paraId="71F0EEA7" w14:textId="06DFAF6A" w:rsidR="005004BB" w:rsidRDefault="005004BB" w:rsidP="00443C49">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120500011303</w:t>
            </w:r>
          </w:p>
        </w:tc>
        <w:tc>
          <w:tcPr>
            <w:tcW w:w="810" w:type="dxa"/>
            <w:tcBorders>
              <w:bottom w:val="single" w:sz="4" w:space="0" w:color="3379BD"/>
            </w:tcBorders>
            <w:shd w:val="clear" w:color="auto" w:fill="FFFFFF" w:themeFill="background1"/>
            <w:vAlign w:val="center"/>
          </w:tcPr>
          <w:p w14:paraId="43005E3A" w14:textId="4E592E14" w:rsidR="005004BB" w:rsidRDefault="005004BB" w:rsidP="00443C49">
            <w:pPr>
              <w:jc w:val="center"/>
              <w:rPr>
                <w:rFonts w:ascii="Calibri" w:hAnsi="Calibri" w:cs="Arial"/>
                <w:sz w:val="20"/>
                <w:szCs w:val="20"/>
              </w:rPr>
            </w:pPr>
            <w:r>
              <w:rPr>
                <w:rFonts w:ascii="Calibri" w:hAnsi="Calibri" w:cs="Arial"/>
                <w:sz w:val="20"/>
                <w:szCs w:val="20"/>
              </w:rPr>
              <w:t>1,013</w:t>
            </w:r>
          </w:p>
        </w:tc>
        <w:tc>
          <w:tcPr>
            <w:tcW w:w="810" w:type="dxa"/>
            <w:tcBorders>
              <w:bottom w:val="single" w:sz="4" w:space="0" w:color="3379BD"/>
            </w:tcBorders>
            <w:shd w:val="clear" w:color="auto" w:fill="FFFFFF" w:themeFill="background1"/>
            <w:vAlign w:val="center"/>
          </w:tcPr>
          <w:p w14:paraId="002B9D95" w14:textId="4E49946D" w:rsidR="005004BB" w:rsidRDefault="005004BB" w:rsidP="00443C49">
            <w:pPr>
              <w:jc w:val="center"/>
              <w:rPr>
                <w:rFonts w:ascii="Calibri" w:hAnsi="Calibri" w:cs="Arial"/>
                <w:sz w:val="20"/>
                <w:szCs w:val="20"/>
              </w:rPr>
            </w:pPr>
            <w:r>
              <w:rPr>
                <w:rFonts w:ascii="Calibri" w:hAnsi="Calibri" w:cs="Arial"/>
                <w:sz w:val="20"/>
                <w:szCs w:val="20"/>
              </w:rPr>
              <w:t>321</w:t>
            </w:r>
          </w:p>
        </w:tc>
        <w:tc>
          <w:tcPr>
            <w:tcW w:w="810" w:type="dxa"/>
            <w:tcBorders>
              <w:bottom w:val="single" w:sz="4" w:space="0" w:color="3379BD"/>
            </w:tcBorders>
            <w:shd w:val="clear" w:color="auto" w:fill="FFFFFF" w:themeFill="background1"/>
            <w:vAlign w:val="center"/>
          </w:tcPr>
          <w:p w14:paraId="24490DAF" w14:textId="77CFE74C" w:rsidR="005004BB" w:rsidRDefault="005004BB" w:rsidP="00443C49">
            <w:pPr>
              <w:jc w:val="center"/>
              <w:rPr>
                <w:rFonts w:ascii="Calibri" w:hAnsi="Calibri" w:cs="Arial"/>
                <w:sz w:val="20"/>
                <w:szCs w:val="20"/>
              </w:rPr>
            </w:pPr>
            <w:r>
              <w:rPr>
                <w:rFonts w:ascii="Calibri" w:hAnsi="Calibri" w:cs="Arial"/>
                <w:sz w:val="20"/>
                <w:szCs w:val="20"/>
              </w:rPr>
              <w:t>692</w:t>
            </w:r>
          </w:p>
        </w:tc>
        <w:tc>
          <w:tcPr>
            <w:tcW w:w="720" w:type="dxa"/>
            <w:tcBorders>
              <w:bottom w:val="single" w:sz="4" w:space="0" w:color="3379BD"/>
            </w:tcBorders>
            <w:shd w:val="clear" w:color="auto" w:fill="FFFFFF" w:themeFill="background1"/>
            <w:vAlign w:val="center"/>
          </w:tcPr>
          <w:p w14:paraId="219EC107" w14:textId="7DE9364F" w:rsidR="005004BB" w:rsidRDefault="005004BB" w:rsidP="00443C49">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68%</w:t>
            </w:r>
          </w:p>
        </w:tc>
        <w:tc>
          <w:tcPr>
            <w:tcW w:w="1350" w:type="dxa"/>
            <w:tcBorders>
              <w:bottom w:val="single" w:sz="4" w:space="0" w:color="3379BD"/>
            </w:tcBorders>
            <w:shd w:val="clear" w:color="auto" w:fill="FFFFFF" w:themeFill="background1"/>
            <w:vAlign w:val="center"/>
          </w:tcPr>
          <w:p w14:paraId="625FF239" w14:textId="76D55D85" w:rsidR="005004BB" w:rsidRDefault="005004BB" w:rsidP="00443C49">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Fail</w:t>
            </w:r>
          </w:p>
        </w:tc>
        <w:tc>
          <w:tcPr>
            <w:tcW w:w="990" w:type="dxa"/>
            <w:tcBorders>
              <w:bottom w:val="single" w:sz="4" w:space="0" w:color="3379BD"/>
            </w:tcBorders>
            <w:shd w:val="clear" w:color="auto" w:fill="FFFFFF" w:themeFill="background1"/>
            <w:vAlign w:val="center"/>
          </w:tcPr>
          <w:p w14:paraId="15DC55E4" w14:textId="7271BC03" w:rsidR="005004BB" w:rsidRDefault="005004BB" w:rsidP="00443C49">
            <w:pPr>
              <w:tabs>
                <w:tab w:val="clear" w:pos="284"/>
              </w:tabs>
              <w:autoSpaceDE w:val="0"/>
              <w:autoSpaceDN w:val="0"/>
              <w:adjustRightInd w:val="0"/>
              <w:spacing w:line="240" w:lineRule="auto"/>
              <w:rPr>
                <w:rFonts w:ascii="Calibri" w:hAnsi="Calibri" w:cs="Arial"/>
                <w:sz w:val="20"/>
                <w:szCs w:val="20"/>
              </w:rPr>
            </w:pPr>
            <w:r>
              <w:rPr>
                <w:rFonts w:ascii="Calibri" w:hAnsi="Calibri" w:cs="Arial"/>
                <w:sz w:val="20"/>
                <w:szCs w:val="20"/>
              </w:rPr>
              <w:t>7.9</w:t>
            </w:r>
          </w:p>
        </w:tc>
      </w:tr>
      <w:tr w:rsidR="005004BB" w:rsidRPr="00F05AAD" w14:paraId="194D8290" w14:textId="77777777" w:rsidTr="00A01FD2">
        <w:trPr>
          <w:trHeight w:val="413"/>
          <w:jc w:val="center"/>
        </w:trPr>
        <w:tc>
          <w:tcPr>
            <w:tcW w:w="2790" w:type="dxa"/>
            <w:shd w:val="clear" w:color="auto" w:fill="D9D9D9" w:themeFill="background1" w:themeFillShade="D9"/>
            <w:vAlign w:val="center"/>
          </w:tcPr>
          <w:p w14:paraId="14739A7C" w14:textId="1046B34F" w:rsidR="005004BB" w:rsidRDefault="005004BB" w:rsidP="00443C49">
            <w:pPr>
              <w:tabs>
                <w:tab w:val="clear" w:pos="284"/>
              </w:tabs>
              <w:autoSpaceDE w:val="0"/>
              <w:autoSpaceDN w:val="0"/>
              <w:adjustRightInd w:val="0"/>
              <w:spacing w:line="240" w:lineRule="auto"/>
              <w:rPr>
                <w:rFonts w:ascii="Calibri" w:hAnsi="Calibri" w:cs="Arial"/>
                <w:sz w:val="20"/>
                <w:szCs w:val="20"/>
              </w:rPr>
            </w:pPr>
            <w:r>
              <w:rPr>
                <w:rFonts w:ascii="Calibri" w:hAnsi="Calibri" w:cs="Arial"/>
                <w:sz w:val="20"/>
                <w:szCs w:val="20"/>
              </w:rPr>
              <w:t>Town of Shallowater-Yellow House Draw</w:t>
            </w:r>
          </w:p>
        </w:tc>
        <w:tc>
          <w:tcPr>
            <w:tcW w:w="1710" w:type="dxa"/>
            <w:shd w:val="clear" w:color="auto" w:fill="D9D9D9" w:themeFill="background1" w:themeFillShade="D9"/>
            <w:vAlign w:val="center"/>
          </w:tcPr>
          <w:p w14:paraId="31FA52BA" w14:textId="035986B0" w:rsidR="005004BB" w:rsidRDefault="005004BB" w:rsidP="00443C49">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120500011304</w:t>
            </w:r>
          </w:p>
        </w:tc>
        <w:tc>
          <w:tcPr>
            <w:tcW w:w="810" w:type="dxa"/>
            <w:shd w:val="clear" w:color="auto" w:fill="D9D9D9" w:themeFill="background1" w:themeFillShade="D9"/>
            <w:vAlign w:val="center"/>
          </w:tcPr>
          <w:p w14:paraId="6B446E94" w14:textId="1C90CF21" w:rsidR="005004BB" w:rsidRDefault="005004BB" w:rsidP="00443C49">
            <w:pPr>
              <w:jc w:val="center"/>
              <w:rPr>
                <w:rFonts w:ascii="Calibri" w:hAnsi="Calibri" w:cs="Arial"/>
                <w:sz w:val="20"/>
                <w:szCs w:val="20"/>
              </w:rPr>
            </w:pPr>
            <w:r>
              <w:rPr>
                <w:rFonts w:ascii="Calibri" w:hAnsi="Calibri" w:cs="Arial"/>
                <w:sz w:val="20"/>
                <w:szCs w:val="20"/>
              </w:rPr>
              <w:t>1,761</w:t>
            </w:r>
          </w:p>
        </w:tc>
        <w:tc>
          <w:tcPr>
            <w:tcW w:w="810" w:type="dxa"/>
            <w:shd w:val="clear" w:color="auto" w:fill="D9D9D9" w:themeFill="background1" w:themeFillShade="D9"/>
            <w:vAlign w:val="center"/>
          </w:tcPr>
          <w:p w14:paraId="3B5308C5" w14:textId="7A66D983" w:rsidR="005004BB" w:rsidRDefault="005004BB" w:rsidP="00443C49">
            <w:pPr>
              <w:jc w:val="center"/>
              <w:rPr>
                <w:rFonts w:ascii="Calibri" w:hAnsi="Calibri" w:cs="Arial"/>
                <w:sz w:val="20"/>
                <w:szCs w:val="20"/>
              </w:rPr>
            </w:pPr>
            <w:r>
              <w:rPr>
                <w:rFonts w:ascii="Calibri" w:hAnsi="Calibri" w:cs="Arial"/>
                <w:sz w:val="20"/>
                <w:szCs w:val="20"/>
              </w:rPr>
              <w:t>457</w:t>
            </w:r>
          </w:p>
        </w:tc>
        <w:tc>
          <w:tcPr>
            <w:tcW w:w="810" w:type="dxa"/>
            <w:shd w:val="clear" w:color="auto" w:fill="D9D9D9" w:themeFill="background1" w:themeFillShade="D9"/>
            <w:vAlign w:val="center"/>
          </w:tcPr>
          <w:p w14:paraId="7B8441B5" w14:textId="56B35D17" w:rsidR="005004BB" w:rsidRDefault="005004BB" w:rsidP="00443C49">
            <w:pPr>
              <w:jc w:val="center"/>
              <w:rPr>
                <w:rFonts w:ascii="Calibri" w:hAnsi="Calibri" w:cs="Arial"/>
                <w:sz w:val="20"/>
                <w:szCs w:val="20"/>
              </w:rPr>
            </w:pPr>
            <w:r>
              <w:rPr>
                <w:rFonts w:ascii="Calibri" w:hAnsi="Calibri" w:cs="Arial"/>
                <w:sz w:val="20"/>
                <w:szCs w:val="20"/>
              </w:rPr>
              <w:t>1,304</w:t>
            </w:r>
          </w:p>
        </w:tc>
        <w:tc>
          <w:tcPr>
            <w:tcW w:w="720" w:type="dxa"/>
            <w:shd w:val="clear" w:color="auto" w:fill="D9D9D9" w:themeFill="background1" w:themeFillShade="D9"/>
            <w:vAlign w:val="center"/>
          </w:tcPr>
          <w:p w14:paraId="1BD9BC49" w14:textId="3A0727C7" w:rsidR="005004BB" w:rsidRDefault="005004BB" w:rsidP="00443C49">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74%</w:t>
            </w:r>
          </w:p>
        </w:tc>
        <w:tc>
          <w:tcPr>
            <w:tcW w:w="1350" w:type="dxa"/>
            <w:shd w:val="clear" w:color="auto" w:fill="D9D9D9" w:themeFill="background1" w:themeFillShade="D9"/>
            <w:vAlign w:val="center"/>
          </w:tcPr>
          <w:p w14:paraId="0B18F5D8" w14:textId="3F8DD0C3" w:rsidR="005004BB" w:rsidRDefault="005004BB" w:rsidP="00443C49">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Fail</w:t>
            </w:r>
          </w:p>
        </w:tc>
        <w:tc>
          <w:tcPr>
            <w:tcW w:w="990" w:type="dxa"/>
            <w:shd w:val="clear" w:color="auto" w:fill="D9D9D9" w:themeFill="background1" w:themeFillShade="D9"/>
            <w:vAlign w:val="center"/>
          </w:tcPr>
          <w:p w14:paraId="579C1138" w14:textId="3E8EB004" w:rsidR="005004BB" w:rsidRDefault="005004BB" w:rsidP="00443C49">
            <w:pPr>
              <w:tabs>
                <w:tab w:val="clear" w:pos="284"/>
              </w:tabs>
              <w:autoSpaceDE w:val="0"/>
              <w:autoSpaceDN w:val="0"/>
              <w:adjustRightInd w:val="0"/>
              <w:spacing w:line="240" w:lineRule="auto"/>
              <w:rPr>
                <w:rFonts w:ascii="Calibri" w:hAnsi="Calibri" w:cs="Arial"/>
                <w:sz w:val="20"/>
                <w:szCs w:val="20"/>
              </w:rPr>
            </w:pPr>
            <w:r>
              <w:rPr>
                <w:rFonts w:ascii="Calibri" w:hAnsi="Calibri" w:cs="Arial"/>
                <w:sz w:val="20"/>
                <w:szCs w:val="20"/>
              </w:rPr>
              <w:t>7.1</w:t>
            </w:r>
          </w:p>
        </w:tc>
      </w:tr>
      <w:tr w:rsidR="005004BB" w:rsidRPr="00F05AAD" w14:paraId="057B8437" w14:textId="77777777" w:rsidTr="00A01FD2">
        <w:trPr>
          <w:trHeight w:val="413"/>
          <w:jc w:val="center"/>
        </w:trPr>
        <w:tc>
          <w:tcPr>
            <w:tcW w:w="2790" w:type="dxa"/>
            <w:tcBorders>
              <w:bottom w:val="single" w:sz="4" w:space="0" w:color="3379BD"/>
            </w:tcBorders>
            <w:shd w:val="clear" w:color="auto" w:fill="FFFFFF" w:themeFill="background1"/>
            <w:vAlign w:val="center"/>
          </w:tcPr>
          <w:p w14:paraId="0F068CF6" w14:textId="030367DE" w:rsidR="005004BB" w:rsidRDefault="005004BB" w:rsidP="00443C49">
            <w:pPr>
              <w:tabs>
                <w:tab w:val="clear" w:pos="284"/>
              </w:tabs>
              <w:autoSpaceDE w:val="0"/>
              <w:autoSpaceDN w:val="0"/>
              <w:adjustRightInd w:val="0"/>
              <w:spacing w:line="240" w:lineRule="auto"/>
              <w:rPr>
                <w:rFonts w:ascii="Calibri" w:hAnsi="Calibri" w:cs="Arial"/>
                <w:sz w:val="20"/>
                <w:szCs w:val="20"/>
              </w:rPr>
            </w:pPr>
            <w:r>
              <w:rPr>
                <w:rFonts w:ascii="Calibri" w:hAnsi="Calibri" w:cs="Arial"/>
                <w:sz w:val="20"/>
                <w:szCs w:val="20"/>
              </w:rPr>
              <w:t>McCauley Well-Yellow House Draw</w:t>
            </w:r>
          </w:p>
        </w:tc>
        <w:tc>
          <w:tcPr>
            <w:tcW w:w="1710" w:type="dxa"/>
            <w:tcBorders>
              <w:bottom w:val="single" w:sz="4" w:space="0" w:color="3379BD"/>
            </w:tcBorders>
            <w:shd w:val="clear" w:color="auto" w:fill="FFFFFF" w:themeFill="background1"/>
            <w:vAlign w:val="center"/>
          </w:tcPr>
          <w:p w14:paraId="095A72D7" w14:textId="34B45E08" w:rsidR="005004BB" w:rsidRDefault="005004BB" w:rsidP="00443C49">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120500011305</w:t>
            </w:r>
          </w:p>
        </w:tc>
        <w:tc>
          <w:tcPr>
            <w:tcW w:w="810" w:type="dxa"/>
            <w:tcBorders>
              <w:bottom w:val="single" w:sz="4" w:space="0" w:color="3379BD"/>
            </w:tcBorders>
            <w:shd w:val="clear" w:color="auto" w:fill="FFFFFF" w:themeFill="background1"/>
            <w:vAlign w:val="center"/>
          </w:tcPr>
          <w:p w14:paraId="6DF461CB" w14:textId="06881D19" w:rsidR="005004BB" w:rsidRDefault="005004BB" w:rsidP="00443C49">
            <w:pPr>
              <w:jc w:val="center"/>
              <w:rPr>
                <w:rFonts w:ascii="Calibri" w:hAnsi="Calibri" w:cs="Arial"/>
                <w:sz w:val="20"/>
                <w:szCs w:val="20"/>
              </w:rPr>
            </w:pPr>
            <w:r>
              <w:rPr>
                <w:rFonts w:ascii="Calibri" w:hAnsi="Calibri" w:cs="Arial"/>
                <w:sz w:val="20"/>
                <w:szCs w:val="20"/>
              </w:rPr>
              <w:t>1,708</w:t>
            </w:r>
          </w:p>
        </w:tc>
        <w:tc>
          <w:tcPr>
            <w:tcW w:w="810" w:type="dxa"/>
            <w:tcBorders>
              <w:bottom w:val="single" w:sz="4" w:space="0" w:color="3379BD"/>
            </w:tcBorders>
            <w:shd w:val="clear" w:color="auto" w:fill="FFFFFF" w:themeFill="background1"/>
            <w:vAlign w:val="center"/>
          </w:tcPr>
          <w:p w14:paraId="535891B8" w14:textId="2ED0F770" w:rsidR="005004BB" w:rsidRDefault="005004BB" w:rsidP="00443C49">
            <w:pPr>
              <w:jc w:val="center"/>
              <w:rPr>
                <w:rFonts w:ascii="Calibri" w:hAnsi="Calibri" w:cs="Arial"/>
                <w:sz w:val="20"/>
                <w:szCs w:val="20"/>
              </w:rPr>
            </w:pPr>
            <w:r>
              <w:rPr>
                <w:rFonts w:ascii="Calibri" w:hAnsi="Calibri" w:cs="Arial"/>
                <w:sz w:val="20"/>
                <w:szCs w:val="20"/>
              </w:rPr>
              <w:t>223</w:t>
            </w:r>
          </w:p>
        </w:tc>
        <w:tc>
          <w:tcPr>
            <w:tcW w:w="810" w:type="dxa"/>
            <w:tcBorders>
              <w:bottom w:val="single" w:sz="4" w:space="0" w:color="3379BD"/>
            </w:tcBorders>
            <w:shd w:val="clear" w:color="auto" w:fill="FFFFFF" w:themeFill="background1"/>
            <w:vAlign w:val="center"/>
          </w:tcPr>
          <w:p w14:paraId="07DB2C1E" w14:textId="21B155BC" w:rsidR="005004BB" w:rsidRDefault="005004BB" w:rsidP="00443C49">
            <w:pPr>
              <w:jc w:val="center"/>
              <w:rPr>
                <w:rFonts w:ascii="Calibri" w:hAnsi="Calibri" w:cs="Arial"/>
                <w:sz w:val="20"/>
                <w:szCs w:val="20"/>
              </w:rPr>
            </w:pPr>
            <w:r>
              <w:rPr>
                <w:rFonts w:ascii="Calibri" w:hAnsi="Calibri" w:cs="Arial"/>
                <w:sz w:val="20"/>
                <w:szCs w:val="20"/>
              </w:rPr>
              <w:t>1,485</w:t>
            </w:r>
          </w:p>
        </w:tc>
        <w:tc>
          <w:tcPr>
            <w:tcW w:w="720" w:type="dxa"/>
            <w:tcBorders>
              <w:bottom w:val="single" w:sz="4" w:space="0" w:color="3379BD"/>
            </w:tcBorders>
            <w:shd w:val="clear" w:color="auto" w:fill="FFFFFF" w:themeFill="background1"/>
            <w:vAlign w:val="center"/>
          </w:tcPr>
          <w:p w14:paraId="7E38406E" w14:textId="2B32E32B" w:rsidR="005004BB" w:rsidRDefault="005004BB" w:rsidP="00443C49">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87%</w:t>
            </w:r>
          </w:p>
        </w:tc>
        <w:tc>
          <w:tcPr>
            <w:tcW w:w="1350" w:type="dxa"/>
            <w:tcBorders>
              <w:bottom w:val="single" w:sz="4" w:space="0" w:color="3379BD"/>
            </w:tcBorders>
            <w:shd w:val="clear" w:color="auto" w:fill="FFFFFF" w:themeFill="background1"/>
            <w:vAlign w:val="center"/>
          </w:tcPr>
          <w:p w14:paraId="4F0CAB61" w14:textId="5A41A23D" w:rsidR="005004BB" w:rsidRDefault="005004BB" w:rsidP="00443C49">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Pass</w:t>
            </w:r>
          </w:p>
        </w:tc>
        <w:tc>
          <w:tcPr>
            <w:tcW w:w="990" w:type="dxa"/>
            <w:tcBorders>
              <w:bottom w:val="single" w:sz="4" w:space="0" w:color="3379BD"/>
            </w:tcBorders>
            <w:shd w:val="clear" w:color="auto" w:fill="FFFFFF" w:themeFill="background1"/>
            <w:vAlign w:val="center"/>
          </w:tcPr>
          <w:p w14:paraId="341785FA" w14:textId="22F9F227" w:rsidR="005004BB" w:rsidRDefault="005004BB" w:rsidP="00443C49">
            <w:pPr>
              <w:tabs>
                <w:tab w:val="clear" w:pos="284"/>
              </w:tabs>
              <w:autoSpaceDE w:val="0"/>
              <w:autoSpaceDN w:val="0"/>
              <w:adjustRightInd w:val="0"/>
              <w:spacing w:line="240" w:lineRule="auto"/>
              <w:rPr>
                <w:rFonts w:ascii="Calibri" w:hAnsi="Calibri" w:cs="Arial"/>
                <w:sz w:val="20"/>
                <w:szCs w:val="20"/>
              </w:rPr>
            </w:pPr>
            <w:r>
              <w:rPr>
                <w:rFonts w:ascii="Calibri" w:hAnsi="Calibri" w:cs="Arial"/>
                <w:sz w:val="20"/>
                <w:szCs w:val="20"/>
              </w:rPr>
              <w:t>4.0</w:t>
            </w:r>
          </w:p>
        </w:tc>
      </w:tr>
    </w:tbl>
    <w:p w14:paraId="15F0DEA1" w14:textId="77777777" w:rsidR="00131303" w:rsidRPr="00B31133" w:rsidRDefault="00131303" w:rsidP="00B31133">
      <w:pPr>
        <w:pStyle w:val="BodyText"/>
      </w:pPr>
    </w:p>
    <w:p w14:paraId="5B771817" w14:textId="4CBB7753" w:rsidR="00E209B0" w:rsidRDefault="00E209B0" w:rsidP="001F4E43">
      <w:pPr>
        <w:pStyle w:val="Heading3"/>
      </w:pPr>
      <w:bookmarkStart w:id="318" w:name="_Toc112877095"/>
      <w:r>
        <w:t>Validation Results</w:t>
      </w:r>
      <w:bookmarkEnd w:id="318"/>
      <w:r>
        <w:t xml:space="preserve"> </w:t>
      </w:r>
    </w:p>
    <w:p w14:paraId="21C0A59D" w14:textId="54539793" w:rsidR="007E3CB5" w:rsidRPr="001F4E43" w:rsidRDefault="007E3CB5" w:rsidP="00627679">
      <w:pPr>
        <w:pStyle w:val="BodyText"/>
      </w:pPr>
      <w:r w:rsidRPr="001F4E43">
        <w:t xml:space="preserve">Based on the validation assessments and BLE comparison results described above, the CNMS inventory of Zone A studies in the </w:t>
      </w:r>
      <w:r w:rsidR="00F05AAD">
        <w:t>Navidad</w:t>
      </w:r>
      <w:r w:rsidRPr="001F4E43">
        <w:t xml:space="preserve"> </w:t>
      </w:r>
      <w:r w:rsidR="005C72F6" w:rsidRPr="005C72F6">
        <w:t>watershed</w:t>
      </w:r>
      <w:r w:rsidRPr="001F4E43">
        <w:t xml:space="preserve"> has been updated as summarized in </w:t>
      </w:r>
      <w:r w:rsidRPr="001F4E43">
        <w:fldChar w:fldCharType="begin"/>
      </w:r>
      <w:r w:rsidRPr="001F4E43">
        <w:instrText xml:space="preserve"> REF _Ref490041528 \h </w:instrText>
      </w:r>
      <w:r w:rsidR="001F4E43">
        <w:instrText xml:space="preserve"> \* MERGEFORMAT </w:instrText>
      </w:r>
      <w:r w:rsidRPr="001F4E43">
        <w:fldChar w:fldCharType="separate"/>
      </w:r>
      <w:r w:rsidR="00C9792F" w:rsidRPr="00FD7113">
        <w:t xml:space="preserve">Table </w:t>
      </w:r>
      <w:r w:rsidR="00C9792F">
        <w:rPr>
          <w:noProof/>
        </w:rPr>
        <w:t>13</w:t>
      </w:r>
      <w:r w:rsidRPr="001F4E43">
        <w:fldChar w:fldCharType="end"/>
      </w:r>
      <w:r w:rsidRPr="001F4E43">
        <w:t xml:space="preserve"> and illustrated in </w:t>
      </w:r>
      <w:r w:rsidR="00860875">
        <w:fldChar w:fldCharType="begin"/>
      </w:r>
      <w:r w:rsidR="00860875">
        <w:instrText xml:space="preserve"> REF _Ref82514567 \h  \* MERGEFORMAT </w:instrText>
      </w:r>
      <w:r w:rsidR="00860875">
        <w:fldChar w:fldCharType="separate"/>
      </w:r>
      <w:r w:rsidR="00C9792F">
        <w:t>Figure 16</w:t>
      </w:r>
      <w:r w:rsidR="00860875">
        <w:fldChar w:fldCharType="end"/>
      </w:r>
      <w:r w:rsidR="00860875">
        <w:t xml:space="preserve">. </w:t>
      </w:r>
    </w:p>
    <w:p w14:paraId="769E4E46" w14:textId="7CA048F2" w:rsidR="007E3CB5" w:rsidRDefault="007E3CB5" w:rsidP="007E3CB5">
      <w:pPr>
        <w:pStyle w:val="Caption"/>
        <w:jc w:val="center"/>
      </w:pPr>
      <w:bookmarkStart w:id="319" w:name="_Ref490041528"/>
      <w:bookmarkStart w:id="320" w:name="_Toc112877058"/>
      <w:r w:rsidRPr="00FD7113">
        <w:t xml:space="preserve">Table </w:t>
      </w:r>
      <w:r>
        <w:fldChar w:fldCharType="begin"/>
      </w:r>
      <w:r>
        <w:instrText xml:space="preserve"> SEQ Table \* ARABIC </w:instrText>
      </w:r>
      <w:r>
        <w:fldChar w:fldCharType="separate"/>
      </w:r>
      <w:r w:rsidR="00C9792F">
        <w:rPr>
          <w:noProof/>
        </w:rPr>
        <w:t>13</w:t>
      </w:r>
      <w:r>
        <w:rPr>
          <w:noProof/>
        </w:rPr>
        <w:fldChar w:fldCharType="end"/>
      </w:r>
      <w:bookmarkEnd w:id="319"/>
      <w:r w:rsidRPr="00FD7113">
        <w:t>: Zone A Validation Results</w:t>
      </w:r>
      <w:bookmarkEnd w:id="320"/>
    </w:p>
    <w:tbl>
      <w:tblPr>
        <w:tblStyle w:val="CompassTable"/>
        <w:tblW w:w="5058" w:type="dxa"/>
        <w:jc w:val="center"/>
        <w:tblLayout w:type="fixed"/>
        <w:tblLook w:val="04A0" w:firstRow="1" w:lastRow="0" w:firstColumn="1" w:lastColumn="0" w:noHBand="0" w:noVBand="1"/>
      </w:tblPr>
      <w:tblGrid>
        <w:gridCol w:w="1818"/>
        <w:gridCol w:w="1800"/>
        <w:gridCol w:w="1440"/>
      </w:tblGrid>
      <w:tr w:rsidR="007E3CB5" w:rsidRPr="007E3CB5" w14:paraId="185DE4DD" w14:textId="77777777" w:rsidTr="00FD3A8D">
        <w:trPr>
          <w:cnfStyle w:val="100000000000" w:firstRow="1" w:lastRow="0" w:firstColumn="0" w:lastColumn="0" w:oddVBand="0" w:evenVBand="0" w:oddHBand="0" w:evenHBand="0" w:firstRowFirstColumn="0" w:firstRowLastColumn="0" w:lastRowFirstColumn="0" w:lastRowLastColumn="0"/>
          <w:trHeight w:val="404"/>
          <w:jc w:val="center"/>
        </w:trPr>
        <w:tc>
          <w:tcPr>
            <w:tcW w:w="0" w:type="dxa"/>
            <w:shd w:val="clear" w:color="auto" w:fill="00B5E2" w:themeFill="accent1"/>
            <w:hideMark/>
          </w:tcPr>
          <w:p w14:paraId="322DD641" w14:textId="77777777" w:rsidR="007E3CB5" w:rsidRPr="007E3CB5" w:rsidRDefault="007E3CB5" w:rsidP="00E62342">
            <w:r w:rsidRPr="007E3CB5">
              <w:t>Validation Status</w:t>
            </w:r>
          </w:p>
        </w:tc>
        <w:tc>
          <w:tcPr>
            <w:tcW w:w="0" w:type="dxa"/>
            <w:shd w:val="clear" w:color="auto" w:fill="00B5E2" w:themeFill="accent1"/>
            <w:hideMark/>
          </w:tcPr>
          <w:p w14:paraId="23815B00" w14:textId="77777777" w:rsidR="007E3CB5" w:rsidRPr="007E3CB5" w:rsidRDefault="007E3CB5" w:rsidP="00E62342">
            <w:r w:rsidRPr="007E3CB5">
              <w:t>Status Type</w:t>
            </w:r>
          </w:p>
        </w:tc>
        <w:tc>
          <w:tcPr>
            <w:tcW w:w="0" w:type="dxa"/>
            <w:shd w:val="clear" w:color="auto" w:fill="00B5E2" w:themeFill="accent1"/>
            <w:hideMark/>
          </w:tcPr>
          <w:p w14:paraId="348CCB3E" w14:textId="77777777" w:rsidR="007E3CB5" w:rsidRPr="007E3CB5" w:rsidRDefault="007E3CB5" w:rsidP="00E62342">
            <w:pPr>
              <w:jc w:val="center"/>
            </w:pPr>
            <w:r w:rsidRPr="007E3CB5">
              <w:t>Total Miles</w:t>
            </w:r>
          </w:p>
        </w:tc>
      </w:tr>
      <w:tr w:rsidR="007E3CB5" w:rsidRPr="007E3CB5" w14:paraId="22262C01" w14:textId="77777777" w:rsidTr="00E62342">
        <w:trPr>
          <w:cnfStyle w:val="000000100000" w:firstRow="0" w:lastRow="0" w:firstColumn="0" w:lastColumn="0" w:oddVBand="0" w:evenVBand="0" w:oddHBand="1" w:evenHBand="0" w:firstRowFirstColumn="0" w:firstRowLastColumn="0" w:lastRowFirstColumn="0" w:lastRowLastColumn="0"/>
          <w:jc w:val="center"/>
        </w:trPr>
        <w:tc>
          <w:tcPr>
            <w:tcW w:w="1818" w:type="dxa"/>
            <w:hideMark/>
          </w:tcPr>
          <w:p w14:paraId="6521B5DE" w14:textId="77777777" w:rsidR="007E3CB5" w:rsidRPr="007E3CB5" w:rsidRDefault="007E3CB5" w:rsidP="00E62342">
            <w:r w:rsidRPr="007E3CB5">
              <w:t>VALID</w:t>
            </w:r>
          </w:p>
        </w:tc>
        <w:tc>
          <w:tcPr>
            <w:tcW w:w="1800" w:type="dxa"/>
            <w:hideMark/>
          </w:tcPr>
          <w:p w14:paraId="594AFFB5" w14:textId="77777777" w:rsidR="007E3CB5" w:rsidRPr="007E3CB5" w:rsidRDefault="007E3CB5" w:rsidP="00E62342">
            <w:r w:rsidRPr="007E3CB5">
              <w:t>BEING STUDIED</w:t>
            </w:r>
          </w:p>
        </w:tc>
        <w:tc>
          <w:tcPr>
            <w:tcW w:w="1440" w:type="dxa"/>
          </w:tcPr>
          <w:p w14:paraId="2D409879" w14:textId="1EE5F575" w:rsidR="007E3CB5" w:rsidRPr="007E3CB5" w:rsidRDefault="00FD1616" w:rsidP="00E62342">
            <w:pPr>
              <w:jc w:val="center"/>
            </w:pPr>
            <w:r>
              <w:t>195.1</w:t>
            </w:r>
          </w:p>
        </w:tc>
      </w:tr>
      <w:tr w:rsidR="007E3CB5" w:rsidRPr="009B2120" w14:paraId="2E842DDF" w14:textId="77777777" w:rsidTr="00E62342">
        <w:trPr>
          <w:cnfStyle w:val="000000010000" w:firstRow="0" w:lastRow="0" w:firstColumn="0" w:lastColumn="0" w:oddVBand="0" w:evenVBand="0" w:oddHBand="0" w:evenHBand="1" w:firstRowFirstColumn="0" w:firstRowLastColumn="0" w:lastRowFirstColumn="0" w:lastRowLastColumn="0"/>
          <w:jc w:val="center"/>
        </w:trPr>
        <w:tc>
          <w:tcPr>
            <w:tcW w:w="1818" w:type="dxa"/>
            <w:hideMark/>
          </w:tcPr>
          <w:p w14:paraId="2D72F83C" w14:textId="77777777" w:rsidR="007E3CB5" w:rsidRPr="007E3CB5" w:rsidRDefault="007E3CB5" w:rsidP="00E62342">
            <w:r w:rsidRPr="007E3CB5">
              <w:t>UNVERIFIED</w:t>
            </w:r>
          </w:p>
        </w:tc>
        <w:tc>
          <w:tcPr>
            <w:tcW w:w="1800" w:type="dxa"/>
            <w:hideMark/>
          </w:tcPr>
          <w:p w14:paraId="2EA9CF6B" w14:textId="77777777" w:rsidR="007E3CB5" w:rsidRPr="007E3CB5" w:rsidRDefault="007E3CB5" w:rsidP="00E62342">
            <w:r w:rsidRPr="007E3CB5">
              <w:t>BEING STUDIED</w:t>
            </w:r>
          </w:p>
        </w:tc>
        <w:tc>
          <w:tcPr>
            <w:tcW w:w="1440" w:type="dxa"/>
          </w:tcPr>
          <w:p w14:paraId="4387097F" w14:textId="7646BF77" w:rsidR="007E3CB5" w:rsidRPr="00B04E77" w:rsidRDefault="00FD1616" w:rsidP="00E62342">
            <w:pPr>
              <w:jc w:val="center"/>
            </w:pPr>
            <w:r>
              <w:t>498.6</w:t>
            </w:r>
          </w:p>
        </w:tc>
      </w:tr>
    </w:tbl>
    <w:p w14:paraId="38CC6A95" w14:textId="77777777" w:rsidR="007E3CB5" w:rsidRDefault="007E3CB5" w:rsidP="007E3CB5">
      <w:pPr>
        <w:pStyle w:val="2Body-Text"/>
        <w:rPr>
          <w:noProof/>
        </w:rPr>
      </w:pPr>
    </w:p>
    <w:p w14:paraId="1521961F" w14:textId="77777777" w:rsidR="007E3CB5" w:rsidRDefault="007E3CB5" w:rsidP="007E3CB5">
      <w:pPr>
        <w:pStyle w:val="2Body-Text"/>
        <w:rPr>
          <w:noProof/>
        </w:rPr>
      </w:pPr>
    </w:p>
    <w:p w14:paraId="1FE08A99" w14:textId="6FABA184" w:rsidR="007E3CB5" w:rsidRDefault="007E3CB5" w:rsidP="00C23D36">
      <w:pPr>
        <w:pStyle w:val="2Body-Text"/>
        <w:jc w:val="center"/>
        <w:rPr>
          <w:noProof/>
        </w:rPr>
      </w:pPr>
      <w:r>
        <w:rPr>
          <w:noProof/>
        </w:rPr>
        <w:lastRenderedPageBreak/>
        <w:drawing>
          <wp:inline distT="0" distB="0" distL="0" distR="0" wp14:anchorId="266031D4" wp14:editId="58853F3B">
            <wp:extent cx="5772150" cy="5772150"/>
            <wp:effectExtent l="19050" t="19050" r="19050" b="1905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Fig6.png"/>
                    <pic:cNvPicPr/>
                  </pic:nvPicPr>
                  <pic:blipFill>
                    <a:blip r:embed="rId31" cstate="print">
                      <a:extLst>
                        <a:ext uri="{28A0092B-C50C-407E-A947-70E740481C1C}">
                          <a14:useLocalDpi xmlns:a14="http://schemas.microsoft.com/office/drawing/2010/main" val="0"/>
                        </a:ext>
                      </a:extLst>
                    </a:blip>
                    <a:stretch>
                      <a:fillRect/>
                    </a:stretch>
                  </pic:blipFill>
                  <pic:spPr>
                    <a:xfrm>
                      <a:off x="0" y="0"/>
                      <a:ext cx="5774194" cy="5774194"/>
                    </a:xfrm>
                    <a:prstGeom prst="rect">
                      <a:avLst/>
                    </a:prstGeom>
                    <a:ln w="15875">
                      <a:solidFill>
                        <a:schemeClr val="tx1"/>
                      </a:solidFill>
                    </a:ln>
                  </pic:spPr>
                </pic:pic>
              </a:graphicData>
            </a:graphic>
          </wp:inline>
        </w:drawing>
      </w:r>
    </w:p>
    <w:p w14:paraId="7B2275AB" w14:textId="27FFCCF2" w:rsidR="003867C2" w:rsidRDefault="003867C2" w:rsidP="003867C2">
      <w:pPr>
        <w:pStyle w:val="Caption"/>
        <w:jc w:val="center"/>
      </w:pPr>
      <w:bookmarkStart w:id="321" w:name="_Ref82514567"/>
      <w:bookmarkStart w:id="322" w:name="_Ref505868354"/>
      <w:bookmarkStart w:id="323" w:name="_Toc112877044"/>
      <w:r>
        <w:t xml:space="preserve">Figure </w:t>
      </w:r>
      <w:r>
        <w:fldChar w:fldCharType="begin"/>
      </w:r>
      <w:r>
        <w:instrText xml:space="preserve"> SEQ Figure \* ARABIC </w:instrText>
      </w:r>
      <w:r>
        <w:fldChar w:fldCharType="separate"/>
      </w:r>
      <w:r w:rsidR="00C9792F">
        <w:rPr>
          <w:noProof/>
        </w:rPr>
        <w:t>16</w:t>
      </w:r>
      <w:r>
        <w:fldChar w:fldCharType="end"/>
      </w:r>
      <w:bookmarkEnd w:id="321"/>
      <w:r w:rsidR="0063518A">
        <w:t xml:space="preserve">: </w:t>
      </w:r>
      <w:r w:rsidR="00FD1616">
        <w:t>Yellow House Draw</w:t>
      </w:r>
      <w:r w:rsidRPr="00081AB5">
        <w:t xml:space="preserve"> Watershed CNMS Validation Results</w:t>
      </w:r>
      <w:bookmarkEnd w:id="323"/>
    </w:p>
    <w:bookmarkEnd w:id="322"/>
    <w:p w14:paraId="47F7C22D" w14:textId="0A6D9811" w:rsidR="007E3CB5" w:rsidRPr="001F4E43" w:rsidRDefault="007E3CB5" w:rsidP="00627679">
      <w:pPr>
        <w:pStyle w:val="BodyText"/>
      </w:pPr>
      <w:r w:rsidRPr="001F4E43">
        <w:t xml:space="preserve">An overall risk for each HUC-12 watershed was calculated using the National Flood Risk Percentages Dataset and its proportional area. The weighted risk was multiplied by the percentage of points in the watershed that failed the CNMS comparison to effective to determine the priority score. </w:t>
      </w:r>
      <w:r w:rsidR="00C55775">
        <w:fldChar w:fldCharType="begin"/>
      </w:r>
      <w:r w:rsidR="00C55775">
        <w:instrText xml:space="preserve"> REF _Ref81923668 \h  \* MERGEFORMAT </w:instrText>
      </w:r>
      <w:r w:rsidR="00C55775">
        <w:fldChar w:fldCharType="separate"/>
      </w:r>
      <w:r w:rsidR="00C9792F">
        <w:t>Figure 17</w:t>
      </w:r>
      <w:r w:rsidR="00C55775">
        <w:fldChar w:fldCharType="end"/>
      </w:r>
      <w:r w:rsidRPr="001F4E43">
        <w:t xml:space="preserve"> below shows the range of the HUC-12 priority scores which can be used to initiate discussions during the Discovery phase. </w:t>
      </w:r>
    </w:p>
    <w:p w14:paraId="06E11A48" w14:textId="473BECD6" w:rsidR="007E3CB5" w:rsidRDefault="00815FF9" w:rsidP="00627679">
      <w:pPr>
        <w:pStyle w:val="BodyText"/>
      </w:pPr>
      <w:r w:rsidRPr="00815FF9">
        <w:t>120500011201-Smyer Oil Field</w:t>
      </w:r>
      <w:r w:rsidR="005D2004">
        <w:t xml:space="preserve"> </w:t>
      </w:r>
      <w:r w:rsidR="007E3CB5" w:rsidRPr="001F4E43">
        <w:t xml:space="preserve">HUC-12 was determined to have the highest priority score and the most need while </w:t>
      </w:r>
      <w:r w:rsidRPr="00815FF9">
        <w:t>Littlefield Cemetery-Town of Littlefield</w:t>
      </w:r>
      <w:r w:rsidR="005D2004">
        <w:t xml:space="preserve"> </w:t>
      </w:r>
      <w:r w:rsidR="007E3CB5" w:rsidRPr="001F4E43">
        <w:t>HUC-12 had the lowest score.</w:t>
      </w:r>
    </w:p>
    <w:p w14:paraId="249B9A6B" w14:textId="007FCDE5" w:rsidR="007E3CB5" w:rsidRPr="00DF39C8" w:rsidRDefault="007E3CB5" w:rsidP="001F4E43">
      <w:pPr>
        <w:pStyle w:val="2Body-Text"/>
        <w:jc w:val="center"/>
      </w:pPr>
      <w:r>
        <w:rPr>
          <w:noProof/>
          <w:sz w:val="16"/>
          <w:szCs w:val="16"/>
        </w:rPr>
        <w:lastRenderedPageBreak/>
        <w:drawing>
          <wp:inline distT="0" distB="0" distL="0" distR="0" wp14:anchorId="420A878F" wp14:editId="59C2F73A">
            <wp:extent cx="5800725" cy="5800725"/>
            <wp:effectExtent l="19050" t="19050" r="28575" b="2857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NMS_PriorityMap_1.png"/>
                    <pic:cNvPicPr/>
                  </pic:nvPicPr>
                  <pic:blipFill>
                    <a:blip r:embed="rId32" cstate="print">
                      <a:extLst>
                        <a:ext uri="{28A0092B-C50C-407E-A947-70E740481C1C}">
                          <a14:useLocalDpi xmlns:a14="http://schemas.microsoft.com/office/drawing/2010/main" val="0"/>
                        </a:ext>
                      </a:extLst>
                    </a:blip>
                    <a:stretch>
                      <a:fillRect/>
                    </a:stretch>
                  </pic:blipFill>
                  <pic:spPr bwMode="auto">
                    <a:xfrm>
                      <a:off x="0" y="0"/>
                      <a:ext cx="5800725" cy="5800725"/>
                    </a:xfrm>
                    <a:prstGeom prst="rect">
                      <a:avLst/>
                    </a:prstGeom>
                    <a:ln w="15875">
                      <a:solidFill>
                        <a:schemeClr val="tx1"/>
                      </a:solidFill>
                    </a:ln>
                    <a:extLst>
                      <a:ext uri="{53640926-AAD7-44D8-BBD7-CCE9431645EC}">
                        <a14:shadowObscured xmlns:a14="http://schemas.microsoft.com/office/drawing/2010/main"/>
                      </a:ext>
                    </a:extLst>
                  </pic:spPr>
                </pic:pic>
              </a:graphicData>
            </a:graphic>
          </wp:inline>
        </w:drawing>
      </w:r>
    </w:p>
    <w:p w14:paraId="077CD4FB" w14:textId="61B6A5CB" w:rsidR="003521F5" w:rsidRPr="003521F5" w:rsidRDefault="003867C2" w:rsidP="00DD5064">
      <w:pPr>
        <w:pStyle w:val="Caption"/>
        <w:jc w:val="center"/>
      </w:pPr>
      <w:bookmarkStart w:id="324" w:name="_Ref81923668"/>
      <w:bookmarkStart w:id="325" w:name="_Toc112877045"/>
      <w:r>
        <w:t xml:space="preserve">Figure </w:t>
      </w:r>
      <w:r>
        <w:fldChar w:fldCharType="begin"/>
      </w:r>
      <w:r>
        <w:instrText xml:space="preserve"> SEQ Figure \* ARABIC </w:instrText>
      </w:r>
      <w:r>
        <w:fldChar w:fldCharType="separate"/>
      </w:r>
      <w:r w:rsidR="00C9792F">
        <w:rPr>
          <w:noProof/>
        </w:rPr>
        <w:t>17</w:t>
      </w:r>
      <w:r>
        <w:fldChar w:fldCharType="end"/>
      </w:r>
      <w:bookmarkEnd w:id="324"/>
      <w:r w:rsidR="0063518A">
        <w:t xml:space="preserve">: Ranking of </w:t>
      </w:r>
      <w:r w:rsidR="00DF4387">
        <w:t>Navidad</w:t>
      </w:r>
      <w:r w:rsidRPr="00537B02">
        <w:t xml:space="preserve"> Watershed HUC-12s</w:t>
      </w:r>
      <w:bookmarkEnd w:id="325"/>
    </w:p>
    <w:p w14:paraId="34EF646F" w14:textId="0517B700" w:rsidR="00EC6519" w:rsidRDefault="00E209B0" w:rsidP="00EC6519">
      <w:pPr>
        <w:pStyle w:val="Heading2"/>
      </w:pPr>
      <w:bookmarkStart w:id="326" w:name="_Toc112877096"/>
      <w:r>
        <w:t>Flood Risk Analysis</w:t>
      </w:r>
      <w:bookmarkEnd w:id="326"/>
      <w:r>
        <w:t xml:space="preserve"> </w:t>
      </w:r>
    </w:p>
    <w:p w14:paraId="30AF5A18" w14:textId="036315E2" w:rsidR="00353DB2" w:rsidRPr="00197A2E" w:rsidRDefault="00353DB2" w:rsidP="00DD5064">
      <w:pPr>
        <w:pStyle w:val="BodyText"/>
      </w:pPr>
      <w:r w:rsidRPr="00197A2E">
        <w:t>A flood risk analysis was performed for this project.  The updated 1</w:t>
      </w:r>
      <w:r w:rsidR="00DB51AA">
        <w:t>-percent</w:t>
      </w:r>
      <w:r w:rsidRPr="00197A2E">
        <w:t xml:space="preserve"> annual chance and 0.2</w:t>
      </w:r>
      <w:r w:rsidR="00DB51AA">
        <w:t>-percent</w:t>
      </w:r>
      <w:r w:rsidRPr="00197A2E">
        <w:t xml:space="preserve"> annual chance depth grids were used to calculate the potential flood losses.  The loss results are stored in the S_FRAC_AR spatial file within the FRD geodatabase.  All results are reported in whole dollar values.</w:t>
      </w:r>
    </w:p>
    <w:p w14:paraId="522013EC" w14:textId="42EBC1E8" w:rsidR="00353DB2" w:rsidRPr="00197A2E" w:rsidRDefault="00353DB2" w:rsidP="00DD5064">
      <w:pPr>
        <w:pStyle w:val="BodyText"/>
      </w:pPr>
      <w:r w:rsidRPr="00197A2E">
        <w:t xml:space="preserve">Hazus version </w:t>
      </w:r>
      <w:r w:rsidR="00BC1336">
        <w:t>5.1</w:t>
      </w:r>
      <w:r w:rsidRPr="00197A2E">
        <w:t xml:space="preserve"> was used for the basic and refined loss analysis. </w:t>
      </w:r>
    </w:p>
    <w:p w14:paraId="33A93055" w14:textId="24EA5857" w:rsidR="00353DB2" w:rsidRPr="00197A2E" w:rsidRDefault="00353DB2" w:rsidP="00DD5064">
      <w:pPr>
        <w:pStyle w:val="BodyText"/>
        <w:rPr>
          <w:rStyle w:val="Hyperlink"/>
        </w:rPr>
      </w:pPr>
      <w:r w:rsidRPr="00197A2E">
        <w:t>The losses are reported via census blocks.  It is important to note that Hazus version</w:t>
      </w:r>
      <w:r w:rsidR="00BC1336">
        <w:t xml:space="preserve"> 5.1</w:t>
      </w:r>
      <w:r w:rsidRPr="00197A2E">
        <w:t xml:space="preserve"> uses dasymetric census blocks.  Dasymetric mapping removes undeveloped areas (such as areas covered by other bodies of water, wetlands, or forests) from the census blocks, changing their shape and reducing their size in these areas.  For more information on dasymetric data visit FEMA’s </w:t>
      </w:r>
      <w:hyperlink r:id="rId33" w:history="1">
        <w:r w:rsidRPr="00197A2E">
          <w:rPr>
            <w:rStyle w:val="Hyperlink"/>
          </w:rPr>
          <w:t>Media Library</w:t>
        </w:r>
      </w:hyperlink>
      <w:r w:rsidRPr="00197A2E">
        <w:t xml:space="preserve"> for the </w:t>
      </w:r>
      <w:hyperlink r:id="rId34" w:history="1">
        <w:r w:rsidRPr="00197A2E">
          <w:rPr>
            <w:rStyle w:val="Hyperlink"/>
          </w:rPr>
          <w:t>Hazus-MH Data Inventories: Dasymetric vs. Homogenous</w:t>
        </w:r>
      </w:hyperlink>
      <w:r w:rsidRPr="00197A2E">
        <w:t xml:space="preserve">, or </w:t>
      </w:r>
      <w:hyperlink r:id="rId35" w:history="1">
        <w:r w:rsidRPr="00197A2E">
          <w:rPr>
            <w:rStyle w:val="Hyperlink"/>
          </w:rPr>
          <w:t>Hazus 3.0 Dasymetric Data Overview</w:t>
        </w:r>
      </w:hyperlink>
      <w:r w:rsidRPr="00197A2E">
        <w:rPr>
          <w:rStyle w:val="Hyperlink"/>
        </w:rPr>
        <w:t>.</w:t>
      </w:r>
    </w:p>
    <w:p w14:paraId="2DE0F113" w14:textId="27934CE1" w:rsidR="00353DB2" w:rsidRDefault="00BC1336" w:rsidP="00DD5064">
      <w:pPr>
        <w:pStyle w:val="BodyText"/>
      </w:pPr>
      <w:r w:rsidRPr="00197A2E">
        <w:rPr>
          <w:rStyle w:val="Hyperlink"/>
          <w:color w:val="auto"/>
          <w:u w:val="none"/>
        </w:rPr>
        <w:t xml:space="preserve">Hazus analysis was performed by </w:t>
      </w:r>
      <w:r>
        <w:rPr>
          <w:rStyle w:val="Hyperlink"/>
          <w:color w:val="auto"/>
          <w:u w:val="none"/>
        </w:rPr>
        <w:t>watershed</w:t>
      </w:r>
      <w:r w:rsidRPr="00197A2E">
        <w:rPr>
          <w:rStyle w:val="Hyperlink"/>
          <w:color w:val="auto"/>
          <w:u w:val="none"/>
        </w:rPr>
        <w:t xml:space="preserve"> extents for each return period to ensure proper model processing. A summary of results for counties </w:t>
      </w:r>
      <w:r>
        <w:rPr>
          <w:rStyle w:val="Hyperlink"/>
          <w:color w:val="auto"/>
          <w:u w:val="none"/>
        </w:rPr>
        <w:t xml:space="preserve">within the watershed </w:t>
      </w:r>
      <w:r w:rsidRPr="00197A2E">
        <w:rPr>
          <w:rStyle w:val="Hyperlink"/>
          <w:color w:val="auto"/>
          <w:u w:val="none"/>
        </w:rPr>
        <w:t>for the 1-percent a</w:t>
      </w:r>
      <w:r>
        <w:rPr>
          <w:rStyle w:val="Hyperlink"/>
          <w:color w:val="auto"/>
          <w:u w:val="none"/>
        </w:rPr>
        <w:t>nnual chance</w:t>
      </w:r>
      <w:r w:rsidRPr="00197A2E">
        <w:rPr>
          <w:rStyle w:val="Hyperlink"/>
          <w:color w:val="auto"/>
          <w:u w:val="none"/>
        </w:rPr>
        <w:t xml:space="preserve"> scenarios are shown in</w:t>
      </w:r>
      <w:r>
        <w:rPr>
          <w:rStyle w:val="Hyperlink"/>
          <w:color w:val="auto"/>
          <w:u w:val="none"/>
        </w:rPr>
        <w:t xml:space="preserve"> </w:t>
      </w:r>
      <w:r w:rsidR="00D15D84">
        <w:rPr>
          <w:rStyle w:val="Hyperlink"/>
          <w:color w:val="auto"/>
          <w:u w:val="none"/>
        </w:rPr>
        <w:fldChar w:fldCharType="begin"/>
      </w:r>
      <w:r w:rsidR="00D15D84">
        <w:rPr>
          <w:rStyle w:val="Hyperlink"/>
          <w:color w:val="auto"/>
          <w:u w:val="none"/>
        </w:rPr>
        <w:instrText xml:space="preserve"> REF _Ref82514931 \h  \* MERGEFORMAT </w:instrText>
      </w:r>
      <w:r w:rsidR="00D15D84">
        <w:rPr>
          <w:rStyle w:val="Hyperlink"/>
          <w:color w:val="auto"/>
          <w:u w:val="none"/>
        </w:rPr>
      </w:r>
      <w:r w:rsidR="00D15D84">
        <w:rPr>
          <w:rStyle w:val="Hyperlink"/>
          <w:color w:val="auto"/>
          <w:u w:val="none"/>
        </w:rPr>
        <w:fldChar w:fldCharType="separate"/>
      </w:r>
      <w:r w:rsidR="00C9792F" w:rsidRPr="00C9792F">
        <w:rPr>
          <w:rStyle w:val="Hyperlink"/>
          <w:color w:val="auto"/>
          <w:u w:val="none"/>
        </w:rPr>
        <w:t xml:space="preserve">Table </w:t>
      </w:r>
      <w:r w:rsidR="00C9792F" w:rsidRPr="00C9792F">
        <w:rPr>
          <w:rStyle w:val="Hyperlink"/>
          <w:color w:val="auto"/>
          <w:u w:val="none"/>
        </w:rPr>
        <w:lastRenderedPageBreak/>
        <w:t>14</w:t>
      </w:r>
      <w:r w:rsidR="00D15D84">
        <w:rPr>
          <w:rStyle w:val="Hyperlink"/>
          <w:color w:val="auto"/>
          <w:u w:val="none"/>
        </w:rPr>
        <w:fldChar w:fldCharType="end"/>
      </w:r>
      <w:r w:rsidR="00D15D84">
        <w:rPr>
          <w:rStyle w:val="Hyperlink"/>
          <w:color w:val="auto"/>
          <w:u w:val="none"/>
        </w:rPr>
        <w:t>.</w:t>
      </w:r>
      <w:r>
        <w:rPr>
          <w:rStyle w:val="Hyperlink"/>
          <w:color w:val="auto"/>
          <w:u w:val="none"/>
        </w:rPr>
        <w:t xml:space="preserve"> </w:t>
      </w:r>
      <w:r w:rsidRPr="00FA0D67">
        <w:t>Totals only reflect data for those census tracts/blocks included in the user’s study region and will reflect the entire county only if all of the census blocks for that county/state were selected at the time of study region creation</w:t>
      </w:r>
      <w:r>
        <w:t>.</w:t>
      </w:r>
    </w:p>
    <w:p w14:paraId="12E5D971" w14:textId="0C4CE919" w:rsidR="00D15D84" w:rsidRDefault="00D15D84" w:rsidP="00D15D84">
      <w:pPr>
        <w:pStyle w:val="Caption"/>
        <w:jc w:val="center"/>
      </w:pPr>
      <w:bookmarkStart w:id="327" w:name="_Ref82514931"/>
      <w:bookmarkStart w:id="328" w:name="_Toc112877059"/>
      <w:r>
        <w:t xml:space="preserve">Table </w:t>
      </w:r>
      <w:r>
        <w:fldChar w:fldCharType="begin"/>
      </w:r>
      <w:r>
        <w:instrText xml:space="preserve"> SEQ Table \* ARABIC </w:instrText>
      </w:r>
      <w:r>
        <w:fldChar w:fldCharType="separate"/>
      </w:r>
      <w:r w:rsidR="00C9792F">
        <w:rPr>
          <w:noProof/>
        </w:rPr>
        <w:t>14</w:t>
      </w:r>
      <w:r>
        <w:fldChar w:fldCharType="end"/>
      </w:r>
      <w:bookmarkEnd w:id="327"/>
      <w:r w:rsidRPr="009A3E7A">
        <w:t xml:space="preserve">: Hazus </w:t>
      </w:r>
      <w:r w:rsidR="00BC1336">
        <w:t>5.1</w:t>
      </w:r>
      <w:r w:rsidRPr="009A3E7A">
        <w:t xml:space="preserve"> Results for 1-Percent-Annual-Chance (100 year) Scenario</w:t>
      </w:r>
      <w:bookmarkEnd w:id="328"/>
    </w:p>
    <w:tbl>
      <w:tblPr>
        <w:tblStyle w:val="CompassTable"/>
        <w:tblW w:w="9489" w:type="dxa"/>
        <w:jc w:val="center"/>
        <w:tblLayout w:type="fixed"/>
        <w:tblLook w:val="04A0" w:firstRow="1" w:lastRow="0" w:firstColumn="1" w:lastColumn="0" w:noHBand="0" w:noVBand="1"/>
      </w:tblPr>
      <w:tblGrid>
        <w:gridCol w:w="1915"/>
        <w:gridCol w:w="2160"/>
        <w:gridCol w:w="2707"/>
        <w:gridCol w:w="2707"/>
      </w:tblGrid>
      <w:tr w:rsidR="004A738C" w:rsidRPr="007E3CB5" w14:paraId="26FA1EE4" w14:textId="47D012D2" w:rsidTr="00FD3A8D">
        <w:trPr>
          <w:cnfStyle w:val="100000000000" w:firstRow="1" w:lastRow="0" w:firstColumn="0" w:lastColumn="0" w:oddVBand="0" w:evenVBand="0" w:oddHBand="0" w:evenHBand="0" w:firstRowFirstColumn="0" w:firstRowLastColumn="0" w:lastRowFirstColumn="0" w:lastRowLastColumn="0"/>
          <w:trHeight w:val="404"/>
          <w:jc w:val="center"/>
        </w:trPr>
        <w:tc>
          <w:tcPr>
            <w:tcW w:w="0" w:type="dxa"/>
            <w:shd w:val="clear" w:color="auto" w:fill="00B5E2" w:themeFill="accent1"/>
            <w:hideMark/>
          </w:tcPr>
          <w:p w14:paraId="22709721" w14:textId="7DE6D71F" w:rsidR="004A738C" w:rsidRPr="007E3CB5" w:rsidRDefault="004A738C" w:rsidP="00353DB2">
            <w:r>
              <w:t>County</w:t>
            </w:r>
          </w:p>
        </w:tc>
        <w:tc>
          <w:tcPr>
            <w:tcW w:w="0" w:type="dxa"/>
            <w:shd w:val="clear" w:color="auto" w:fill="00B5E2" w:themeFill="accent1"/>
            <w:hideMark/>
          </w:tcPr>
          <w:p w14:paraId="5462863C" w14:textId="08D69626" w:rsidR="004A738C" w:rsidRPr="007E3CB5" w:rsidRDefault="004A738C" w:rsidP="00353DB2">
            <w:r>
              <w:t>Full Replacement – Total Loss</w:t>
            </w:r>
          </w:p>
        </w:tc>
        <w:tc>
          <w:tcPr>
            <w:tcW w:w="0" w:type="dxa"/>
            <w:shd w:val="clear" w:color="auto" w:fill="00B5E2" w:themeFill="accent1"/>
            <w:hideMark/>
          </w:tcPr>
          <w:p w14:paraId="09739639" w14:textId="496EB1B3" w:rsidR="004A738C" w:rsidRDefault="00C57801" w:rsidP="00353DB2">
            <w:pPr>
              <w:jc w:val="center"/>
            </w:pPr>
            <w:r>
              <w:t>Dollar Exp</w:t>
            </w:r>
            <w:r w:rsidR="004A738C">
              <w:t>osure</w:t>
            </w:r>
          </w:p>
          <w:p w14:paraId="45C8B9E0" w14:textId="7D14B087" w:rsidR="004A738C" w:rsidRDefault="004A738C" w:rsidP="00353DB2">
            <w:pPr>
              <w:jc w:val="center"/>
            </w:pPr>
            <w:r>
              <w:t>(Replacement Value) -</w:t>
            </w:r>
          </w:p>
          <w:p w14:paraId="62C47CF1" w14:textId="06BCBEC3" w:rsidR="004A738C" w:rsidRPr="007E3CB5" w:rsidRDefault="004A738C" w:rsidP="00353DB2">
            <w:pPr>
              <w:jc w:val="center"/>
            </w:pPr>
            <w:r>
              <w:t>Buildings</w:t>
            </w:r>
          </w:p>
        </w:tc>
        <w:tc>
          <w:tcPr>
            <w:tcW w:w="0" w:type="dxa"/>
            <w:shd w:val="clear" w:color="auto" w:fill="00B5E2" w:themeFill="accent1"/>
          </w:tcPr>
          <w:p w14:paraId="77600B2F" w14:textId="77777777" w:rsidR="004A738C" w:rsidRDefault="004A738C" w:rsidP="00353DB2">
            <w:pPr>
              <w:jc w:val="center"/>
            </w:pPr>
            <w:r>
              <w:t>Dollar Exposure</w:t>
            </w:r>
          </w:p>
          <w:p w14:paraId="146EDAA2" w14:textId="432A104C" w:rsidR="004A738C" w:rsidRDefault="004A738C" w:rsidP="00353DB2">
            <w:pPr>
              <w:jc w:val="center"/>
            </w:pPr>
            <w:r>
              <w:t>(Replacement Value) - Contents</w:t>
            </w:r>
          </w:p>
        </w:tc>
      </w:tr>
      <w:tr w:rsidR="00BC1336" w:rsidRPr="007E3CB5" w14:paraId="08E30FC3" w14:textId="7BC6323E" w:rsidTr="00C879E4">
        <w:trPr>
          <w:cnfStyle w:val="000000100000" w:firstRow="0" w:lastRow="0" w:firstColumn="0" w:lastColumn="0" w:oddVBand="0" w:evenVBand="0" w:oddHBand="1" w:evenHBand="0" w:firstRowFirstColumn="0" w:firstRowLastColumn="0" w:lastRowFirstColumn="0" w:lastRowLastColumn="0"/>
          <w:jc w:val="center"/>
        </w:trPr>
        <w:tc>
          <w:tcPr>
            <w:tcW w:w="1915" w:type="dxa"/>
          </w:tcPr>
          <w:p w14:paraId="647FD589" w14:textId="3E62C2B8" w:rsidR="00BC1336" w:rsidRPr="007E3CB5" w:rsidRDefault="00BC1336" w:rsidP="00353DB2">
            <w:r>
              <w:t>Bailey</w:t>
            </w:r>
          </w:p>
        </w:tc>
        <w:tc>
          <w:tcPr>
            <w:tcW w:w="2160" w:type="dxa"/>
          </w:tcPr>
          <w:p w14:paraId="172FD844" w14:textId="20F4105E" w:rsidR="00BC1336" w:rsidRPr="00BC1336" w:rsidRDefault="00BC1336" w:rsidP="00425B8E">
            <w:pPr>
              <w:jc w:val="center"/>
              <w:rPr>
                <w:szCs w:val="20"/>
                <w:highlight w:val="yellow"/>
              </w:rPr>
            </w:pPr>
            <w:r w:rsidRPr="00BC1336">
              <w:rPr>
                <w:rFonts w:cs="Arial"/>
                <w:szCs w:val="20"/>
              </w:rPr>
              <w:t>$1,740,000</w:t>
            </w:r>
          </w:p>
        </w:tc>
        <w:tc>
          <w:tcPr>
            <w:tcW w:w="2707" w:type="dxa"/>
          </w:tcPr>
          <w:p w14:paraId="218866F9" w14:textId="6F5407B4" w:rsidR="00BC1336" w:rsidRPr="00BC1336" w:rsidRDefault="00BC1336" w:rsidP="00353DB2">
            <w:pPr>
              <w:jc w:val="center"/>
              <w:rPr>
                <w:szCs w:val="20"/>
                <w:highlight w:val="yellow"/>
              </w:rPr>
            </w:pPr>
            <w:r w:rsidRPr="00BC1336">
              <w:rPr>
                <w:rFonts w:cs="Arial"/>
                <w:szCs w:val="20"/>
              </w:rPr>
              <w:t>$45,838,000</w:t>
            </w:r>
          </w:p>
        </w:tc>
        <w:tc>
          <w:tcPr>
            <w:tcW w:w="2707" w:type="dxa"/>
          </w:tcPr>
          <w:p w14:paraId="7D8279F8" w14:textId="139E0324" w:rsidR="00BC1336" w:rsidRPr="00BC1336" w:rsidRDefault="00BC1336" w:rsidP="00353DB2">
            <w:pPr>
              <w:jc w:val="center"/>
              <w:rPr>
                <w:szCs w:val="20"/>
                <w:highlight w:val="yellow"/>
              </w:rPr>
            </w:pPr>
            <w:r w:rsidRPr="00BC1336">
              <w:rPr>
                <w:rFonts w:cs="Arial"/>
                <w:szCs w:val="20"/>
              </w:rPr>
              <w:t>$27,979,000</w:t>
            </w:r>
          </w:p>
        </w:tc>
      </w:tr>
      <w:tr w:rsidR="00BC1336" w:rsidRPr="009B2120" w14:paraId="1B14B61F" w14:textId="118E0C44" w:rsidTr="00C879E4">
        <w:trPr>
          <w:cnfStyle w:val="000000010000" w:firstRow="0" w:lastRow="0" w:firstColumn="0" w:lastColumn="0" w:oddVBand="0" w:evenVBand="0" w:oddHBand="0" w:evenHBand="1" w:firstRowFirstColumn="0" w:firstRowLastColumn="0" w:lastRowFirstColumn="0" w:lastRowLastColumn="0"/>
          <w:jc w:val="center"/>
        </w:trPr>
        <w:tc>
          <w:tcPr>
            <w:tcW w:w="1915" w:type="dxa"/>
          </w:tcPr>
          <w:p w14:paraId="09E07340" w14:textId="1C8AC271" w:rsidR="00BC1336" w:rsidRPr="007E3CB5" w:rsidRDefault="00BC1336" w:rsidP="00353DB2">
            <w:r>
              <w:t>Cochran</w:t>
            </w:r>
          </w:p>
        </w:tc>
        <w:tc>
          <w:tcPr>
            <w:tcW w:w="2160" w:type="dxa"/>
          </w:tcPr>
          <w:p w14:paraId="02B215B3" w14:textId="6C94CBDE" w:rsidR="00BC1336" w:rsidRPr="00BC1336" w:rsidRDefault="00BC1336" w:rsidP="00425B8E">
            <w:pPr>
              <w:jc w:val="center"/>
              <w:rPr>
                <w:szCs w:val="20"/>
                <w:highlight w:val="yellow"/>
              </w:rPr>
            </w:pPr>
            <w:r w:rsidRPr="00BC1336">
              <w:rPr>
                <w:rFonts w:cs="Arial"/>
                <w:szCs w:val="20"/>
              </w:rPr>
              <w:t>$15,625,000</w:t>
            </w:r>
          </w:p>
        </w:tc>
        <w:tc>
          <w:tcPr>
            <w:tcW w:w="2707" w:type="dxa"/>
          </w:tcPr>
          <w:p w14:paraId="04F73764" w14:textId="66DB09FB" w:rsidR="00BC1336" w:rsidRPr="00BC1336" w:rsidRDefault="00BC1336" w:rsidP="00353DB2">
            <w:pPr>
              <w:jc w:val="center"/>
              <w:rPr>
                <w:szCs w:val="20"/>
                <w:highlight w:val="yellow"/>
              </w:rPr>
            </w:pPr>
            <w:r w:rsidRPr="00BC1336">
              <w:rPr>
                <w:rFonts w:cs="Arial"/>
                <w:szCs w:val="20"/>
              </w:rPr>
              <w:t>$238,674,000</w:t>
            </w:r>
          </w:p>
        </w:tc>
        <w:tc>
          <w:tcPr>
            <w:tcW w:w="2707" w:type="dxa"/>
          </w:tcPr>
          <w:p w14:paraId="11795935" w14:textId="2ABA0C30" w:rsidR="00BC1336" w:rsidRPr="00BC1336" w:rsidRDefault="00BC1336" w:rsidP="00353DB2">
            <w:pPr>
              <w:jc w:val="center"/>
              <w:rPr>
                <w:szCs w:val="20"/>
                <w:highlight w:val="yellow"/>
              </w:rPr>
            </w:pPr>
            <w:r w:rsidRPr="00BC1336">
              <w:rPr>
                <w:rFonts w:cs="Arial"/>
                <w:szCs w:val="20"/>
              </w:rPr>
              <w:t>$152,753,000</w:t>
            </w:r>
          </w:p>
        </w:tc>
      </w:tr>
      <w:tr w:rsidR="00BC1336" w:rsidRPr="009B2120" w14:paraId="1296C93F" w14:textId="77777777" w:rsidTr="00F96FF6">
        <w:trPr>
          <w:cnfStyle w:val="000000100000" w:firstRow="0" w:lastRow="0" w:firstColumn="0" w:lastColumn="0" w:oddVBand="0" w:evenVBand="0" w:oddHBand="1" w:evenHBand="0" w:firstRowFirstColumn="0" w:firstRowLastColumn="0" w:lastRowFirstColumn="0" w:lastRowLastColumn="0"/>
          <w:jc w:val="center"/>
        </w:trPr>
        <w:tc>
          <w:tcPr>
            <w:tcW w:w="1915" w:type="dxa"/>
          </w:tcPr>
          <w:p w14:paraId="481081C5" w14:textId="68CF9019" w:rsidR="00BC1336" w:rsidRDefault="00BC1336" w:rsidP="00353DB2">
            <w:r>
              <w:t>Hale</w:t>
            </w:r>
          </w:p>
        </w:tc>
        <w:tc>
          <w:tcPr>
            <w:tcW w:w="2160" w:type="dxa"/>
          </w:tcPr>
          <w:p w14:paraId="3C4F422D" w14:textId="4219CCB2" w:rsidR="00BC1336" w:rsidRPr="00BC1336" w:rsidRDefault="00BC1336" w:rsidP="00425B8E">
            <w:pPr>
              <w:jc w:val="center"/>
              <w:rPr>
                <w:szCs w:val="20"/>
                <w:highlight w:val="yellow"/>
              </w:rPr>
            </w:pPr>
            <w:r w:rsidRPr="00BC1336">
              <w:rPr>
                <w:rFonts w:cs="Arial"/>
                <w:szCs w:val="20"/>
              </w:rPr>
              <w:t>$38,000</w:t>
            </w:r>
          </w:p>
        </w:tc>
        <w:tc>
          <w:tcPr>
            <w:tcW w:w="2707" w:type="dxa"/>
          </w:tcPr>
          <w:p w14:paraId="47AA897F" w14:textId="7AAA92A3" w:rsidR="00BC1336" w:rsidRPr="00BC1336" w:rsidRDefault="00BC1336" w:rsidP="00353DB2">
            <w:pPr>
              <w:jc w:val="center"/>
              <w:rPr>
                <w:szCs w:val="20"/>
                <w:highlight w:val="yellow"/>
              </w:rPr>
            </w:pPr>
            <w:r w:rsidRPr="00BC1336">
              <w:rPr>
                <w:rFonts w:cs="Arial"/>
                <w:szCs w:val="20"/>
              </w:rPr>
              <w:t>$3,875,000</w:t>
            </w:r>
          </w:p>
        </w:tc>
        <w:tc>
          <w:tcPr>
            <w:tcW w:w="2707" w:type="dxa"/>
          </w:tcPr>
          <w:p w14:paraId="74699C1C" w14:textId="31C253CF" w:rsidR="00BC1336" w:rsidRPr="00BC1336" w:rsidRDefault="00BC1336" w:rsidP="00353DB2">
            <w:pPr>
              <w:jc w:val="center"/>
              <w:rPr>
                <w:szCs w:val="20"/>
                <w:highlight w:val="yellow"/>
              </w:rPr>
            </w:pPr>
            <w:r w:rsidRPr="00BC1336">
              <w:rPr>
                <w:rFonts w:cs="Arial"/>
                <w:szCs w:val="20"/>
              </w:rPr>
              <w:t>$2,057,000</w:t>
            </w:r>
          </w:p>
        </w:tc>
      </w:tr>
      <w:tr w:rsidR="00BC1336" w:rsidRPr="009B2120" w14:paraId="0B91532E" w14:textId="77777777" w:rsidTr="00F96FF6">
        <w:trPr>
          <w:cnfStyle w:val="000000010000" w:firstRow="0" w:lastRow="0" w:firstColumn="0" w:lastColumn="0" w:oddVBand="0" w:evenVBand="0" w:oddHBand="0" w:evenHBand="1" w:firstRowFirstColumn="0" w:firstRowLastColumn="0" w:lastRowFirstColumn="0" w:lastRowLastColumn="0"/>
          <w:jc w:val="center"/>
        </w:trPr>
        <w:tc>
          <w:tcPr>
            <w:tcW w:w="1915" w:type="dxa"/>
          </w:tcPr>
          <w:p w14:paraId="0AE5AD2B" w14:textId="48AAB01B" w:rsidR="00BC1336" w:rsidRPr="00C879E4" w:rsidRDefault="00BC1336" w:rsidP="00353DB2">
            <w:pPr>
              <w:rPr>
                <w:b/>
              </w:rPr>
            </w:pPr>
            <w:r>
              <w:t>Hockley</w:t>
            </w:r>
          </w:p>
        </w:tc>
        <w:tc>
          <w:tcPr>
            <w:tcW w:w="2160" w:type="dxa"/>
          </w:tcPr>
          <w:p w14:paraId="2830F5A2" w14:textId="7109D54A" w:rsidR="00BC1336" w:rsidRPr="00BC1336" w:rsidRDefault="00BC1336" w:rsidP="00425B8E">
            <w:pPr>
              <w:jc w:val="center"/>
              <w:rPr>
                <w:b/>
                <w:szCs w:val="20"/>
                <w:highlight w:val="yellow"/>
              </w:rPr>
            </w:pPr>
            <w:r w:rsidRPr="00BC1336">
              <w:rPr>
                <w:rFonts w:cs="Arial"/>
                <w:szCs w:val="20"/>
              </w:rPr>
              <w:t>$18,292,000</w:t>
            </w:r>
          </w:p>
        </w:tc>
        <w:tc>
          <w:tcPr>
            <w:tcW w:w="2707" w:type="dxa"/>
          </w:tcPr>
          <w:p w14:paraId="794C055D" w14:textId="6FE3E766" w:rsidR="00BC1336" w:rsidRPr="00BC1336" w:rsidRDefault="00BC1336" w:rsidP="00353DB2">
            <w:pPr>
              <w:jc w:val="center"/>
              <w:rPr>
                <w:b/>
                <w:szCs w:val="20"/>
                <w:highlight w:val="yellow"/>
              </w:rPr>
            </w:pPr>
            <w:r w:rsidRPr="00BC1336">
              <w:rPr>
                <w:rFonts w:cs="Arial"/>
                <w:szCs w:val="20"/>
              </w:rPr>
              <w:t>$289,843,000</w:t>
            </w:r>
          </w:p>
        </w:tc>
        <w:tc>
          <w:tcPr>
            <w:tcW w:w="2707" w:type="dxa"/>
          </w:tcPr>
          <w:p w14:paraId="7476C5DB" w14:textId="1858E010" w:rsidR="00BC1336" w:rsidRPr="00BC1336" w:rsidRDefault="00BC1336" w:rsidP="00353DB2">
            <w:pPr>
              <w:jc w:val="center"/>
              <w:rPr>
                <w:b/>
                <w:szCs w:val="20"/>
                <w:highlight w:val="yellow"/>
              </w:rPr>
            </w:pPr>
            <w:r w:rsidRPr="00BC1336">
              <w:rPr>
                <w:rFonts w:cs="Arial"/>
                <w:szCs w:val="20"/>
              </w:rPr>
              <w:t>$179,282,000</w:t>
            </w:r>
          </w:p>
        </w:tc>
      </w:tr>
      <w:tr w:rsidR="00BC1336" w:rsidRPr="009B2120" w14:paraId="72CD6221" w14:textId="77777777" w:rsidTr="00F96FF6">
        <w:trPr>
          <w:cnfStyle w:val="000000100000" w:firstRow="0" w:lastRow="0" w:firstColumn="0" w:lastColumn="0" w:oddVBand="0" w:evenVBand="0" w:oddHBand="1" w:evenHBand="0" w:firstRowFirstColumn="0" w:firstRowLastColumn="0" w:lastRowFirstColumn="0" w:lastRowLastColumn="0"/>
          <w:jc w:val="center"/>
        </w:trPr>
        <w:tc>
          <w:tcPr>
            <w:tcW w:w="1915" w:type="dxa"/>
          </w:tcPr>
          <w:p w14:paraId="57726598" w14:textId="48378606" w:rsidR="00BC1336" w:rsidRPr="00C879E4" w:rsidRDefault="00BC1336" w:rsidP="00353DB2">
            <w:pPr>
              <w:rPr>
                <w:b/>
              </w:rPr>
            </w:pPr>
            <w:r>
              <w:t>Lamb</w:t>
            </w:r>
          </w:p>
        </w:tc>
        <w:tc>
          <w:tcPr>
            <w:tcW w:w="2160" w:type="dxa"/>
          </w:tcPr>
          <w:p w14:paraId="5AB04DB6" w14:textId="07D3C4AC" w:rsidR="00BC1336" w:rsidRPr="00BC1336" w:rsidRDefault="00BC1336" w:rsidP="00425B8E">
            <w:pPr>
              <w:jc w:val="center"/>
              <w:rPr>
                <w:b/>
                <w:szCs w:val="20"/>
                <w:highlight w:val="yellow"/>
              </w:rPr>
            </w:pPr>
            <w:r w:rsidRPr="00BC1336">
              <w:rPr>
                <w:rFonts w:cs="Arial"/>
                <w:szCs w:val="20"/>
              </w:rPr>
              <w:t>$38,346,000</w:t>
            </w:r>
          </w:p>
        </w:tc>
        <w:tc>
          <w:tcPr>
            <w:tcW w:w="2707" w:type="dxa"/>
          </w:tcPr>
          <w:p w14:paraId="38A2229F" w14:textId="66822EE4" w:rsidR="00BC1336" w:rsidRPr="00BC1336" w:rsidRDefault="00BC1336" w:rsidP="00353DB2">
            <w:pPr>
              <w:jc w:val="center"/>
              <w:rPr>
                <w:b/>
                <w:szCs w:val="20"/>
                <w:highlight w:val="yellow"/>
              </w:rPr>
            </w:pPr>
            <w:r w:rsidRPr="00BC1336">
              <w:rPr>
                <w:rFonts w:cs="Arial"/>
                <w:szCs w:val="20"/>
              </w:rPr>
              <w:t>$786,314,000</w:t>
            </w:r>
          </w:p>
        </w:tc>
        <w:tc>
          <w:tcPr>
            <w:tcW w:w="2707" w:type="dxa"/>
          </w:tcPr>
          <w:p w14:paraId="3F170FFE" w14:textId="63EA36A8" w:rsidR="00BC1336" w:rsidRPr="00BC1336" w:rsidRDefault="00BC1336" w:rsidP="00353DB2">
            <w:pPr>
              <w:jc w:val="center"/>
              <w:rPr>
                <w:b/>
                <w:szCs w:val="20"/>
                <w:highlight w:val="yellow"/>
              </w:rPr>
            </w:pPr>
            <w:r w:rsidRPr="00BC1336">
              <w:rPr>
                <w:rFonts w:cs="Arial"/>
                <w:szCs w:val="20"/>
              </w:rPr>
              <w:t>$509,233,000</w:t>
            </w:r>
          </w:p>
        </w:tc>
      </w:tr>
      <w:tr w:rsidR="00BC1336" w:rsidRPr="009B2120" w14:paraId="23C348EA" w14:textId="77777777" w:rsidTr="00F96FF6">
        <w:trPr>
          <w:cnfStyle w:val="000000010000" w:firstRow="0" w:lastRow="0" w:firstColumn="0" w:lastColumn="0" w:oddVBand="0" w:evenVBand="0" w:oddHBand="0" w:evenHBand="1" w:firstRowFirstColumn="0" w:firstRowLastColumn="0" w:lastRowFirstColumn="0" w:lastRowLastColumn="0"/>
          <w:jc w:val="center"/>
        </w:trPr>
        <w:tc>
          <w:tcPr>
            <w:tcW w:w="1915" w:type="dxa"/>
          </w:tcPr>
          <w:p w14:paraId="6A8CA2EE" w14:textId="74448AC6" w:rsidR="00BC1336" w:rsidRDefault="00BC1336" w:rsidP="00353DB2">
            <w:r>
              <w:t>Lubbock</w:t>
            </w:r>
          </w:p>
        </w:tc>
        <w:tc>
          <w:tcPr>
            <w:tcW w:w="2160" w:type="dxa"/>
          </w:tcPr>
          <w:p w14:paraId="30536951" w14:textId="2B3FB7FB" w:rsidR="00BC1336" w:rsidRPr="00BC1336" w:rsidRDefault="00BC1336" w:rsidP="00425B8E">
            <w:pPr>
              <w:jc w:val="center"/>
              <w:rPr>
                <w:szCs w:val="20"/>
                <w:highlight w:val="yellow"/>
              </w:rPr>
            </w:pPr>
            <w:r w:rsidRPr="00BC1336">
              <w:rPr>
                <w:rFonts w:cs="Arial"/>
                <w:szCs w:val="20"/>
              </w:rPr>
              <w:t>$114,712,000</w:t>
            </w:r>
          </w:p>
        </w:tc>
        <w:tc>
          <w:tcPr>
            <w:tcW w:w="2707" w:type="dxa"/>
          </w:tcPr>
          <w:p w14:paraId="0AFC0EA3" w14:textId="4681CFB5" w:rsidR="00BC1336" w:rsidRPr="00BC1336" w:rsidRDefault="00BC1336" w:rsidP="00353DB2">
            <w:pPr>
              <w:jc w:val="center"/>
              <w:rPr>
                <w:szCs w:val="20"/>
                <w:highlight w:val="yellow"/>
              </w:rPr>
            </w:pPr>
            <w:r w:rsidRPr="00BC1336">
              <w:rPr>
                <w:rFonts w:cs="Arial"/>
                <w:szCs w:val="20"/>
              </w:rPr>
              <w:t>$2,506,559,000</w:t>
            </w:r>
          </w:p>
        </w:tc>
        <w:tc>
          <w:tcPr>
            <w:tcW w:w="2707" w:type="dxa"/>
          </w:tcPr>
          <w:p w14:paraId="02CA3E43" w14:textId="7D0A1D14" w:rsidR="00BC1336" w:rsidRPr="00BC1336" w:rsidRDefault="00BC1336" w:rsidP="00353DB2">
            <w:pPr>
              <w:jc w:val="center"/>
              <w:rPr>
                <w:szCs w:val="20"/>
                <w:highlight w:val="yellow"/>
              </w:rPr>
            </w:pPr>
            <w:r w:rsidRPr="00BC1336">
              <w:rPr>
                <w:rFonts w:cs="Arial"/>
                <w:szCs w:val="20"/>
              </w:rPr>
              <w:t>$1,633,320,000</w:t>
            </w:r>
          </w:p>
        </w:tc>
      </w:tr>
      <w:tr w:rsidR="00BC1336" w:rsidRPr="009B2120" w14:paraId="2AE6EBDA" w14:textId="77777777" w:rsidTr="00F96FF6">
        <w:trPr>
          <w:cnfStyle w:val="000000100000" w:firstRow="0" w:lastRow="0" w:firstColumn="0" w:lastColumn="0" w:oddVBand="0" w:evenVBand="0" w:oddHBand="1" w:evenHBand="0" w:firstRowFirstColumn="0" w:firstRowLastColumn="0" w:lastRowFirstColumn="0" w:lastRowLastColumn="0"/>
          <w:jc w:val="center"/>
        </w:trPr>
        <w:tc>
          <w:tcPr>
            <w:tcW w:w="1915" w:type="dxa"/>
          </w:tcPr>
          <w:p w14:paraId="12A247DD" w14:textId="358924E4" w:rsidR="00BC1336" w:rsidRPr="00C879E4" w:rsidRDefault="00BC1336" w:rsidP="00353DB2">
            <w:pPr>
              <w:rPr>
                <w:b/>
              </w:rPr>
            </w:pPr>
            <w:r>
              <w:rPr>
                <w:b/>
              </w:rPr>
              <w:t>Total</w:t>
            </w:r>
          </w:p>
        </w:tc>
        <w:tc>
          <w:tcPr>
            <w:tcW w:w="2160" w:type="dxa"/>
          </w:tcPr>
          <w:p w14:paraId="76ABB1AA" w14:textId="183628EE" w:rsidR="00BC1336" w:rsidRPr="00BC1336" w:rsidRDefault="00BC1336" w:rsidP="00425B8E">
            <w:pPr>
              <w:jc w:val="center"/>
              <w:rPr>
                <w:b/>
                <w:szCs w:val="20"/>
                <w:highlight w:val="yellow"/>
              </w:rPr>
            </w:pPr>
            <w:r w:rsidRPr="00BC1336">
              <w:rPr>
                <w:rFonts w:cs="Arial"/>
                <w:b/>
                <w:bCs/>
                <w:szCs w:val="20"/>
              </w:rPr>
              <w:t>$188,753,000</w:t>
            </w:r>
          </w:p>
        </w:tc>
        <w:tc>
          <w:tcPr>
            <w:tcW w:w="2707" w:type="dxa"/>
          </w:tcPr>
          <w:p w14:paraId="33CBB26E" w14:textId="7ECC234C" w:rsidR="00BC1336" w:rsidRPr="00BC1336" w:rsidRDefault="00BC1336" w:rsidP="00353DB2">
            <w:pPr>
              <w:jc w:val="center"/>
              <w:rPr>
                <w:b/>
                <w:szCs w:val="20"/>
                <w:highlight w:val="yellow"/>
              </w:rPr>
            </w:pPr>
            <w:r w:rsidRPr="00BC1336">
              <w:rPr>
                <w:rFonts w:cs="Arial"/>
                <w:b/>
                <w:bCs/>
                <w:szCs w:val="20"/>
              </w:rPr>
              <w:t>$3,871,103,000</w:t>
            </w:r>
          </w:p>
        </w:tc>
        <w:tc>
          <w:tcPr>
            <w:tcW w:w="2707" w:type="dxa"/>
          </w:tcPr>
          <w:p w14:paraId="2889008D" w14:textId="71E13A6E" w:rsidR="00BC1336" w:rsidRPr="00BC1336" w:rsidRDefault="00BC1336" w:rsidP="00353DB2">
            <w:pPr>
              <w:jc w:val="center"/>
              <w:rPr>
                <w:b/>
                <w:szCs w:val="20"/>
                <w:highlight w:val="yellow"/>
              </w:rPr>
            </w:pPr>
            <w:r w:rsidRPr="00BC1336">
              <w:rPr>
                <w:rFonts w:cs="Arial"/>
                <w:b/>
                <w:bCs/>
                <w:szCs w:val="20"/>
              </w:rPr>
              <w:t>$2,504,624,000</w:t>
            </w:r>
          </w:p>
        </w:tc>
      </w:tr>
    </w:tbl>
    <w:p w14:paraId="298D2BAA" w14:textId="3D2E9323" w:rsidR="00D507CB" w:rsidRDefault="00D507CB" w:rsidP="00CA2219">
      <w:pPr>
        <w:tabs>
          <w:tab w:val="clear" w:pos="284"/>
        </w:tabs>
        <w:spacing w:line="240" w:lineRule="auto"/>
      </w:pPr>
    </w:p>
    <w:p w14:paraId="3ECF8819" w14:textId="77777777" w:rsidR="00D507CB" w:rsidRDefault="00D507CB">
      <w:pPr>
        <w:tabs>
          <w:tab w:val="clear" w:pos="284"/>
        </w:tabs>
        <w:spacing w:line="240" w:lineRule="auto"/>
      </w:pPr>
      <w:r>
        <w:br w:type="page"/>
      </w:r>
    </w:p>
    <w:p w14:paraId="218C6EE7" w14:textId="77777777" w:rsidR="00976A14" w:rsidRDefault="00976A14" w:rsidP="00CA2219">
      <w:pPr>
        <w:pStyle w:val="Heading1"/>
        <w:numPr>
          <w:ilvl w:val="0"/>
          <w:numId w:val="21"/>
        </w:numPr>
      </w:pPr>
      <w:bookmarkStart w:id="329" w:name="_Toc112877097"/>
      <w:r>
        <w:lastRenderedPageBreak/>
        <w:t>References</w:t>
      </w:r>
      <w:bookmarkEnd w:id="329"/>
    </w:p>
    <w:p w14:paraId="048EA6A1" w14:textId="64A1A33E" w:rsidR="00033871" w:rsidRPr="00033871" w:rsidRDefault="00033871" w:rsidP="003908D9">
      <w:pPr>
        <w:pStyle w:val="BodyText"/>
      </w:pPr>
      <w:r w:rsidRPr="00DE6118">
        <w:t xml:space="preserve">FEMA, </w:t>
      </w:r>
      <w:r w:rsidR="00DE6118" w:rsidRPr="00DE6118">
        <w:rPr>
          <w:i/>
          <w:iCs/>
        </w:rPr>
        <w:t>Lubbock</w:t>
      </w:r>
      <w:r w:rsidRPr="00DE6118">
        <w:rPr>
          <w:i/>
          <w:iCs/>
        </w:rPr>
        <w:t xml:space="preserve"> County Flood Insuance Study</w:t>
      </w:r>
      <w:r w:rsidRPr="00DE6118">
        <w:t xml:space="preserve">, Texas, </w:t>
      </w:r>
      <w:r w:rsidR="00DE6118" w:rsidRPr="00DE6118">
        <w:t>February</w:t>
      </w:r>
      <w:r w:rsidRPr="00DE6118">
        <w:t xml:space="preserve"> 2017</w:t>
      </w:r>
    </w:p>
    <w:p w14:paraId="6CEB470E" w14:textId="77777777" w:rsidR="003908D9" w:rsidRDefault="003908D9" w:rsidP="003908D9">
      <w:pPr>
        <w:pStyle w:val="BodyText"/>
      </w:pPr>
      <w:r>
        <w:t xml:space="preserve">Harris County Flood Control District – TX, </w:t>
      </w:r>
      <w:r w:rsidRPr="001E2388">
        <w:rPr>
          <w:i/>
        </w:rPr>
        <w:t>Two Dimensional Modeling Guidelines</w:t>
      </w:r>
      <w:r>
        <w:t>, July 2018</w:t>
      </w:r>
    </w:p>
    <w:p w14:paraId="23876AE9" w14:textId="77777777" w:rsidR="00A315D3" w:rsidRDefault="00A315D3" w:rsidP="00A315D3">
      <w:pPr>
        <w:pStyle w:val="BodyText"/>
      </w:pPr>
      <w:r>
        <w:t xml:space="preserve">Homer, C.G., Dewitz, J.A., Yang, L., Jin, S., Danielson, P., Xian, G., Coulston, J., Herold, N.D., Wickham, J.D., and Megown, K., 2015, </w:t>
      </w:r>
      <w:r w:rsidRPr="001E2388">
        <w:rPr>
          <w:i/>
        </w:rPr>
        <w:t xml:space="preserve">Completion of the </w:t>
      </w:r>
      <w:r w:rsidR="002C1F82" w:rsidRPr="001E2388">
        <w:rPr>
          <w:i/>
        </w:rPr>
        <w:t xml:space="preserve">2016 </w:t>
      </w:r>
      <w:r w:rsidRPr="001E2388">
        <w:rPr>
          <w:i/>
        </w:rPr>
        <w:t>National Land Cover Database for the conterminous United States-Representing a decade of land cover change information. Photogrammetric Engineering and Remote Sensing</w:t>
      </w:r>
      <w:r>
        <w:t>, v. 81, no. 5, p. 345-354</w:t>
      </w:r>
    </w:p>
    <w:p w14:paraId="1D1D4211" w14:textId="514B6AF8" w:rsidR="00A315D3" w:rsidRDefault="00A315D3" w:rsidP="00A315D3">
      <w:pPr>
        <w:pStyle w:val="BodyText"/>
      </w:pPr>
      <w:r>
        <w:t xml:space="preserve">National Oceanic and Atmospheric Administration. NOAA </w:t>
      </w:r>
      <w:r w:rsidR="007753C4">
        <w:t xml:space="preserve"> </w:t>
      </w:r>
      <w:r>
        <w:t xml:space="preserve">Atlas 14, Volume </w:t>
      </w:r>
      <w:r w:rsidR="001E2388">
        <w:t>11 Version 2.0 Texas</w:t>
      </w:r>
      <w:r>
        <w:t xml:space="preserve">, </w:t>
      </w:r>
      <w:r w:rsidRPr="001E2388">
        <w:rPr>
          <w:i/>
        </w:rPr>
        <w:t>Precipitation-Frequency Atlas of the United States</w:t>
      </w:r>
      <w:r>
        <w:t>.  Silver Spring, Maryland, 201</w:t>
      </w:r>
      <w:r w:rsidR="001E2388">
        <w:t>8</w:t>
      </w:r>
      <w:r>
        <w:t xml:space="preserve">. </w:t>
      </w:r>
    </w:p>
    <w:p w14:paraId="067C3C5A" w14:textId="77777777" w:rsidR="00A315D3" w:rsidRDefault="00A315D3" w:rsidP="00A315D3">
      <w:pPr>
        <w:pStyle w:val="BodyText"/>
      </w:pPr>
      <w:r>
        <w:t xml:space="preserve">Painter, C.C., Heimann, D.C., and Lanning-Rush, J.L., 2017, </w:t>
      </w:r>
      <w:r w:rsidRPr="001E2388">
        <w:rPr>
          <w:i/>
        </w:rPr>
        <w:t>Methods for estimating annual exceedance-probability streamflows for streams in Kansas based on data through water year 2015 (ver. 1.1, September 2017):</w:t>
      </w:r>
      <w:r>
        <w:t xml:space="preserve"> U.S. Geological Survey Scientific Investigations Report 2017–5063, 20 p., https://doi.org/10.3133/sir20175063.</w:t>
      </w:r>
    </w:p>
    <w:p w14:paraId="06147979" w14:textId="5E0557E6" w:rsidR="00BE0501" w:rsidRDefault="0089309C" w:rsidP="00A315D3">
      <w:pPr>
        <w:pStyle w:val="BodyText"/>
      </w:pPr>
      <w:r>
        <w:t>Earth Data Analysis Center</w:t>
      </w:r>
      <w:r w:rsidR="00BA0AEB">
        <w:t xml:space="preserve"> (EDAC)</w:t>
      </w:r>
      <w:r>
        <w:t xml:space="preserve">, </w:t>
      </w:r>
      <w:r w:rsidR="00BE0501" w:rsidRPr="0089309C">
        <w:rPr>
          <w:i/>
        </w:rPr>
        <w:t>Base Level Engineering Analysis Techincal Support Data N</w:t>
      </w:r>
      <w:r w:rsidR="0022509E">
        <w:rPr>
          <w:i/>
        </w:rPr>
        <w:t xml:space="preserve">otebook </w:t>
      </w:r>
      <w:r w:rsidR="00BE0501" w:rsidRPr="0089309C">
        <w:rPr>
          <w:i/>
        </w:rPr>
        <w:t>(TSDN) for Curry and Roosevelt County</w:t>
      </w:r>
      <w:r w:rsidR="00BE0501">
        <w:t xml:space="preserve">, New Mexico, June 2018 </w:t>
      </w:r>
    </w:p>
    <w:p w14:paraId="705C4935" w14:textId="5508B0C4" w:rsidR="001F7984" w:rsidRDefault="001F7984" w:rsidP="00A315D3">
      <w:pPr>
        <w:pStyle w:val="BodyText"/>
      </w:pPr>
      <w:r>
        <w:t xml:space="preserve">USACE, </w:t>
      </w:r>
      <w:r w:rsidRPr="001E2388">
        <w:rPr>
          <w:i/>
        </w:rPr>
        <w:t>HEC-RAS 2D Modeling User’s Manual</w:t>
      </w:r>
      <w:r>
        <w:t xml:space="preserve">, </w:t>
      </w:r>
      <w:r w:rsidR="0030430D">
        <w:t>September 2021</w:t>
      </w:r>
    </w:p>
    <w:p w14:paraId="4C8B6364" w14:textId="2C6E2752" w:rsidR="004C6A8F" w:rsidRDefault="004C6A8F" w:rsidP="00A315D3">
      <w:pPr>
        <w:pStyle w:val="BodyText"/>
      </w:pPr>
      <w:r>
        <w:t xml:space="preserve">USACE, </w:t>
      </w:r>
      <w:r w:rsidRPr="001E2388">
        <w:rPr>
          <w:i/>
        </w:rPr>
        <w:t>HEC-RAS Hydraulic Reference Manual</w:t>
      </w:r>
      <w:r w:rsidR="0030430D">
        <w:t>, September 2021</w:t>
      </w:r>
    </w:p>
    <w:p w14:paraId="672408AF" w14:textId="77777777" w:rsidR="00A315D3" w:rsidRDefault="00A315D3" w:rsidP="00A315D3">
      <w:pPr>
        <w:pStyle w:val="BodyText"/>
      </w:pPr>
      <w:r>
        <w:t xml:space="preserve">United States Department of Agriculture, </w:t>
      </w:r>
      <w:r w:rsidRPr="001E2388">
        <w:rPr>
          <w:i/>
        </w:rPr>
        <w:t>Chapter 5 of the NRCS National Engineering Handbook Part 630. Amended</w:t>
      </w:r>
      <w:r>
        <w:t xml:space="preserve"> May 2012.</w:t>
      </w:r>
    </w:p>
    <w:p w14:paraId="59D0CC7E" w14:textId="0C77C283" w:rsidR="00444B36" w:rsidRDefault="00444B36" w:rsidP="00A315D3">
      <w:pPr>
        <w:pStyle w:val="BodyText"/>
      </w:pPr>
      <w:r>
        <w:t xml:space="preserve">USDA, NRCS, </w:t>
      </w:r>
      <w:r w:rsidRPr="001E2388">
        <w:rPr>
          <w:i/>
        </w:rPr>
        <w:t>Manning’s n Values for Various Land Covers To Use for Dam Breach Analysis in Kansas</w:t>
      </w:r>
      <w:r>
        <w:t>, 2016</w:t>
      </w:r>
    </w:p>
    <w:p w14:paraId="53051B29" w14:textId="77777777" w:rsidR="00054055" w:rsidRDefault="00054055" w:rsidP="00A315D3">
      <w:pPr>
        <w:pStyle w:val="BodyText"/>
      </w:pPr>
      <w:r>
        <w:t xml:space="preserve">USDA, NRCS, </w:t>
      </w:r>
      <w:r>
        <w:rPr>
          <w:i/>
        </w:rPr>
        <w:t>NOAA Atlas 14 rainfall for Midwest and Southeast states,</w:t>
      </w:r>
      <w:r w:rsidR="000D04AB">
        <w:t xml:space="preserve"> 2015.</w:t>
      </w:r>
    </w:p>
    <w:p w14:paraId="0A51A789" w14:textId="24EADEB2" w:rsidR="00444B36" w:rsidRDefault="00444B36" w:rsidP="00A315D3">
      <w:pPr>
        <w:pStyle w:val="BodyText"/>
      </w:pPr>
      <w:r>
        <w:t>USDA, NRCS, Part 630 National Engineering Handbook, Chapter 5 Streamflow Data, March 2020</w:t>
      </w:r>
    </w:p>
    <w:p w14:paraId="4E50260F" w14:textId="1914161B" w:rsidR="007E3CB5" w:rsidRDefault="00C4204D" w:rsidP="00A315D3">
      <w:pPr>
        <w:pStyle w:val="BodyText"/>
      </w:pPr>
      <w:r>
        <w:t xml:space="preserve">USGS Scientific Investigations Report 2009-5087, </w:t>
      </w:r>
      <w:r w:rsidRPr="001E2388">
        <w:rPr>
          <w:i/>
        </w:rPr>
        <w:t>Regression Equations for Estimation of Annual Peak-Streamflow Frequency for Undeveloped Watersheds in Texas Using an L-moment Based, PRESS-Minimized, Residual-Adjusted Approach</w:t>
      </w:r>
      <w:r>
        <w:t>, June 2009</w:t>
      </w:r>
    </w:p>
    <w:p w14:paraId="32A0C740" w14:textId="77777777" w:rsidR="007E3CB5" w:rsidRDefault="007E3CB5">
      <w:pPr>
        <w:tabs>
          <w:tab w:val="clear" w:pos="284"/>
        </w:tabs>
        <w:spacing w:line="240" w:lineRule="auto"/>
      </w:pPr>
      <w:r>
        <w:br w:type="page"/>
      </w:r>
    </w:p>
    <w:p w14:paraId="189809CF" w14:textId="53D62124" w:rsidR="00FE74FB" w:rsidRPr="00FE74FB" w:rsidRDefault="00FE74FB" w:rsidP="00C1594D">
      <w:pPr>
        <w:pStyle w:val="Heading1"/>
        <w:jc w:val="center"/>
      </w:pPr>
      <w:bookmarkStart w:id="330" w:name="_Ref489969912"/>
      <w:bookmarkStart w:id="331" w:name="_Toc52367097"/>
      <w:bookmarkStart w:id="332" w:name="_Toc112877098"/>
      <w:r w:rsidRPr="00C23D36">
        <w:lastRenderedPageBreak/>
        <w:t>Appendix A BLE Map</w:t>
      </w:r>
      <w:bookmarkEnd w:id="330"/>
      <w:bookmarkEnd w:id="331"/>
      <w:bookmarkEnd w:id="332"/>
    </w:p>
    <w:p w14:paraId="497B4508" w14:textId="77777777" w:rsidR="003908D9" w:rsidRPr="000D04AB" w:rsidRDefault="003908D9" w:rsidP="00A315D3">
      <w:pPr>
        <w:pStyle w:val="BodyText"/>
      </w:pPr>
    </w:p>
    <w:p w14:paraId="05EFDA53" w14:textId="5D08B9FD" w:rsidR="00054055" w:rsidRPr="00054055" w:rsidRDefault="007E3CB5" w:rsidP="00C23D36">
      <w:pPr>
        <w:pStyle w:val="BodyText"/>
        <w:jc w:val="center"/>
      </w:pPr>
      <w:r>
        <w:rPr>
          <w:noProof/>
        </w:rPr>
        <w:drawing>
          <wp:inline distT="0" distB="0" distL="0" distR="0" wp14:anchorId="32D413A6" wp14:editId="60447799">
            <wp:extent cx="5857875" cy="5857875"/>
            <wp:effectExtent l="19050" t="19050" r="28575" b="2857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AppendixA.png"/>
                    <pic:cNvPicPr/>
                  </pic:nvPicPr>
                  <pic:blipFill>
                    <a:blip r:embed="rId36" cstate="print">
                      <a:extLst>
                        <a:ext uri="{28A0092B-C50C-407E-A947-70E740481C1C}">
                          <a14:useLocalDpi xmlns:a14="http://schemas.microsoft.com/office/drawing/2010/main" val="0"/>
                        </a:ext>
                      </a:extLst>
                    </a:blip>
                    <a:stretch>
                      <a:fillRect/>
                    </a:stretch>
                  </pic:blipFill>
                  <pic:spPr>
                    <a:xfrm>
                      <a:off x="0" y="0"/>
                      <a:ext cx="5860083" cy="5860083"/>
                    </a:xfrm>
                    <a:prstGeom prst="rect">
                      <a:avLst/>
                    </a:prstGeom>
                    <a:ln w="15875">
                      <a:solidFill>
                        <a:schemeClr val="tx1"/>
                      </a:solidFill>
                    </a:ln>
                  </pic:spPr>
                </pic:pic>
              </a:graphicData>
            </a:graphic>
          </wp:inline>
        </w:drawing>
      </w:r>
    </w:p>
    <w:p w14:paraId="5D97613E" w14:textId="77777777" w:rsidR="0048315A" w:rsidRPr="0048315A" w:rsidRDefault="0048315A" w:rsidP="00A315D3">
      <w:pPr>
        <w:pStyle w:val="BodyText"/>
      </w:pPr>
    </w:p>
    <w:bookmarkEnd w:id="19"/>
    <w:p w14:paraId="137A5F1E" w14:textId="77777777" w:rsidR="0080324C" w:rsidRDefault="0080324C">
      <w:pPr>
        <w:tabs>
          <w:tab w:val="clear" w:pos="284"/>
        </w:tabs>
        <w:spacing w:line="240" w:lineRule="auto"/>
      </w:pPr>
      <w:r>
        <w:br w:type="page"/>
      </w:r>
      <w:bookmarkStart w:id="333" w:name="EOD"/>
      <w:bookmarkEnd w:id="333"/>
    </w:p>
    <w:p w14:paraId="589FC256" w14:textId="77777777" w:rsidR="00460F70" w:rsidRDefault="00460F70" w:rsidP="005137B7"/>
    <w:tbl>
      <w:tblPr>
        <w:tblStyle w:val="TableGrid"/>
        <w:tblpPr w:leftFromText="181" w:rightFromText="181" w:tblpYSpec="bottom"/>
        <w:tblOverlap w:val="never"/>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600" w:firstRow="0" w:lastRow="0" w:firstColumn="0" w:lastColumn="0" w:noHBand="1" w:noVBand="1"/>
      </w:tblPr>
      <w:tblGrid>
        <w:gridCol w:w="6144"/>
        <w:gridCol w:w="3216"/>
      </w:tblGrid>
      <w:tr w:rsidR="004E1B08" w:rsidRPr="004E1B08" w14:paraId="7EAF9957" w14:textId="77777777" w:rsidTr="00DE18EB">
        <w:trPr>
          <w:trHeight w:val="4500"/>
        </w:trPr>
        <w:tc>
          <w:tcPr>
            <w:tcW w:w="5925" w:type="dxa"/>
            <w:shd w:val="clear" w:color="auto" w:fill="auto"/>
            <w:vAlign w:val="bottom"/>
          </w:tcPr>
          <w:p w14:paraId="03EF3F2D" w14:textId="77777777" w:rsidR="00DE18EB" w:rsidRPr="0030437A" w:rsidRDefault="0030437A" w:rsidP="00CC56EE">
            <w:pPr>
              <w:pStyle w:val="Coverfooter"/>
              <w:rPr>
                <w:color w:val="FFFFFF"/>
              </w:rPr>
            </w:pPr>
            <w:bookmarkStart w:id="334" w:name="Contact"/>
            <w:bookmarkStart w:id="335" w:name="BackCoverText" w:colFirst="0" w:colLast="0"/>
            <w:r w:rsidRPr="0030437A">
              <w:rPr>
                <w:color w:val="FFFFFF"/>
              </w:rPr>
              <w:t xml:space="preserve"> </w:t>
            </w:r>
            <w:bookmarkEnd w:id="334"/>
          </w:p>
          <w:p w14:paraId="0C576456" w14:textId="77777777" w:rsidR="00DE18EB" w:rsidRPr="0030437A" w:rsidRDefault="00DE18EB" w:rsidP="00CC56EE">
            <w:pPr>
              <w:pStyle w:val="Coverfooter"/>
              <w:rPr>
                <w:color w:val="FFFFFF"/>
              </w:rPr>
            </w:pPr>
          </w:p>
          <w:p w14:paraId="0FB0F98F" w14:textId="77777777" w:rsidR="00493CF1" w:rsidRPr="0030437A" w:rsidRDefault="0030437A" w:rsidP="00CC56EE">
            <w:pPr>
              <w:pStyle w:val="Coverfooter"/>
              <w:rPr>
                <w:color w:val="FFFFFF"/>
              </w:rPr>
            </w:pPr>
            <w:bookmarkStart w:id="336" w:name="OfficeAddress"/>
            <w:r w:rsidRPr="0030437A">
              <w:rPr>
                <w:color w:val="FFFFFF"/>
              </w:rPr>
              <w:t xml:space="preserve">aecom.com </w:t>
            </w:r>
            <w:bookmarkEnd w:id="336"/>
            <w:r w:rsidR="00493CF1" w:rsidRPr="0030437A">
              <w:rPr>
                <w:color w:val="FFFFFF"/>
              </w:rPr>
              <w:t xml:space="preserve"> </w:t>
            </w:r>
          </w:p>
          <w:p w14:paraId="13628CEA" w14:textId="77777777" w:rsidR="00493CF1" w:rsidRPr="0030437A" w:rsidRDefault="00493CF1" w:rsidP="00CC56EE">
            <w:pPr>
              <w:pStyle w:val="Coverfooter"/>
              <w:rPr>
                <w:color w:val="FFFFFF"/>
              </w:rPr>
            </w:pPr>
          </w:p>
        </w:tc>
        <w:tc>
          <w:tcPr>
            <w:tcW w:w="3101" w:type="dxa"/>
            <w:shd w:val="clear" w:color="auto" w:fill="auto"/>
            <w:vAlign w:val="bottom"/>
          </w:tcPr>
          <w:p w14:paraId="46C495B2" w14:textId="77777777" w:rsidR="00493CF1" w:rsidRPr="004E1B08" w:rsidRDefault="00493CF1" w:rsidP="00CC56EE">
            <w:pPr>
              <w:pStyle w:val="Coverfooter"/>
            </w:pPr>
          </w:p>
        </w:tc>
      </w:tr>
      <w:bookmarkEnd w:id="335"/>
      <w:tr w:rsidR="004E1B08" w:rsidRPr="004E1B08" w14:paraId="3676F2AB" w14:textId="77777777" w:rsidTr="00DE18EB">
        <w:trPr>
          <w:trHeight w:val="508"/>
        </w:trPr>
        <w:tc>
          <w:tcPr>
            <w:tcW w:w="5925" w:type="dxa"/>
            <w:shd w:val="clear" w:color="auto" w:fill="auto"/>
            <w:vAlign w:val="bottom"/>
          </w:tcPr>
          <w:p w14:paraId="319A89FB" w14:textId="77777777" w:rsidR="00DE18EB" w:rsidRPr="004E1B08" w:rsidRDefault="004E1B08" w:rsidP="00CC56EE">
            <w:pPr>
              <w:pStyle w:val="Coverfooter"/>
            </w:pPr>
            <w:r w:rsidRPr="004E1B08">
              <w:rPr>
                <w:noProof/>
              </w:rPr>
              <mc:AlternateContent>
                <mc:Choice Requires="wps">
                  <w:drawing>
                    <wp:anchor distT="0" distB="0" distL="114300" distR="114300" simplePos="0" relativeHeight="251680768" behindDoc="1" locked="0" layoutInCell="0" allowOverlap="0" wp14:anchorId="3CC6210D" wp14:editId="17EEBEA0">
                      <wp:simplePos x="0" y="0"/>
                      <wp:positionH relativeFrom="page">
                        <wp:align>left</wp:align>
                      </wp:positionH>
                      <wp:positionV relativeFrom="page">
                        <wp:align>top</wp:align>
                      </wp:positionV>
                      <wp:extent cx="6068695" cy="10386060"/>
                      <wp:effectExtent l="0" t="0" r="0" b="0"/>
                      <wp:wrapNone/>
                      <wp:docPr id="12" name="BackCoverBlue"/>
                      <wp:cNvGraphicFramePr/>
                      <a:graphic xmlns:a="http://schemas.openxmlformats.org/drawingml/2006/main">
                        <a:graphicData uri="http://schemas.microsoft.com/office/word/2010/wordprocessingShape">
                          <wps:wsp>
                            <wps:cNvSpPr/>
                            <wps:spPr>
                              <a:xfrm>
                                <a:off x="0" y="0"/>
                                <a:ext cx="6068695" cy="10386060"/>
                              </a:xfrm>
                              <a:prstGeom prst="rect">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7941969" w14:textId="77777777" w:rsidR="0023150D" w:rsidRDefault="0023150D" w:rsidP="00185372">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100000</wp14:pctWidth>
                      </wp14:sizeRelH>
                      <wp14:sizeRelV relativeFrom="page">
                        <wp14:pctHeight>100000</wp14:pctHeight>
                      </wp14:sizeRelV>
                    </wp:anchor>
                  </w:drawing>
                </mc:Choice>
                <mc:Fallback>
                  <w:pict>
                    <v:rect id="BackCoverBlue" o:spid="_x0000_s1030" style="position:absolute;margin-left:0;margin-top:0;width:477.85pt;height:817.8pt;z-index:-251635712;visibility:visible;mso-wrap-style:square;mso-width-percent:1000;mso-height-percent:1000;mso-wrap-distance-left:9pt;mso-wrap-distance-top:0;mso-wrap-distance-right:9pt;mso-wrap-distance-bottom:0;mso-position-horizontal:left;mso-position-horizontal-relative:page;mso-position-vertical:top;mso-position-vertical-relative:page;mso-width-percent:1000;mso-height-percent:100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" o:allowincell="f" o:allowoverlap="f" fillcolor="#00b5e2 [3204]" stroked="f" strokeweight="2pt">
                      <v:textbox>
                        <w:txbxContent>
                          <w:p w14:paraId="07941969" w14:textId="77777777" w:rsidR="0023150D" w:rsidRDefault="0023150D" w:rsidP="00185372">
                            <w:pPr>
                              <w:jc w:val="center"/>
                            </w:pPr>
                          </w:p>
                        </w:txbxContent>
                      </v:textbox>
                      <w10:wrap anchorx="page" anchory="page"/>
                    </v:rect>
                  </w:pict>
                </mc:Fallback>
              </mc:AlternateContent>
            </w:r>
          </w:p>
        </w:tc>
        <w:tc>
          <w:tcPr>
            <w:tcW w:w="3101" w:type="dxa"/>
            <w:shd w:val="clear" w:color="auto" w:fill="auto"/>
            <w:vAlign w:val="bottom"/>
          </w:tcPr>
          <w:p w14:paraId="10AC20E7" w14:textId="77777777" w:rsidR="00DE18EB" w:rsidRPr="004E1B08" w:rsidRDefault="00DE18EB" w:rsidP="00CC56EE">
            <w:pPr>
              <w:pStyle w:val="Coverfooter"/>
            </w:pPr>
          </w:p>
        </w:tc>
      </w:tr>
    </w:tbl>
    <w:p w14:paraId="0C485F2B" w14:textId="77777777" w:rsidR="00493CF1" w:rsidRPr="005137B7" w:rsidRDefault="00493CF1" w:rsidP="005137B7"/>
    <w:sectPr w:rsidR="00493CF1" w:rsidRPr="005137B7" w:rsidSect="00627679">
      <w:headerReference w:type="default" r:id="rId37"/>
      <w:type w:val="continuous"/>
      <w:pgSz w:w="12240" w:h="15840"/>
      <w:pgMar w:top="1134" w:right="1440" w:bottom="851" w:left="1440" w:header="709" w:footer="284" w:gutter="0"/>
      <w:cols w:space="708"/>
      <w:docGrid w:linePitch="360"/>
    </w:sectPr>
  </w:body>
</w:document>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3E477F41" w15:done="0"/>
  <w15:commentEx w15:paraId="342B7FC4" w15:paraIdParent="3E477F41" w15:done="0"/>
  <w15:commentEx w15:paraId="55B6561E" w15:done="0"/>
  <w15:commentEx w15:paraId="0FA4AD74" w15:paraIdParent="55B6561E" w15:done="0"/>
  <w15:commentEx w15:paraId="2C5EDF0E" w15:done="0"/>
  <w15:commentEx w15:paraId="70F2FB4D" w15:paraIdParent="2C5EDF0E"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6A4A041" w16cex:dateUtc="2022-08-15T16:36:00Z"/>
  <w16cex:commentExtensible w16cex:durableId="26A4E553" w16cex:dateUtc="2022-08-15T21:31:00Z"/>
  <w16cex:commentExtensible w16cex:durableId="26A4E5A5" w16cex:dateUtc="2022-08-15T21:32: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3E477F41" w16cid:durableId="26A3E891"/>
  <w16cid:commentId w16cid:paraId="342B7FC4" w16cid:durableId="26A4A041"/>
  <w16cid:commentId w16cid:paraId="55B6561E" w16cid:durableId="26A4E52B"/>
  <w16cid:commentId w16cid:paraId="0FA4AD74" w16cid:durableId="26A4E553"/>
  <w16cid:commentId w16cid:paraId="2C5EDF0E" w16cid:durableId="26A4E52C"/>
  <w16cid:commentId w16cid:paraId="70F2FB4D" w16cid:durableId="26A4E5A5"/>
</w16cid:commentsId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4C210181" w14:textId="77777777" w:rsidR="0023150D" w:rsidRDefault="0023150D" w:rsidP="00253171">
      <w:pPr>
        <w:spacing w:line="240" w:lineRule="auto"/>
      </w:pPr>
      <w:r>
        <w:separator/>
      </w:r>
    </w:p>
  </w:endnote>
  <w:endnote w:type="continuationSeparator" w:id="0">
    <w:p w14:paraId="1DC0DC2C" w14:textId="77777777" w:rsidR="0023150D" w:rsidRDefault="0023150D" w:rsidP="00253171">
      <w:pPr>
        <w:spacing w:line="240" w:lineRule="auto"/>
      </w:pPr>
      <w:r>
        <w:continuationSeparator/>
      </w:r>
    </w:p>
  </w:endnote>
  <w:endnote w:type="continuationNotice" w:id="1">
    <w:p w14:paraId="3143B9BB" w14:textId="77777777" w:rsidR="0023150D" w:rsidRDefault="0023150D">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SimHei">
    <w:altName w:val="黑体"/>
    <w:panose1 w:val="02010609060101010101"/>
    <w:charset w:val="86"/>
    <w:family w:val="modern"/>
    <w:pitch w:val="fixed"/>
    <w:sig w:usb0="800002BF" w:usb1="38CF7CFA" w:usb2="00000016" w:usb3="00000000" w:csb0="00040001" w:csb1="00000000"/>
  </w:font>
  <w:font w:name="Tahoma">
    <w:panose1 w:val="020B0604030504040204"/>
    <w:charset w:val="00"/>
    <w:family w:val="swiss"/>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Consolas">
    <w:panose1 w:val="020B0609020204030204"/>
    <w:charset w:val="00"/>
    <w:family w:val="modern"/>
    <w:pitch w:val="fixed"/>
    <w:sig w:usb0="E10002FF" w:usb1="4000FCFF" w:usb2="00000009" w:usb3="00000000" w:csb0="0000019F" w:csb1="00000000"/>
  </w:font>
  <w:font w:name="Cambria Math">
    <w:panose1 w:val="02040503050406030204"/>
    <w:charset w:val="00"/>
    <w:family w:val="roman"/>
    <w:pitch w:val="variable"/>
    <w:sig w:usb0="E00002FF" w:usb1="42002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192EC85" w14:textId="77777777" w:rsidR="0023150D" w:rsidRDefault="0023150D"/>
  <w:tbl>
    <w:tblPr>
      <w:tblStyle w:val="Plaingrid"/>
      <w:tblW w:w="5000" w:type="pct"/>
      <w:tblLook w:val="04A0" w:firstRow="1" w:lastRow="0" w:firstColumn="1" w:lastColumn="0" w:noHBand="0" w:noVBand="1"/>
    </w:tblPr>
    <w:tblGrid>
      <w:gridCol w:w="5877"/>
      <w:gridCol w:w="3591"/>
    </w:tblGrid>
    <w:tr w:rsidR="0023150D" w14:paraId="3D97DF32" w14:textId="77777777" w:rsidTr="000364E3">
      <w:tc>
        <w:tcPr>
          <w:tcW w:w="5670" w:type="dxa"/>
        </w:tcPr>
        <w:p w14:paraId="5C889816" w14:textId="20FF3B2C" w:rsidR="0023150D" w:rsidRDefault="0023150D" w:rsidP="00C2143D">
          <w:pPr>
            <w:pStyle w:val="Footer"/>
          </w:pPr>
          <w:r>
            <w:fldChar w:fldCharType="begin"/>
          </w:r>
          <w:r>
            <w:instrText xml:space="preserve"> if </w:instrText>
          </w:r>
          <w:r w:rsidR="00C9792F">
            <w:fldChar w:fldCharType="begin"/>
          </w:r>
          <w:r w:rsidR="00C9792F">
            <w:instrText xml:space="preserve"> DOCPROPERTY  ShowFilePath \* MERGEFORMAT </w:instrText>
          </w:r>
          <w:r w:rsidR="00C9792F">
            <w:fldChar w:fldCharType="separate"/>
          </w:r>
          <w:r w:rsidR="00C9792F">
            <w:instrText>0</w:instrText>
          </w:r>
          <w:r w:rsidR="00C9792F">
            <w:fldChar w:fldCharType="end"/>
          </w:r>
          <w:r>
            <w:instrText xml:space="preserve">  = 1  </w:instrText>
          </w:r>
          <w:r w:rsidR="00C9792F">
            <w:fldChar w:fldCharType="begin"/>
          </w:r>
          <w:r w:rsidR="00C9792F">
            <w:instrText xml:space="preserve"> FILENAME \p  \* MERGEFORMAT </w:instrText>
          </w:r>
          <w:r w:rsidR="00C9792F">
            <w:fldChar w:fldCharType="separate"/>
          </w:r>
          <w:r>
            <w:instrText>Document3</w:instrText>
          </w:r>
          <w:r w:rsidR="00C9792F">
            <w:fldChar w:fldCharType="end"/>
          </w:r>
          <w:r>
            <w:instrText xml:space="preserve">  </w:instrText>
          </w:r>
          <w:r>
            <w:fldChar w:fldCharType="end"/>
          </w:r>
          <w:r>
            <w:fldChar w:fldCharType="begin"/>
          </w:r>
          <w:r>
            <w:instrText xml:space="preserve"> if </w:instrText>
          </w:r>
          <w:r w:rsidR="00C9792F">
            <w:fldChar w:fldCharType="begin"/>
          </w:r>
          <w:r w:rsidR="00C9792F">
            <w:instrText xml:space="preserve"> DOCPROPERTY  ShowFileName \* MERGEFORMAT </w:instrText>
          </w:r>
          <w:r w:rsidR="00C9792F">
            <w:fldChar w:fldCharType="separate"/>
          </w:r>
          <w:r w:rsidR="00C9792F">
            <w:instrText>0</w:instrText>
          </w:r>
          <w:r w:rsidR="00C9792F">
            <w:fldChar w:fldCharType="end"/>
          </w:r>
          <w:r>
            <w:instrText xml:space="preserve">  = 1  </w:instrText>
          </w:r>
          <w:r w:rsidR="00C9792F">
            <w:fldChar w:fldCharType="begin"/>
          </w:r>
          <w:r w:rsidR="00C9792F">
            <w:instrText xml:space="preserve"> FILENAME   \* MERGEFORMAT </w:instrText>
          </w:r>
          <w:r w:rsidR="00C9792F">
            <w:fldChar w:fldCharType="separate"/>
          </w:r>
          <w:r>
            <w:instrText>C:\Data\Word97\Template\Aecom\Aecom_Letter.Dotm</w:instrText>
          </w:r>
          <w:r w:rsidR="00C9792F">
            <w:fldChar w:fldCharType="end"/>
          </w:r>
          <w:r>
            <w:instrText xml:space="preserve">  </w:instrText>
          </w:r>
          <w:r>
            <w:fldChar w:fldCharType="end"/>
          </w:r>
        </w:p>
      </w:tc>
      <w:tc>
        <w:tcPr>
          <w:tcW w:w="3464" w:type="dxa"/>
          <w:vAlign w:val="bottom"/>
        </w:tcPr>
        <w:p w14:paraId="7F3F61CD" w14:textId="77777777" w:rsidR="0023150D" w:rsidRPr="00725883" w:rsidRDefault="0023150D" w:rsidP="00A608EB">
          <w:pPr>
            <w:pStyle w:val="Footer"/>
            <w:jc w:val="right"/>
          </w:pPr>
          <w:r>
            <w:t xml:space="preserve">Page </w:t>
          </w:r>
          <w:r>
            <w:fldChar w:fldCharType="begin"/>
          </w:r>
          <w:r>
            <w:instrText xml:space="preserve"> page </w:instrText>
          </w:r>
          <w:r>
            <w:fldChar w:fldCharType="separate"/>
          </w:r>
          <w:r w:rsidR="00C9792F">
            <w:t>2</w:t>
          </w:r>
          <w:r>
            <w:fldChar w:fldCharType="end"/>
          </w:r>
        </w:p>
      </w:tc>
    </w:tr>
  </w:tbl>
  <w:p w14:paraId="065A6665" w14:textId="77777777" w:rsidR="0023150D" w:rsidRDefault="0023150D" w:rsidP="00493CF1">
    <w:pPr>
      <w:pStyle w:val="Footer"/>
      <w:jc w:val="right"/>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C3A81C2" w14:textId="77777777" w:rsidR="0023150D" w:rsidRDefault="0023150D"/>
  <w:tbl>
    <w:tblPr>
      <w:tblStyle w:val="Plaingrid"/>
      <w:tblW w:w="5000" w:type="pct"/>
      <w:tblLook w:val="04A0" w:firstRow="1" w:lastRow="0" w:firstColumn="1" w:lastColumn="0" w:noHBand="0" w:noVBand="1"/>
    </w:tblPr>
    <w:tblGrid>
      <w:gridCol w:w="5877"/>
      <w:gridCol w:w="3591"/>
    </w:tblGrid>
    <w:tr w:rsidR="0023150D" w14:paraId="45B00AFF" w14:textId="77777777" w:rsidTr="000364E3">
      <w:tc>
        <w:tcPr>
          <w:tcW w:w="5670" w:type="dxa"/>
        </w:tcPr>
        <w:p w14:paraId="39A53B56" w14:textId="47707EB9" w:rsidR="0023150D" w:rsidRDefault="0023150D" w:rsidP="00C2143D">
          <w:pPr>
            <w:pStyle w:val="Footer"/>
          </w:pPr>
          <w:r>
            <w:fldChar w:fldCharType="begin"/>
          </w:r>
          <w:r>
            <w:instrText xml:space="preserve"> if </w:instrText>
          </w:r>
          <w:r w:rsidR="00C9792F">
            <w:fldChar w:fldCharType="begin"/>
          </w:r>
          <w:r w:rsidR="00C9792F">
            <w:instrText xml:space="preserve"> DOCPROPERTY  ShowFilePath \* MERGEFORMA</w:instrText>
          </w:r>
          <w:r w:rsidR="00C9792F">
            <w:instrText xml:space="preserve">T </w:instrText>
          </w:r>
          <w:r w:rsidR="00C9792F">
            <w:fldChar w:fldCharType="separate"/>
          </w:r>
          <w:r w:rsidR="00C9792F">
            <w:instrText>0</w:instrText>
          </w:r>
          <w:r w:rsidR="00C9792F">
            <w:fldChar w:fldCharType="end"/>
          </w:r>
          <w:r>
            <w:instrText xml:space="preserve">  = 1  </w:instrText>
          </w:r>
          <w:r w:rsidR="00C9792F">
            <w:fldChar w:fldCharType="begin"/>
          </w:r>
          <w:r w:rsidR="00C9792F">
            <w:instrText xml:space="preserve"> FILENAME \p  \* MERGEFORMAT </w:instrText>
          </w:r>
          <w:r w:rsidR="00C9792F">
            <w:fldChar w:fldCharType="separate"/>
          </w:r>
          <w:r>
            <w:instrText>Document3</w:instrText>
          </w:r>
          <w:r w:rsidR="00C9792F">
            <w:fldChar w:fldCharType="end"/>
          </w:r>
          <w:r>
            <w:instrText xml:space="preserve">  </w:instrText>
          </w:r>
          <w:r>
            <w:fldChar w:fldCharType="end"/>
          </w:r>
          <w:r>
            <w:fldChar w:fldCharType="begin"/>
          </w:r>
          <w:r>
            <w:instrText xml:space="preserve"> if </w:instrText>
          </w:r>
          <w:r w:rsidR="00C9792F">
            <w:fldChar w:fldCharType="begin"/>
          </w:r>
          <w:r w:rsidR="00C9792F">
            <w:instrText xml:space="preserve"> DOCPROPERTY  ShowFileName \* MERGEFORMAT </w:instrText>
          </w:r>
          <w:r w:rsidR="00C9792F">
            <w:fldChar w:fldCharType="separate"/>
          </w:r>
          <w:r w:rsidR="00C9792F">
            <w:instrText>0</w:instrText>
          </w:r>
          <w:r w:rsidR="00C9792F">
            <w:fldChar w:fldCharType="end"/>
          </w:r>
          <w:r>
            <w:instrText xml:space="preserve">  = 1  </w:instrText>
          </w:r>
          <w:r w:rsidR="00C9792F">
            <w:fldChar w:fldCharType="begin"/>
          </w:r>
          <w:r w:rsidR="00C9792F">
            <w:instrText xml:space="preserve"> FILENAME   \* MERGEFORMAT </w:instrText>
          </w:r>
          <w:r w:rsidR="00C9792F">
            <w:fldChar w:fldCharType="separate"/>
          </w:r>
          <w:r>
            <w:instrText>C:\Data\Word97\Template\Aecom\Aecom_Letter.Dotm</w:instrText>
          </w:r>
          <w:r w:rsidR="00C9792F">
            <w:fldChar w:fldCharType="end"/>
          </w:r>
          <w:r>
            <w:instrText xml:space="preserve">  </w:instrText>
          </w:r>
          <w:r>
            <w:fldChar w:fldCharType="end"/>
          </w:r>
          <w:bookmarkStart w:id="74" w:name="Text_Contents"/>
          <w:bookmarkStart w:id="75" w:name="TOC"/>
        </w:p>
      </w:tc>
      <w:tc>
        <w:tcPr>
          <w:tcW w:w="3464" w:type="dxa"/>
          <w:vAlign w:val="bottom"/>
        </w:tcPr>
        <w:p w14:paraId="076EEE13" w14:textId="0650A862" w:rsidR="0023150D" w:rsidRPr="00725883" w:rsidRDefault="0023150D" w:rsidP="00A608EB">
          <w:pPr>
            <w:pStyle w:val="Footer"/>
            <w:jc w:val="right"/>
          </w:pPr>
          <w:r>
            <w:t xml:space="preserve">Page </w:t>
          </w:r>
          <w:r>
            <w:fldChar w:fldCharType="begin"/>
          </w:r>
          <w:r>
            <w:instrText xml:space="preserve"> page </w:instrText>
          </w:r>
          <w:r>
            <w:fldChar w:fldCharType="separate"/>
          </w:r>
          <w:r w:rsidR="00C9792F">
            <w:t>1</w:t>
          </w:r>
          <w:r>
            <w:fldChar w:fldCharType="end"/>
          </w:r>
        </w:p>
      </w:tc>
    </w:tr>
    <w:bookmarkEnd w:id="74"/>
    <w:bookmarkEnd w:id="75"/>
  </w:tbl>
  <w:p w14:paraId="0DA2A60B" w14:textId="77777777" w:rsidR="0023150D" w:rsidRDefault="0023150D" w:rsidP="00493CF1">
    <w:pPr>
      <w:pStyle w:val="Footer"/>
      <w:jc w:val="right"/>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7EF5861D" w14:textId="77777777" w:rsidR="0023150D" w:rsidRPr="00253171" w:rsidRDefault="0023150D" w:rsidP="00253171">
      <w:pPr>
        <w:spacing w:line="240" w:lineRule="auto"/>
        <w:rPr>
          <w:color w:val="00B5E2" w:themeColor="accent1"/>
        </w:rPr>
      </w:pPr>
      <w:r w:rsidRPr="00253171">
        <w:rPr>
          <w:color w:val="00B5E2" w:themeColor="accent1"/>
        </w:rPr>
        <w:separator/>
      </w:r>
      <w:r w:rsidRPr="00253171">
        <w:rPr>
          <w:color w:val="00B5E2" w:themeColor="accent1"/>
        </w:rPr>
        <w:separator/>
      </w:r>
    </w:p>
  </w:footnote>
  <w:footnote w:type="continuationSeparator" w:id="0">
    <w:p w14:paraId="71118CC5" w14:textId="77777777" w:rsidR="0023150D" w:rsidRPr="00253171" w:rsidRDefault="0023150D" w:rsidP="00253171">
      <w:pPr>
        <w:spacing w:line="240" w:lineRule="auto"/>
        <w:rPr>
          <w:color w:val="00B5E2" w:themeColor="accent1"/>
        </w:rPr>
      </w:pPr>
      <w:r w:rsidRPr="00253171">
        <w:rPr>
          <w:color w:val="00B5E2" w:themeColor="accent1"/>
        </w:rPr>
        <w:separator/>
      </w:r>
      <w:r w:rsidRPr="00253171">
        <w:rPr>
          <w:color w:val="00B5E2" w:themeColor="accent1"/>
        </w:rPr>
        <w:separator/>
      </w:r>
    </w:p>
  </w:footnote>
  <w:footnote w:type="continuationNotice" w:id="1">
    <w:p w14:paraId="741F66B1" w14:textId="77777777" w:rsidR="0023150D" w:rsidRDefault="0023150D">
      <w:pPr>
        <w:spacing w:line="240" w:lineRule="auto"/>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Style w:val="Plaingrid"/>
      <w:tblW w:w="4848" w:type="pct"/>
      <w:tblLook w:val="04A0" w:firstRow="1" w:lastRow="0" w:firstColumn="1" w:lastColumn="0" w:noHBand="0" w:noVBand="1"/>
    </w:tblPr>
    <w:tblGrid>
      <w:gridCol w:w="3145"/>
      <w:gridCol w:w="2615"/>
      <w:gridCol w:w="3420"/>
    </w:tblGrid>
    <w:tr w:rsidR="0023150D" w14:paraId="30A10461" w14:textId="77777777" w:rsidTr="002D4630">
      <w:trPr>
        <w:trHeight w:val="460"/>
      </w:trPr>
      <w:tc>
        <w:tcPr>
          <w:tcW w:w="3145" w:type="dxa"/>
        </w:tcPr>
        <w:p w14:paraId="1DCC6899" w14:textId="1881406B" w:rsidR="0023150D" w:rsidRPr="00BD7922" w:rsidRDefault="0023150D" w:rsidP="006604C7">
          <w:pPr>
            <w:pStyle w:val="Header"/>
            <w:rPr>
              <w:strike/>
            </w:rPr>
          </w:pPr>
        </w:p>
      </w:tc>
      <w:tc>
        <w:tcPr>
          <w:tcW w:w="2615" w:type="dxa"/>
        </w:tcPr>
        <w:p w14:paraId="4A33F887" w14:textId="77777777" w:rsidR="0023150D" w:rsidRPr="00624CAA" w:rsidRDefault="0023150D" w:rsidP="002C4272">
          <w:pPr>
            <w:pStyle w:val="Header"/>
            <w:jc w:val="center"/>
            <w:rPr>
              <w:b/>
              <w:caps/>
              <w:sz w:val="16"/>
              <w:szCs w:val="16"/>
            </w:rPr>
          </w:pPr>
          <w:r w:rsidRPr="00624CAA">
            <w:rPr>
              <w:b/>
              <w:caps/>
              <w:sz w:val="16"/>
              <w:szCs w:val="16"/>
            </w:rPr>
            <w:fldChar w:fldCharType="begin"/>
          </w:r>
          <w:r w:rsidRPr="00624CAA">
            <w:rPr>
              <w:b/>
              <w:caps/>
              <w:sz w:val="16"/>
              <w:szCs w:val="16"/>
            </w:rPr>
            <w:instrText xml:space="preserve"> DOCPROPERTY  ProtectiveMarking \* MERGEFORMAT </w:instrText>
          </w:r>
          <w:r w:rsidRPr="00624CAA">
            <w:rPr>
              <w:b/>
              <w:caps/>
              <w:sz w:val="16"/>
              <w:szCs w:val="16"/>
            </w:rPr>
            <w:fldChar w:fldCharType="end"/>
          </w:r>
        </w:p>
        <w:p w14:paraId="2831CA5B" w14:textId="46D23DE4" w:rsidR="0023150D" w:rsidRPr="00624CAA" w:rsidRDefault="0023150D" w:rsidP="002C4272">
          <w:pPr>
            <w:pStyle w:val="Header"/>
            <w:jc w:val="center"/>
            <w:rPr>
              <w:b/>
              <w:caps/>
              <w:sz w:val="16"/>
              <w:szCs w:val="16"/>
            </w:rPr>
          </w:pPr>
          <w:r w:rsidRPr="002F3B02">
            <w:rPr>
              <w:b/>
              <w:sz w:val="24"/>
              <w:szCs w:val="24"/>
            </w:rPr>
            <w:fldChar w:fldCharType="begin"/>
          </w:r>
          <w:r w:rsidRPr="002F3B02">
            <w:rPr>
              <w:b/>
              <w:sz w:val="24"/>
              <w:szCs w:val="24"/>
            </w:rPr>
            <w:instrText xml:space="preserve"> DOCPROPERTY  Draft \* MERGEFORMAT </w:instrText>
          </w:r>
          <w:r w:rsidRPr="002F3B02">
            <w:rPr>
              <w:b/>
              <w:sz w:val="24"/>
              <w:szCs w:val="24"/>
            </w:rPr>
            <w:fldChar w:fldCharType="separate"/>
          </w:r>
          <w:r w:rsidR="00C9792F">
            <w:rPr>
              <w:b/>
              <w:sz w:val="24"/>
              <w:szCs w:val="24"/>
            </w:rPr>
            <w:t xml:space="preserve"> </w:t>
          </w:r>
          <w:r w:rsidRPr="002F3B02">
            <w:rPr>
              <w:b/>
              <w:sz w:val="24"/>
              <w:szCs w:val="24"/>
            </w:rPr>
            <w:fldChar w:fldCharType="end"/>
          </w:r>
        </w:p>
      </w:tc>
      <w:tc>
        <w:tcPr>
          <w:tcW w:w="3420" w:type="dxa"/>
        </w:tcPr>
        <w:p w14:paraId="4B0A8980" w14:textId="07B76348" w:rsidR="0023150D" w:rsidRDefault="0023150D" w:rsidP="002C4272">
          <w:pPr>
            <w:pStyle w:val="Header"/>
            <w:tabs>
              <w:tab w:val="clear" w:pos="284"/>
              <w:tab w:val="left" w:pos="-558"/>
              <w:tab w:val="left" w:pos="2132"/>
            </w:tabs>
            <w:ind w:left="-558"/>
            <w:jc w:val="right"/>
          </w:pPr>
          <w:r>
            <w:t>FY20 Yellow House Draw HUC-8 Watershed, Texas</w:t>
          </w:r>
        </w:p>
        <w:p w14:paraId="6E49CA0A" w14:textId="3A83C735" w:rsidR="0023150D" w:rsidRPr="002B213B" w:rsidRDefault="0023150D" w:rsidP="002C4272">
          <w:pPr>
            <w:pStyle w:val="Header"/>
            <w:tabs>
              <w:tab w:val="left" w:pos="2132"/>
            </w:tabs>
            <w:jc w:val="right"/>
          </w:pPr>
          <w:r>
            <w:t>| August  2022</w:t>
          </w:r>
        </w:p>
        <w:p w14:paraId="6D60AB85" w14:textId="1FD8D9F8" w:rsidR="0023150D" w:rsidRPr="00E70621" w:rsidRDefault="0023150D" w:rsidP="002C4272">
          <w:pPr>
            <w:pStyle w:val="Header"/>
            <w:jc w:val="right"/>
            <w:rPr>
              <w:highlight w:val="yellow"/>
            </w:rPr>
          </w:pPr>
          <w:r w:rsidRPr="00E70621">
            <w:rPr>
              <w:highlight w:val="yellow"/>
            </w:rPr>
            <w:fldChar w:fldCharType="begin"/>
          </w:r>
          <w:r w:rsidRPr="00E70621">
            <w:rPr>
              <w:highlight w:val="yellow"/>
            </w:rPr>
            <w:instrText xml:space="preserve"> DOCPROPERTY  ProjectNumber \* MERGEFORMAT </w:instrText>
          </w:r>
          <w:r w:rsidRPr="00E70621">
            <w:rPr>
              <w:highlight w:val="yellow"/>
            </w:rPr>
            <w:fldChar w:fldCharType="separate"/>
          </w:r>
          <w:r w:rsidR="00C9792F">
            <w:rPr>
              <w:highlight w:val="yellow"/>
            </w:rPr>
            <w:t xml:space="preserve"> </w:t>
          </w:r>
          <w:r w:rsidRPr="00E70621">
            <w:rPr>
              <w:highlight w:val="yellow"/>
            </w:rPr>
            <w:fldChar w:fldCharType="end"/>
          </w:r>
        </w:p>
      </w:tc>
    </w:tr>
  </w:tbl>
  <w:p w14:paraId="2C31C8D8" w14:textId="78EE2A89" w:rsidR="0023150D" w:rsidRDefault="0023150D">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Style w:val="Plaingrid"/>
      <w:tblW w:w="4848" w:type="pct"/>
      <w:tblLook w:val="04A0" w:firstRow="1" w:lastRow="0" w:firstColumn="1" w:lastColumn="0" w:noHBand="0" w:noVBand="1"/>
    </w:tblPr>
    <w:tblGrid>
      <w:gridCol w:w="3145"/>
      <w:gridCol w:w="2615"/>
      <w:gridCol w:w="3420"/>
    </w:tblGrid>
    <w:tr w:rsidR="0023150D" w14:paraId="2BFDBD07" w14:textId="77777777" w:rsidTr="002D4630">
      <w:trPr>
        <w:trHeight w:val="460"/>
      </w:trPr>
      <w:tc>
        <w:tcPr>
          <w:tcW w:w="3145" w:type="dxa"/>
        </w:tcPr>
        <w:p w14:paraId="29E2D198" w14:textId="77777777" w:rsidR="0023150D" w:rsidRPr="00BD7922" w:rsidRDefault="0023150D" w:rsidP="006604C7">
          <w:pPr>
            <w:pStyle w:val="Header"/>
            <w:rPr>
              <w:strike/>
            </w:rPr>
          </w:pPr>
        </w:p>
      </w:tc>
      <w:tc>
        <w:tcPr>
          <w:tcW w:w="2615" w:type="dxa"/>
        </w:tcPr>
        <w:p w14:paraId="7D8F8C68" w14:textId="77777777" w:rsidR="0023150D" w:rsidRPr="00624CAA" w:rsidRDefault="0023150D" w:rsidP="002C4272">
          <w:pPr>
            <w:pStyle w:val="Header"/>
            <w:jc w:val="center"/>
            <w:rPr>
              <w:b/>
              <w:caps/>
              <w:sz w:val="16"/>
              <w:szCs w:val="16"/>
            </w:rPr>
          </w:pPr>
          <w:r w:rsidRPr="00624CAA">
            <w:rPr>
              <w:b/>
              <w:caps/>
              <w:sz w:val="16"/>
              <w:szCs w:val="16"/>
            </w:rPr>
            <w:fldChar w:fldCharType="begin"/>
          </w:r>
          <w:r w:rsidRPr="00624CAA">
            <w:rPr>
              <w:b/>
              <w:caps/>
              <w:sz w:val="16"/>
              <w:szCs w:val="16"/>
            </w:rPr>
            <w:instrText xml:space="preserve"> DOCPROPERTY  ProtectiveMarking \* MERGEFORMAT </w:instrText>
          </w:r>
          <w:r w:rsidRPr="00624CAA">
            <w:rPr>
              <w:b/>
              <w:caps/>
              <w:sz w:val="16"/>
              <w:szCs w:val="16"/>
            </w:rPr>
            <w:fldChar w:fldCharType="end"/>
          </w:r>
        </w:p>
        <w:p w14:paraId="070A69F8" w14:textId="77777777" w:rsidR="0023150D" w:rsidRPr="00624CAA" w:rsidRDefault="0023150D" w:rsidP="002C4272">
          <w:pPr>
            <w:pStyle w:val="Header"/>
            <w:jc w:val="center"/>
            <w:rPr>
              <w:b/>
              <w:caps/>
              <w:sz w:val="16"/>
              <w:szCs w:val="16"/>
            </w:rPr>
          </w:pPr>
          <w:r w:rsidRPr="002F3B02">
            <w:rPr>
              <w:b/>
              <w:sz w:val="24"/>
              <w:szCs w:val="24"/>
            </w:rPr>
            <w:fldChar w:fldCharType="begin"/>
          </w:r>
          <w:r w:rsidRPr="002F3B02">
            <w:rPr>
              <w:b/>
              <w:sz w:val="24"/>
              <w:szCs w:val="24"/>
            </w:rPr>
            <w:instrText xml:space="preserve"> DOCPROPERTY  Draft \* MERGEFORMAT </w:instrText>
          </w:r>
          <w:r w:rsidRPr="002F3B02">
            <w:rPr>
              <w:b/>
              <w:sz w:val="24"/>
              <w:szCs w:val="24"/>
            </w:rPr>
            <w:fldChar w:fldCharType="separate"/>
          </w:r>
          <w:r w:rsidR="00C9792F">
            <w:rPr>
              <w:b/>
              <w:sz w:val="24"/>
              <w:szCs w:val="24"/>
            </w:rPr>
            <w:t xml:space="preserve"> </w:t>
          </w:r>
          <w:r w:rsidRPr="002F3B02">
            <w:rPr>
              <w:b/>
              <w:sz w:val="24"/>
              <w:szCs w:val="24"/>
            </w:rPr>
            <w:fldChar w:fldCharType="end"/>
          </w:r>
        </w:p>
      </w:tc>
      <w:tc>
        <w:tcPr>
          <w:tcW w:w="3420" w:type="dxa"/>
        </w:tcPr>
        <w:p w14:paraId="3590100F" w14:textId="77777777" w:rsidR="0023150D" w:rsidRDefault="0023150D" w:rsidP="002C4272">
          <w:pPr>
            <w:pStyle w:val="Header"/>
            <w:tabs>
              <w:tab w:val="clear" w:pos="284"/>
              <w:tab w:val="left" w:pos="-558"/>
              <w:tab w:val="left" w:pos="2132"/>
            </w:tabs>
            <w:ind w:left="-558"/>
            <w:jc w:val="right"/>
          </w:pPr>
          <w:r>
            <w:t>FY20 Yellow House Draw HUC-8 Watershed, Texas</w:t>
          </w:r>
        </w:p>
        <w:p w14:paraId="72C4D56E" w14:textId="77777777" w:rsidR="0023150D" w:rsidRPr="002B213B" w:rsidRDefault="0023150D" w:rsidP="002C4272">
          <w:pPr>
            <w:pStyle w:val="Header"/>
            <w:tabs>
              <w:tab w:val="left" w:pos="2132"/>
            </w:tabs>
            <w:jc w:val="right"/>
          </w:pPr>
          <w:r>
            <w:t>| August  2022</w:t>
          </w:r>
        </w:p>
        <w:p w14:paraId="043CCFD4" w14:textId="77777777" w:rsidR="0023150D" w:rsidRPr="00E70621" w:rsidRDefault="0023150D" w:rsidP="002C4272">
          <w:pPr>
            <w:pStyle w:val="Header"/>
            <w:jc w:val="right"/>
            <w:rPr>
              <w:highlight w:val="yellow"/>
            </w:rPr>
          </w:pPr>
          <w:r w:rsidRPr="00E70621">
            <w:rPr>
              <w:highlight w:val="yellow"/>
            </w:rPr>
            <w:fldChar w:fldCharType="begin"/>
          </w:r>
          <w:r w:rsidRPr="00E70621">
            <w:rPr>
              <w:highlight w:val="yellow"/>
            </w:rPr>
            <w:instrText xml:space="preserve"> DOCPROPERTY  ProjectNumber \* MERGEFORMAT </w:instrText>
          </w:r>
          <w:r w:rsidRPr="00E70621">
            <w:rPr>
              <w:highlight w:val="yellow"/>
            </w:rPr>
            <w:fldChar w:fldCharType="separate"/>
          </w:r>
          <w:r w:rsidR="00C9792F">
            <w:rPr>
              <w:highlight w:val="yellow"/>
            </w:rPr>
            <w:t xml:space="preserve"> </w:t>
          </w:r>
          <w:r w:rsidRPr="00E70621">
            <w:rPr>
              <w:highlight w:val="yellow"/>
            </w:rPr>
            <w:fldChar w:fldCharType="end"/>
          </w:r>
        </w:p>
      </w:tc>
    </w:tr>
  </w:tbl>
  <w:p w14:paraId="0133826F" w14:textId="6A0E3640" w:rsidR="0023150D" w:rsidRDefault="0023150D" w:rsidP="00475735">
    <w:pPr>
      <w:pStyle w:val="Caption"/>
      <w:jc w:val="cente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Style w:val="Plaingrid"/>
      <w:tblW w:w="4848" w:type="pct"/>
      <w:tblLook w:val="04A0" w:firstRow="1" w:lastRow="0" w:firstColumn="1" w:lastColumn="0" w:noHBand="0" w:noVBand="1"/>
    </w:tblPr>
    <w:tblGrid>
      <w:gridCol w:w="3145"/>
      <w:gridCol w:w="2615"/>
      <w:gridCol w:w="3420"/>
    </w:tblGrid>
    <w:tr w:rsidR="0023150D" w14:paraId="69A70B17" w14:textId="77777777" w:rsidTr="002D4630">
      <w:trPr>
        <w:trHeight w:val="460"/>
      </w:trPr>
      <w:tc>
        <w:tcPr>
          <w:tcW w:w="3145" w:type="dxa"/>
        </w:tcPr>
        <w:p w14:paraId="021C904B" w14:textId="77777777" w:rsidR="0023150D" w:rsidRPr="00BD7922" w:rsidRDefault="0023150D" w:rsidP="006604C7">
          <w:pPr>
            <w:pStyle w:val="Header"/>
            <w:rPr>
              <w:strike/>
            </w:rPr>
          </w:pPr>
        </w:p>
      </w:tc>
      <w:tc>
        <w:tcPr>
          <w:tcW w:w="2615" w:type="dxa"/>
        </w:tcPr>
        <w:p w14:paraId="1CD832B6" w14:textId="77777777" w:rsidR="0023150D" w:rsidRPr="00624CAA" w:rsidRDefault="0023150D" w:rsidP="002C4272">
          <w:pPr>
            <w:pStyle w:val="Header"/>
            <w:jc w:val="center"/>
            <w:rPr>
              <w:b/>
              <w:caps/>
              <w:sz w:val="16"/>
              <w:szCs w:val="16"/>
            </w:rPr>
          </w:pPr>
          <w:r w:rsidRPr="00624CAA">
            <w:rPr>
              <w:b/>
              <w:caps/>
              <w:sz w:val="16"/>
              <w:szCs w:val="16"/>
            </w:rPr>
            <w:fldChar w:fldCharType="begin"/>
          </w:r>
          <w:r w:rsidRPr="00624CAA">
            <w:rPr>
              <w:b/>
              <w:caps/>
              <w:sz w:val="16"/>
              <w:szCs w:val="16"/>
            </w:rPr>
            <w:instrText xml:space="preserve"> DOCPROPERTY  ProtectiveMarking \* MERGEFORMAT </w:instrText>
          </w:r>
          <w:r w:rsidRPr="00624CAA">
            <w:rPr>
              <w:b/>
              <w:caps/>
              <w:sz w:val="16"/>
              <w:szCs w:val="16"/>
            </w:rPr>
            <w:fldChar w:fldCharType="end"/>
          </w:r>
        </w:p>
        <w:p w14:paraId="2D1E4311" w14:textId="77777777" w:rsidR="0023150D" w:rsidRPr="00624CAA" w:rsidRDefault="0023150D" w:rsidP="002C4272">
          <w:pPr>
            <w:pStyle w:val="Header"/>
            <w:jc w:val="center"/>
            <w:rPr>
              <w:b/>
              <w:caps/>
              <w:sz w:val="16"/>
              <w:szCs w:val="16"/>
            </w:rPr>
          </w:pPr>
          <w:r w:rsidRPr="002F3B02">
            <w:rPr>
              <w:b/>
              <w:sz w:val="24"/>
              <w:szCs w:val="24"/>
            </w:rPr>
            <w:fldChar w:fldCharType="begin"/>
          </w:r>
          <w:r w:rsidRPr="002F3B02">
            <w:rPr>
              <w:b/>
              <w:sz w:val="24"/>
              <w:szCs w:val="24"/>
            </w:rPr>
            <w:instrText xml:space="preserve"> DOCPROPERTY  Draft \* MERGEFORMAT </w:instrText>
          </w:r>
          <w:r w:rsidRPr="002F3B02">
            <w:rPr>
              <w:b/>
              <w:sz w:val="24"/>
              <w:szCs w:val="24"/>
            </w:rPr>
            <w:fldChar w:fldCharType="separate"/>
          </w:r>
          <w:r w:rsidR="00C9792F">
            <w:rPr>
              <w:b/>
              <w:sz w:val="24"/>
              <w:szCs w:val="24"/>
            </w:rPr>
            <w:t xml:space="preserve"> </w:t>
          </w:r>
          <w:r w:rsidRPr="002F3B02">
            <w:rPr>
              <w:b/>
              <w:sz w:val="24"/>
              <w:szCs w:val="24"/>
            </w:rPr>
            <w:fldChar w:fldCharType="end"/>
          </w:r>
        </w:p>
      </w:tc>
      <w:tc>
        <w:tcPr>
          <w:tcW w:w="3420" w:type="dxa"/>
        </w:tcPr>
        <w:p w14:paraId="7CFFB093" w14:textId="77777777" w:rsidR="0023150D" w:rsidRDefault="0023150D" w:rsidP="002C4272">
          <w:pPr>
            <w:pStyle w:val="Header"/>
            <w:tabs>
              <w:tab w:val="clear" w:pos="284"/>
              <w:tab w:val="left" w:pos="-558"/>
              <w:tab w:val="left" w:pos="2132"/>
            </w:tabs>
            <w:ind w:left="-558"/>
            <w:jc w:val="right"/>
          </w:pPr>
          <w:r>
            <w:t>FY20 Yellow House Draw HUC-8 Watershed, Texas</w:t>
          </w:r>
        </w:p>
        <w:p w14:paraId="7825E997" w14:textId="77777777" w:rsidR="0023150D" w:rsidRPr="002B213B" w:rsidRDefault="0023150D" w:rsidP="002C4272">
          <w:pPr>
            <w:pStyle w:val="Header"/>
            <w:tabs>
              <w:tab w:val="left" w:pos="2132"/>
            </w:tabs>
            <w:jc w:val="right"/>
          </w:pPr>
          <w:r>
            <w:t>| August  2022</w:t>
          </w:r>
        </w:p>
        <w:p w14:paraId="617F3F2A" w14:textId="77777777" w:rsidR="0023150D" w:rsidRPr="00E70621" w:rsidRDefault="0023150D" w:rsidP="002C4272">
          <w:pPr>
            <w:pStyle w:val="Header"/>
            <w:jc w:val="right"/>
            <w:rPr>
              <w:highlight w:val="yellow"/>
            </w:rPr>
          </w:pPr>
          <w:r w:rsidRPr="00E70621">
            <w:rPr>
              <w:highlight w:val="yellow"/>
            </w:rPr>
            <w:fldChar w:fldCharType="begin"/>
          </w:r>
          <w:r w:rsidRPr="00E70621">
            <w:rPr>
              <w:highlight w:val="yellow"/>
            </w:rPr>
            <w:instrText xml:space="preserve"> DOCPROPERTY  ProjectNumber \* MERGEFORMAT </w:instrText>
          </w:r>
          <w:r w:rsidRPr="00E70621">
            <w:rPr>
              <w:highlight w:val="yellow"/>
            </w:rPr>
            <w:fldChar w:fldCharType="separate"/>
          </w:r>
          <w:r w:rsidR="00C9792F">
            <w:rPr>
              <w:highlight w:val="yellow"/>
            </w:rPr>
            <w:t xml:space="preserve"> </w:t>
          </w:r>
          <w:r w:rsidRPr="00E70621">
            <w:rPr>
              <w:highlight w:val="yellow"/>
            </w:rPr>
            <w:fldChar w:fldCharType="end"/>
          </w:r>
        </w:p>
      </w:tc>
    </w:tr>
  </w:tbl>
  <w:p w14:paraId="48617395" w14:textId="77777777" w:rsidR="0023150D" w:rsidRDefault="0023150D">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8B7A69D2"/>
    <w:lvl w:ilvl="0">
      <w:start w:val="1"/>
      <w:numFmt w:val="decimal"/>
      <w:pStyle w:val="ListNumber5"/>
      <w:lvlText w:val="%1."/>
      <w:lvlJc w:val="left"/>
      <w:pPr>
        <w:tabs>
          <w:tab w:val="num" w:pos="1492"/>
        </w:tabs>
        <w:ind w:left="1492" w:hanging="360"/>
      </w:pPr>
    </w:lvl>
  </w:abstractNum>
  <w:abstractNum w:abstractNumId="1">
    <w:nsid w:val="FFFFFF7D"/>
    <w:multiLevelType w:val="singleLevel"/>
    <w:tmpl w:val="A6EAF11E"/>
    <w:lvl w:ilvl="0">
      <w:start w:val="1"/>
      <w:numFmt w:val="decimal"/>
      <w:pStyle w:val="ListNumber4"/>
      <w:lvlText w:val="%1."/>
      <w:lvlJc w:val="left"/>
      <w:pPr>
        <w:tabs>
          <w:tab w:val="num" w:pos="1209"/>
        </w:tabs>
        <w:ind w:left="1209" w:hanging="360"/>
      </w:pPr>
    </w:lvl>
  </w:abstractNum>
  <w:abstractNum w:abstractNumId="2">
    <w:nsid w:val="FFFFFF80"/>
    <w:multiLevelType w:val="singleLevel"/>
    <w:tmpl w:val="181A1024"/>
    <w:lvl w:ilvl="0">
      <w:start w:val="1"/>
      <w:numFmt w:val="bullet"/>
      <w:pStyle w:val="ListBullet5"/>
      <w:lvlText w:val=""/>
      <w:lvlJc w:val="left"/>
      <w:pPr>
        <w:tabs>
          <w:tab w:val="num" w:pos="1492"/>
        </w:tabs>
        <w:ind w:left="1492" w:hanging="360"/>
      </w:pPr>
      <w:rPr>
        <w:rFonts w:ascii="Symbol" w:hAnsi="Symbol" w:hint="default"/>
      </w:rPr>
    </w:lvl>
  </w:abstractNum>
  <w:abstractNum w:abstractNumId="3">
    <w:nsid w:val="FFFFFF81"/>
    <w:multiLevelType w:val="singleLevel"/>
    <w:tmpl w:val="DADEFE72"/>
    <w:lvl w:ilvl="0">
      <w:start w:val="1"/>
      <w:numFmt w:val="bullet"/>
      <w:pStyle w:val="ListBullet4"/>
      <w:lvlText w:val=""/>
      <w:lvlJc w:val="left"/>
      <w:pPr>
        <w:tabs>
          <w:tab w:val="num" w:pos="1209"/>
        </w:tabs>
        <w:ind w:left="1209" w:hanging="360"/>
      </w:pPr>
      <w:rPr>
        <w:rFonts w:ascii="Symbol" w:hAnsi="Symbol" w:hint="default"/>
      </w:rPr>
    </w:lvl>
  </w:abstractNum>
  <w:abstractNum w:abstractNumId="4">
    <w:nsid w:val="00F85F2E"/>
    <w:multiLevelType w:val="hybridMultilevel"/>
    <w:tmpl w:val="0A62C986"/>
    <w:lvl w:ilvl="0" w:tplc="04090001">
      <w:start w:val="1"/>
      <w:numFmt w:val="bullet"/>
      <w:lvlText w:val=""/>
      <w:lvlJc w:val="left"/>
      <w:pPr>
        <w:ind w:left="720" w:hanging="360"/>
      </w:pPr>
      <w:rPr>
        <w:rFonts w:ascii="Symbol" w:hAnsi="Symbol" w:hint="default"/>
      </w:rPr>
    </w:lvl>
    <w:lvl w:ilvl="1" w:tplc="AF8C0CB0">
      <w:numFmt w:val="bullet"/>
      <w:lvlText w:val="•"/>
      <w:lvlJc w:val="left"/>
      <w:pPr>
        <w:ind w:left="1800" w:hanging="720"/>
      </w:pPr>
      <w:rPr>
        <w:rFonts w:ascii="Arial" w:eastAsia="Times New Roman" w:hAnsi="Arial" w:cs="Aria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02C57525"/>
    <w:multiLevelType w:val="hybridMultilevel"/>
    <w:tmpl w:val="A0C63F1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08AB481A"/>
    <w:multiLevelType w:val="multilevel"/>
    <w:tmpl w:val="22544628"/>
    <w:styleLink w:val="AECOMNumbering"/>
    <w:lvl w:ilvl="0">
      <w:start w:val="1"/>
      <w:numFmt w:val="decimal"/>
      <w:lvlText w:val="%1."/>
      <w:lvlJc w:val="left"/>
      <w:pPr>
        <w:ind w:left="0" w:firstLine="0"/>
      </w:pPr>
      <w:rPr>
        <w:rFonts w:hint="default"/>
      </w:rPr>
    </w:lvl>
    <w:lvl w:ilvl="1">
      <w:start w:val="1"/>
      <w:numFmt w:val="decimal"/>
      <w:lvlText w:val="%1.%2"/>
      <w:lvlJc w:val="left"/>
      <w:pPr>
        <w:ind w:left="0" w:firstLine="0"/>
      </w:pPr>
      <w:rPr>
        <w:rFonts w:hint="default"/>
      </w:rPr>
    </w:lvl>
    <w:lvl w:ilvl="2">
      <w:start w:val="1"/>
      <w:numFmt w:val="decimal"/>
      <w:lvlText w:val="%1.%2.%3"/>
      <w:lvlJc w:val="left"/>
      <w:pPr>
        <w:ind w:left="0" w:firstLine="0"/>
      </w:pPr>
      <w:rPr>
        <w:rFonts w:hint="default"/>
      </w:rPr>
    </w:lvl>
    <w:lvl w:ilvl="3">
      <w:start w:val="1"/>
      <w:numFmt w:val="decimal"/>
      <w:lvlText w:val="%1.%2.%3.%4"/>
      <w:lvlJc w:val="left"/>
      <w:pPr>
        <w:ind w:left="0" w:firstLine="0"/>
      </w:pPr>
      <w:rPr>
        <w:rFonts w:hint="default"/>
      </w:rPr>
    </w:lvl>
    <w:lvl w:ilvl="4">
      <w:start w:val="1"/>
      <w:numFmt w:val="decimal"/>
      <w:lvlText w:val="%1.%2.%3.%4.%5"/>
      <w:lvlJc w:val="left"/>
      <w:pPr>
        <w:ind w:left="0" w:firstLine="0"/>
      </w:pPr>
      <w:rPr>
        <w:rFonts w:hint="default"/>
      </w:rPr>
    </w:lvl>
    <w:lvl w:ilvl="5">
      <w:start w:val="1"/>
      <w:numFmt w:val="decimal"/>
      <w:lvlText w:val="%1.%2.%3.%4.%5.%6"/>
      <w:lvlJc w:val="left"/>
      <w:pPr>
        <w:ind w:left="0" w:firstLine="0"/>
      </w:pPr>
      <w:rPr>
        <w:rFonts w:hint="default"/>
      </w:rPr>
    </w:lvl>
    <w:lvl w:ilvl="6">
      <w:start w:val="1"/>
      <w:numFmt w:val="decimal"/>
      <w:lvlText w:val="%7."/>
      <w:lvlJc w:val="left"/>
      <w:pPr>
        <w:ind w:left="0" w:firstLine="0"/>
      </w:pPr>
      <w:rPr>
        <w:rFonts w:hint="default"/>
      </w:rPr>
    </w:lvl>
    <w:lvl w:ilvl="7">
      <w:start w:val="1"/>
      <w:numFmt w:val="lowerLetter"/>
      <w:lvlText w:val="%8."/>
      <w:lvlJc w:val="left"/>
      <w:pPr>
        <w:ind w:left="0" w:firstLine="0"/>
      </w:pPr>
      <w:rPr>
        <w:rFonts w:hint="default"/>
      </w:rPr>
    </w:lvl>
    <w:lvl w:ilvl="8">
      <w:start w:val="1"/>
      <w:numFmt w:val="lowerRoman"/>
      <w:lvlText w:val="%9."/>
      <w:lvlJc w:val="left"/>
      <w:pPr>
        <w:ind w:left="0" w:firstLine="0"/>
      </w:pPr>
      <w:rPr>
        <w:rFonts w:hint="default"/>
      </w:rPr>
    </w:lvl>
  </w:abstractNum>
  <w:abstractNum w:abstractNumId="7">
    <w:nsid w:val="0E406F3E"/>
    <w:multiLevelType w:val="multilevel"/>
    <w:tmpl w:val="1F30E436"/>
    <w:styleLink w:val="AECOMSectionnumbering"/>
    <w:lvl w:ilvl="0">
      <w:start w:val="1"/>
      <w:numFmt w:val="decimalZero"/>
      <w:lvlText w:val="%1"/>
      <w:lvlJc w:val="left"/>
      <w:pPr>
        <w:ind w:left="1134" w:hanging="1134"/>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8">
    <w:nsid w:val="13391507"/>
    <w:multiLevelType w:val="hybridMultilevel"/>
    <w:tmpl w:val="B366CC0C"/>
    <w:lvl w:ilvl="0" w:tplc="052A9D7C">
      <w:start w:val="1"/>
      <w:numFmt w:val="bullet"/>
      <w:pStyle w:val="3TextBoxBullets"/>
      <w:lvlText w:val=""/>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192A26E9"/>
    <w:multiLevelType w:val="multilevel"/>
    <w:tmpl w:val="08090023"/>
    <w:styleLink w:val="ArticleSection"/>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0">
    <w:nsid w:val="1A8B00A2"/>
    <w:multiLevelType w:val="multilevel"/>
    <w:tmpl w:val="DB3C37A8"/>
    <w:name w:val="AECOM Outline numbering"/>
    <w:styleLink w:val="AECOMAppendix"/>
    <w:lvl w:ilvl="0">
      <w:start w:val="1"/>
      <w:numFmt w:val="upperLetter"/>
      <w:suff w:val="nothing"/>
      <w:lvlText w:val="Appendix %1  "/>
      <w:lvlJc w:val="left"/>
      <w:pPr>
        <w:ind w:left="0" w:firstLine="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1">
    <w:nsid w:val="1D853326"/>
    <w:multiLevelType w:val="hybridMultilevel"/>
    <w:tmpl w:val="0DE0B1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228325AB"/>
    <w:multiLevelType w:val="multilevel"/>
    <w:tmpl w:val="0809001F"/>
    <w:styleLink w:val="11111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3">
    <w:nsid w:val="29FC5E9A"/>
    <w:multiLevelType w:val="hybridMultilevel"/>
    <w:tmpl w:val="71EAB2E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2A0118C5"/>
    <w:multiLevelType w:val="multilevel"/>
    <w:tmpl w:val="DC22BBC8"/>
    <w:styleLink w:val="AECOMTableBullets"/>
    <w:lvl w:ilvl="0">
      <w:start w:val="1"/>
      <w:numFmt w:val="bullet"/>
      <w:lvlText w:val=""/>
      <w:lvlJc w:val="left"/>
      <w:pPr>
        <w:ind w:left="284" w:hanging="284"/>
      </w:pPr>
      <w:rPr>
        <w:rFonts w:ascii="Symbol" w:hAnsi="Symbol" w:hint="default"/>
        <w:color w:val="auto"/>
      </w:rPr>
    </w:lvl>
    <w:lvl w:ilvl="1">
      <w:start w:val="1"/>
      <w:numFmt w:val="bullet"/>
      <w:lvlText w:val="─"/>
      <w:lvlJc w:val="left"/>
      <w:pPr>
        <w:ind w:left="568" w:hanging="284"/>
      </w:pPr>
      <w:rPr>
        <w:rFonts w:ascii="Calibri" w:hAnsi="Calibri" w:hint="default"/>
        <w:color w:val="auto"/>
      </w:rPr>
    </w:lvl>
    <w:lvl w:ilvl="2">
      <w:start w:val="1"/>
      <w:numFmt w:val="bullet"/>
      <w:lvlText w:val="o"/>
      <w:lvlJc w:val="left"/>
      <w:pPr>
        <w:ind w:left="852" w:hanging="284"/>
      </w:pPr>
      <w:rPr>
        <w:rFonts w:ascii="Courier New" w:hAnsi="Courier New" w:hint="default"/>
      </w:rPr>
    </w:lvl>
    <w:lvl w:ilvl="3">
      <w:start w:val="1"/>
      <w:numFmt w:val="bullet"/>
      <w:lvlText w:val=""/>
      <w:lvlJc w:val="left"/>
      <w:pPr>
        <w:ind w:left="1136" w:hanging="284"/>
      </w:pPr>
      <w:rPr>
        <w:rFonts w:ascii="Symbol" w:hAnsi="Symbol" w:hint="default"/>
        <w:color w:val="auto"/>
      </w:rPr>
    </w:lvl>
    <w:lvl w:ilvl="4">
      <w:start w:val="1"/>
      <w:numFmt w:val="bullet"/>
      <w:lvlText w:val="─"/>
      <w:lvlJc w:val="left"/>
      <w:pPr>
        <w:ind w:left="1420" w:hanging="284"/>
      </w:pPr>
      <w:rPr>
        <w:rFonts w:ascii="Calibri" w:hAnsi="Calibri" w:hint="default"/>
        <w:color w:val="auto"/>
      </w:rPr>
    </w:lvl>
    <w:lvl w:ilvl="5">
      <w:start w:val="1"/>
      <w:numFmt w:val="bullet"/>
      <w:lvlText w:val="o"/>
      <w:lvlJc w:val="left"/>
      <w:pPr>
        <w:ind w:left="1704" w:hanging="284"/>
      </w:pPr>
      <w:rPr>
        <w:rFonts w:ascii="Courier New" w:hAnsi="Courier New" w:hint="default"/>
      </w:rPr>
    </w:lvl>
    <w:lvl w:ilvl="6">
      <w:start w:val="1"/>
      <w:numFmt w:val="bullet"/>
      <w:lvlText w:val=""/>
      <w:lvlJc w:val="left"/>
      <w:pPr>
        <w:ind w:left="1988" w:hanging="284"/>
      </w:pPr>
      <w:rPr>
        <w:rFonts w:ascii="Symbol" w:hAnsi="Symbol" w:hint="default"/>
        <w:color w:val="auto"/>
      </w:rPr>
    </w:lvl>
    <w:lvl w:ilvl="7">
      <w:start w:val="1"/>
      <w:numFmt w:val="bullet"/>
      <w:lvlText w:val="─"/>
      <w:lvlJc w:val="left"/>
      <w:pPr>
        <w:ind w:left="2272" w:hanging="284"/>
      </w:pPr>
      <w:rPr>
        <w:rFonts w:ascii="Calibri" w:hAnsi="Calibri" w:hint="default"/>
        <w:color w:val="auto"/>
      </w:rPr>
    </w:lvl>
    <w:lvl w:ilvl="8">
      <w:start w:val="1"/>
      <w:numFmt w:val="bullet"/>
      <w:lvlText w:val="o"/>
      <w:lvlJc w:val="left"/>
      <w:pPr>
        <w:ind w:left="2556" w:hanging="284"/>
      </w:pPr>
      <w:rPr>
        <w:rFonts w:ascii="Courier New" w:hAnsi="Courier New" w:hint="default"/>
      </w:rPr>
    </w:lvl>
  </w:abstractNum>
  <w:abstractNum w:abstractNumId="15">
    <w:nsid w:val="2DBC3336"/>
    <w:multiLevelType w:val="hybridMultilevel"/>
    <w:tmpl w:val="75887BEA"/>
    <w:lvl w:ilvl="0" w:tplc="4FE8D170">
      <w:numFmt w:val="bullet"/>
      <w:lvlText w:val="•"/>
      <w:lvlJc w:val="left"/>
      <w:pPr>
        <w:ind w:left="1080" w:hanging="72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35DD208B"/>
    <w:multiLevelType w:val="hybridMultilevel"/>
    <w:tmpl w:val="5CD6F8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3754570F"/>
    <w:multiLevelType w:val="multilevel"/>
    <w:tmpl w:val="66AC3F00"/>
    <w:name w:val="AECOM Outline numbering3"/>
    <w:lvl w:ilvl="0">
      <w:start w:val="1"/>
      <w:numFmt w:val="upperLetter"/>
      <w:pStyle w:val="Appendix"/>
      <w:suff w:val="space"/>
      <w:lvlText w:val="Appendix %1"/>
      <w:lvlJc w:val="left"/>
      <w:pPr>
        <w:ind w:left="0" w:firstLine="0"/>
      </w:pPr>
      <w:rPr>
        <w:rFonts w:hint="default"/>
      </w:rPr>
    </w:lvl>
    <w:lvl w:ilvl="1">
      <w:start w:val="1"/>
      <w:numFmt w:val="decimal"/>
      <w:lvlText w:val="%1.%2"/>
      <w:lvlJc w:val="left"/>
      <w:pPr>
        <w:ind w:left="357" w:hanging="357"/>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8">
    <w:nsid w:val="37DD5406"/>
    <w:multiLevelType w:val="hybridMultilevel"/>
    <w:tmpl w:val="3266ED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3A383484"/>
    <w:multiLevelType w:val="multilevel"/>
    <w:tmpl w:val="60B68AA8"/>
    <w:styleLink w:val="AECOMTableNumbering"/>
    <w:lvl w:ilvl="0">
      <w:start w:val="1"/>
      <w:numFmt w:val="decimal"/>
      <w:pStyle w:val="TableListNumber"/>
      <w:lvlText w:val="%1."/>
      <w:lvlJc w:val="left"/>
      <w:pPr>
        <w:ind w:left="284" w:hanging="284"/>
      </w:pPr>
      <w:rPr>
        <w:rFonts w:hint="default"/>
      </w:rPr>
    </w:lvl>
    <w:lvl w:ilvl="1">
      <w:start w:val="1"/>
      <w:numFmt w:val="lowerLetter"/>
      <w:pStyle w:val="TableListNumber2"/>
      <w:lvlText w:val="%2."/>
      <w:lvlJc w:val="left"/>
      <w:pPr>
        <w:ind w:left="568" w:hanging="284"/>
      </w:pPr>
      <w:rPr>
        <w:rFonts w:hint="default"/>
      </w:rPr>
    </w:lvl>
    <w:lvl w:ilvl="2">
      <w:start w:val="1"/>
      <w:numFmt w:val="lowerRoman"/>
      <w:pStyle w:val="TableListNumber3"/>
      <w:lvlText w:val="%3."/>
      <w:lvlJc w:val="left"/>
      <w:pPr>
        <w:ind w:left="852" w:hanging="284"/>
      </w:pPr>
      <w:rPr>
        <w:rFonts w:hint="default"/>
      </w:rPr>
    </w:lvl>
    <w:lvl w:ilvl="3">
      <w:start w:val="1"/>
      <w:numFmt w:val="decimal"/>
      <w:lvlText w:val="(%4)"/>
      <w:lvlJc w:val="left"/>
      <w:pPr>
        <w:ind w:left="1136" w:hanging="284"/>
      </w:pPr>
      <w:rPr>
        <w:rFonts w:hint="default"/>
      </w:rPr>
    </w:lvl>
    <w:lvl w:ilvl="4">
      <w:start w:val="1"/>
      <w:numFmt w:val="lowerLetter"/>
      <w:lvlText w:val="(%5)"/>
      <w:lvlJc w:val="left"/>
      <w:pPr>
        <w:ind w:left="1420" w:hanging="284"/>
      </w:pPr>
      <w:rPr>
        <w:rFonts w:hint="default"/>
      </w:rPr>
    </w:lvl>
    <w:lvl w:ilvl="5">
      <w:start w:val="1"/>
      <w:numFmt w:val="lowerRoman"/>
      <w:lvlText w:val="(%6)"/>
      <w:lvlJc w:val="left"/>
      <w:pPr>
        <w:ind w:left="1704" w:hanging="284"/>
      </w:pPr>
      <w:rPr>
        <w:rFonts w:hint="default"/>
      </w:rPr>
    </w:lvl>
    <w:lvl w:ilvl="6">
      <w:start w:val="1"/>
      <w:numFmt w:val="decimal"/>
      <w:lvlText w:val="%7."/>
      <w:lvlJc w:val="left"/>
      <w:pPr>
        <w:ind w:left="1988" w:hanging="284"/>
      </w:pPr>
      <w:rPr>
        <w:rFonts w:hint="default"/>
      </w:rPr>
    </w:lvl>
    <w:lvl w:ilvl="7">
      <w:start w:val="1"/>
      <w:numFmt w:val="lowerLetter"/>
      <w:lvlText w:val="%8."/>
      <w:lvlJc w:val="left"/>
      <w:pPr>
        <w:ind w:left="2272" w:hanging="284"/>
      </w:pPr>
      <w:rPr>
        <w:rFonts w:hint="default"/>
      </w:rPr>
    </w:lvl>
    <w:lvl w:ilvl="8">
      <w:start w:val="1"/>
      <w:numFmt w:val="lowerRoman"/>
      <w:lvlText w:val="%9."/>
      <w:lvlJc w:val="left"/>
      <w:pPr>
        <w:ind w:left="2556" w:hanging="284"/>
      </w:pPr>
      <w:rPr>
        <w:rFonts w:hint="default"/>
      </w:rPr>
    </w:lvl>
  </w:abstractNum>
  <w:abstractNum w:abstractNumId="20">
    <w:nsid w:val="3E760062"/>
    <w:multiLevelType w:val="hybridMultilevel"/>
    <w:tmpl w:val="9E883F34"/>
    <w:name w:val="AECOM Outline numbering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421265A0"/>
    <w:multiLevelType w:val="hybridMultilevel"/>
    <w:tmpl w:val="CB0E977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nsid w:val="4644573A"/>
    <w:multiLevelType w:val="multilevel"/>
    <w:tmpl w:val="3F9A613A"/>
    <w:styleLink w:val="AECOMBullets"/>
    <w:lvl w:ilvl="0">
      <w:start w:val="1"/>
      <w:numFmt w:val="bullet"/>
      <w:lvlText w:val=""/>
      <w:lvlJc w:val="left"/>
      <w:pPr>
        <w:ind w:left="284" w:hanging="284"/>
      </w:pPr>
      <w:rPr>
        <w:rFonts w:ascii="Symbol" w:hAnsi="Symbol" w:hint="default"/>
        <w:color w:val="auto"/>
      </w:rPr>
    </w:lvl>
    <w:lvl w:ilvl="1">
      <w:start w:val="1"/>
      <w:numFmt w:val="bullet"/>
      <w:lvlText w:val="o"/>
      <w:lvlJc w:val="left"/>
      <w:pPr>
        <w:ind w:left="568" w:hanging="284"/>
      </w:pPr>
      <w:rPr>
        <w:rFonts w:ascii="Courier New" w:hAnsi="Courier New" w:hint="default"/>
        <w:color w:val="auto"/>
      </w:rPr>
    </w:lvl>
    <w:lvl w:ilvl="2">
      <w:start w:val="1"/>
      <w:numFmt w:val="bullet"/>
      <w:lvlText w:val="─"/>
      <w:lvlJc w:val="left"/>
      <w:pPr>
        <w:ind w:left="852" w:hanging="284"/>
      </w:pPr>
      <w:rPr>
        <w:rFonts w:ascii="Calibri" w:hAnsi="Calibri" w:hint="default"/>
        <w:color w:val="auto"/>
      </w:rPr>
    </w:lvl>
    <w:lvl w:ilvl="3">
      <w:start w:val="1"/>
      <w:numFmt w:val="bullet"/>
      <w:lvlText w:val=""/>
      <w:lvlJc w:val="left"/>
      <w:pPr>
        <w:ind w:left="1136" w:hanging="284"/>
      </w:pPr>
      <w:rPr>
        <w:rFonts w:ascii="Symbol" w:hAnsi="Symbol" w:hint="default"/>
      </w:rPr>
    </w:lvl>
    <w:lvl w:ilvl="4">
      <w:start w:val="1"/>
      <w:numFmt w:val="bullet"/>
      <w:lvlText w:val="o"/>
      <w:lvlJc w:val="left"/>
      <w:pPr>
        <w:ind w:left="1420" w:hanging="284"/>
      </w:pPr>
      <w:rPr>
        <w:rFonts w:ascii="Courier New" w:hAnsi="Courier New" w:hint="default"/>
      </w:rPr>
    </w:lvl>
    <w:lvl w:ilvl="5">
      <w:start w:val="1"/>
      <w:numFmt w:val="bullet"/>
      <w:lvlText w:val=""/>
      <w:lvlJc w:val="left"/>
      <w:pPr>
        <w:tabs>
          <w:tab w:val="num" w:pos="2346"/>
        </w:tabs>
        <w:ind w:left="1704" w:hanging="284"/>
      </w:pPr>
      <w:rPr>
        <w:rFonts w:ascii="Wingdings" w:hAnsi="Wingdings" w:hint="default"/>
      </w:rPr>
    </w:lvl>
    <w:lvl w:ilvl="6">
      <w:start w:val="1"/>
      <w:numFmt w:val="bullet"/>
      <w:lvlText w:val=""/>
      <w:lvlJc w:val="left"/>
      <w:pPr>
        <w:tabs>
          <w:tab w:val="num" w:pos="2630"/>
        </w:tabs>
        <w:ind w:left="1988" w:hanging="284"/>
      </w:pPr>
      <w:rPr>
        <w:rFonts w:ascii="Symbol" w:hAnsi="Symbol" w:hint="default"/>
      </w:rPr>
    </w:lvl>
    <w:lvl w:ilvl="7">
      <w:start w:val="1"/>
      <w:numFmt w:val="bullet"/>
      <w:lvlText w:val="o"/>
      <w:lvlJc w:val="left"/>
      <w:pPr>
        <w:tabs>
          <w:tab w:val="num" w:pos="2914"/>
        </w:tabs>
        <w:ind w:left="2272" w:hanging="284"/>
      </w:pPr>
      <w:rPr>
        <w:rFonts w:ascii="Courier New" w:hAnsi="Courier New" w:cs="Courier New" w:hint="default"/>
      </w:rPr>
    </w:lvl>
    <w:lvl w:ilvl="8">
      <w:start w:val="1"/>
      <w:numFmt w:val="bullet"/>
      <w:lvlText w:val=""/>
      <w:lvlJc w:val="left"/>
      <w:pPr>
        <w:tabs>
          <w:tab w:val="num" w:pos="3198"/>
        </w:tabs>
        <w:ind w:left="2556" w:hanging="284"/>
      </w:pPr>
      <w:rPr>
        <w:rFonts w:ascii="Wingdings" w:hAnsi="Wingdings" w:hint="default"/>
      </w:rPr>
    </w:lvl>
  </w:abstractNum>
  <w:abstractNum w:abstractNumId="23">
    <w:nsid w:val="4D0C0132"/>
    <w:multiLevelType w:val="multilevel"/>
    <w:tmpl w:val="0809001D"/>
    <w:styleLink w:val="1ai"/>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4">
    <w:nsid w:val="4F926A09"/>
    <w:multiLevelType w:val="multilevel"/>
    <w:tmpl w:val="99F01D82"/>
    <w:lvl w:ilvl="0">
      <w:start w:val="1"/>
      <w:numFmt w:val="bullet"/>
      <w:pStyle w:val="TableListBullet"/>
      <w:lvlText w:val=""/>
      <w:lvlJc w:val="left"/>
      <w:pPr>
        <w:ind w:left="284" w:hanging="284"/>
      </w:pPr>
      <w:rPr>
        <w:rFonts w:ascii="Symbol" w:hAnsi="Symbol" w:hint="default"/>
        <w:color w:val="auto"/>
      </w:rPr>
    </w:lvl>
    <w:lvl w:ilvl="1">
      <w:start w:val="1"/>
      <w:numFmt w:val="bullet"/>
      <w:pStyle w:val="TableListBullet2"/>
      <w:lvlText w:val="─"/>
      <w:lvlJc w:val="left"/>
      <w:pPr>
        <w:ind w:left="568" w:hanging="284"/>
      </w:pPr>
      <w:rPr>
        <w:rFonts w:ascii="Calibri" w:hAnsi="Calibri" w:hint="default"/>
        <w:color w:val="auto"/>
      </w:rPr>
    </w:lvl>
    <w:lvl w:ilvl="2">
      <w:start w:val="1"/>
      <w:numFmt w:val="bullet"/>
      <w:pStyle w:val="TableListBullet3"/>
      <w:lvlText w:val=""/>
      <w:lvlJc w:val="left"/>
      <w:pPr>
        <w:ind w:left="852" w:hanging="284"/>
      </w:pPr>
      <w:rPr>
        <w:rFonts w:ascii="Wingdings" w:hAnsi="Wingdings" w:hint="default"/>
      </w:rPr>
    </w:lvl>
    <w:lvl w:ilvl="3">
      <w:start w:val="1"/>
      <w:numFmt w:val="bullet"/>
      <w:lvlText w:val=""/>
      <w:lvlJc w:val="left"/>
      <w:pPr>
        <w:ind w:left="1136" w:hanging="284"/>
      </w:pPr>
      <w:rPr>
        <w:rFonts w:ascii="Symbol" w:hAnsi="Symbol" w:hint="default"/>
        <w:color w:val="auto"/>
      </w:rPr>
    </w:lvl>
    <w:lvl w:ilvl="4">
      <w:start w:val="1"/>
      <w:numFmt w:val="bullet"/>
      <w:lvlText w:val="─"/>
      <w:lvlJc w:val="left"/>
      <w:pPr>
        <w:ind w:left="1420" w:hanging="284"/>
      </w:pPr>
      <w:rPr>
        <w:rFonts w:ascii="Calibri" w:hAnsi="Calibri" w:hint="default"/>
        <w:color w:val="auto"/>
      </w:rPr>
    </w:lvl>
    <w:lvl w:ilvl="5">
      <w:start w:val="1"/>
      <w:numFmt w:val="bullet"/>
      <w:lvlText w:val=""/>
      <w:lvlJc w:val="left"/>
      <w:pPr>
        <w:ind w:left="1704" w:hanging="284"/>
      </w:pPr>
      <w:rPr>
        <w:rFonts w:ascii="Wingdings" w:hAnsi="Wingdings" w:hint="default"/>
      </w:rPr>
    </w:lvl>
    <w:lvl w:ilvl="6">
      <w:start w:val="1"/>
      <w:numFmt w:val="bullet"/>
      <w:lvlText w:val=""/>
      <w:lvlJc w:val="left"/>
      <w:pPr>
        <w:ind w:left="1988" w:hanging="284"/>
      </w:pPr>
      <w:rPr>
        <w:rFonts w:ascii="Symbol" w:hAnsi="Symbol" w:hint="default"/>
        <w:color w:val="auto"/>
      </w:rPr>
    </w:lvl>
    <w:lvl w:ilvl="7">
      <w:start w:val="1"/>
      <w:numFmt w:val="bullet"/>
      <w:lvlText w:val="─"/>
      <w:lvlJc w:val="left"/>
      <w:pPr>
        <w:ind w:left="2272" w:hanging="284"/>
      </w:pPr>
      <w:rPr>
        <w:rFonts w:ascii="Calibri" w:hAnsi="Calibri" w:hint="default"/>
        <w:color w:val="auto"/>
      </w:rPr>
    </w:lvl>
    <w:lvl w:ilvl="8">
      <w:start w:val="1"/>
      <w:numFmt w:val="bullet"/>
      <w:lvlText w:val=""/>
      <w:lvlJc w:val="left"/>
      <w:pPr>
        <w:ind w:left="2556" w:hanging="284"/>
      </w:pPr>
      <w:rPr>
        <w:rFonts w:ascii="Wingdings" w:hAnsi="Wingdings" w:hint="default"/>
      </w:rPr>
    </w:lvl>
  </w:abstractNum>
  <w:abstractNum w:abstractNumId="25">
    <w:nsid w:val="51880F48"/>
    <w:multiLevelType w:val="multilevel"/>
    <w:tmpl w:val="5B6227C6"/>
    <w:styleLink w:val="AECOMList"/>
    <w:lvl w:ilvl="0">
      <w:start w:val="1"/>
      <w:numFmt w:val="decimal"/>
      <w:lvlText w:val="%1."/>
      <w:lvlJc w:val="left"/>
      <w:pPr>
        <w:ind w:left="357" w:hanging="357"/>
      </w:pPr>
      <w:rPr>
        <w:rFonts w:hint="default"/>
      </w:rPr>
    </w:lvl>
    <w:lvl w:ilvl="1">
      <w:start w:val="1"/>
      <w:numFmt w:val="lowerLetter"/>
      <w:lvlText w:val="%2."/>
      <w:lvlJc w:val="left"/>
      <w:pPr>
        <w:ind w:left="714" w:hanging="357"/>
      </w:pPr>
      <w:rPr>
        <w:rFonts w:hint="default"/>
      </w:rPr>
    </w:lvl>
    <w:lvl w:ilvl="2">
      <w:start w:val="1"/>
      <w:numFmt w:val="lowerRoman"/>
      <w:lvlText w:val="%3."/>
      <w:lvlJc w:val="left"/>
      <w:pPr>
        <w:ind w:left="1071" w:hanging="357"/>
      </w:pPr>
      <w:rPr>
        <w:rFonts w:hint="default"/>
      </w:rPr>
    </w:lvl>
    <w:lvl w:ilvl="3">
      <w:start w:val="1"/>
      <w:numFmt w:val="decimal"/>
      <w:lvlText w:val="%4."/>
      <w:lvlJc w:val="left"/>
      <w:pPr>
        <w:tabs>
          <w:tab w:val="num" w:pos="1431"/>
        </w:tabs>
        <w:ind w:left="1428" w:hanging="357"/>
      </w:pPr>
      <w:rPr>
        <w:rFonts w:hint="default"/>
      </w:rPr>
    </w:lvl>
    <w:lvl w:ilvl="4">
      <w:start w:val="1"/>
      <w:numFmt w:val="lowerLetter"/>
      <w:lvlText w:val="%5."/>
      <w:lvlJc w:val="left"/>
      <w:pPr>
        <w:tabs>
          <w:tab w:val="num" w:pos="1788"/>
        </w:tabs>
        <w:ind w:left="1785" w:hanging="357"/>
      </w:pPr>
      <w:rPr>
        <w:rFonts w:hint="default"/>
      </w:rPr>
    </w:lvl>
    <w:lvl w:ilvl="5">
      <w:start w:val="1"/>
      <w:numFmt w:val="lowerRoman"/>
      <w:lvlText w:val="%6."/>
      <w:lvlJc w:val="right"/>
      <w:pPr>
        <w:tabs>
          <w:tab w:val="num" w:pos="2145"/>
        </w:tabs>
        <w:ind w:left="2142" w:hanging="357"/>
      </w:pPr>
      <w:rPr>
        <w:rFonts w:hint="default"/>
      </w:rPr>
    </w:lvl>
    <w:lvl w:ilvl="6">
      <w:start w:val="1"/>
      <w:numFmt w:val="decimal"/>
      <w:lvlText w:val="%7."/>
      <w:lvlJc w:val="left"/>
      <w:pPr>
        <w:tabs>
          <w:tab w:val="num" w:pos="2502"/>
        </w:tabs>
        <w:ind w:left="2499" w:hanging="357"/>
      </w:pPr>
      <w:rPr>
        <w:rFonts w:hint="default"/>
      </w:rPr>
    </w:lvl>
    <w:lvl w:ilvl="7">
      <w:start w:val="1"/>
      <w:numFmt w:val="lowerLetter"/>
      <w:lvlText w:val="%8."/>
      <w:lvlJc w:val="left"/>
      <w:pPr>
        <w:tabs>
          <w:tab w:val="num" w:pos="2859"/>
        </w:tabs>
        <w:ind w:left="2856" w:hanging="357"/>
      </w:pPr>
      <w:rPr>
        <w:rFonts w:hint="default"/>
      </w:rPr>
    </w:lvl>
    <w:lvl w:ilvl="8">
      <w:start w:val="1"/>
      <w:numFmt w:val="lowerRoman"/>
      <w:lvlText w:val="%9."/>
      <w:lvlJc w:val="right"/>
      <w:pPr>
        <w:tabs>
          <w:tab w:val="num" w:pos="3216"/>
        </w:tabs>
        <w:ind w:left="3213" w:hanging="357"/>
      </w:pPr>
      <w:rPr>
        <w:rFonts w:hint="default"/>
      </w:rPr>
    </w:lvl>
  </w:abstractNum>
  <w:abstractNum w:abstractNumId="26">
    <w:nsid w:val="5571285C"/>
    <w:multiLevelType w:val="multilevel"/>
    <w:tmpl w:val="934C7326"/>
    <w:name w:val="AECOM Outline numbering2"/>
    <w:lvl w:ilvl="0">
      <w:start w:val="1"/>
      <w:numFmt w:val="decimal"/>
      <w:lvlRestart w:val="0"/>
      <w:lvlText w:val="%1."/>
      <w:lvlJc w:val="left"/>
      <w:pPr>
        <w:ind w:left="567" w:hanging="567"/>
      </w:pPr>
      <w:rPr>
        <w:rFonts w:hint="default"/>
      </w:rPr>
    </w:lvl>
    <w:lvl w:ilvl="1">
      <w:start w:val="1"/>
      <w:numFmt w:val="decimal"/>
      <w:pStyle w:val="Numberedtext"/>
      <w:lvlText w:val="%1.%2"/>
      <w:lvlJc w:val="left"/>
      <w:pPr>
        <w:ind w:left="567" w:hanging="567"/>
      </w:pPr>
      <w:rPr>
        <w:rFonts w:hint="default"/>
      </w:rPr>
    </w:lvl>
    <w:lvl w:ilvl="2">
      <w:start w:val="1"/>
      <w:numFmt w:val="decimal"/>
      <w:pStyle w:val="Heading3"/>
      <w:lvlText w:val="%1.%2.%3"/>
      <w:lvlJc w:val="left"/>
      <w:pPr>
        <w:ind w:left="850" w:hanging="850"/>
      </w:pPr>
      <w:rPr>
        <w:rFonts w:hint="default"/>
      </w:rPr>
    </w:lvl>
    <w:lvl w:ilvl="3">
      <w:start w:val="1"/>
      <w:numFmt w:val="decimal"/>
      <w:pStyle w:val="Heading4"/>
      <w:lvlText w:val="%1.%2.%3.%4"/>
      <w:lvlJc w:val="left"/>
      <w:pPr>
        <w:ind w:left="850" w:hanging="850"/>
      </w:pPr>
      <w:rPr>
        <w:rFonts w:hint="default"/>
      </w:rPr>
    </w:lvl>
    <w:lvl w:ilvl="4">
      <w:start w:val="1"/>
      <w:numFmt w:val="decimal"/>
      <w:lvlText w:val="%1.%2.%3.%4.%5"/>
      <w:lvlJc w:val="left"/>
      <w:pPr>
        <w:ind w:left="850" w:hanging="850"/>
      </w:pPr>
      <w:rPr>
        <w:rFonts w:hint="default"/>
      </w:rPr>
    </w:lvl>
    <w:lvl w:ilvl="5">
      <w:start w:val="1"/>
      <w:numFmt w:val="decimal"/>
      <w:lvlText w:val="%1.%2.%3.%4.%5.%6"/>
      <w:lvlJc w:val="left"/>
      <w:pPr>
        <w:ind w:left="850" w:hanging="850"/>
      </w:pPr>
      <w:rPr>
        <w:rFonts w:hint="default"/>
      </w:rPr>
    </w:lvl>
    <w:lvl w:ilvl="6">
      <w:start w:val="1"/>
      <w:numFmt w:val="none"/>
      <w:lvlText w:val=""/>
      <w:lvlJc w:val="left"/>
      <w:pPr>
        <w:ind w:left="850" w:hanging="850"/>
      </w:pPr>
      <w:rPr>
        <w:rFonts w:hint="default"/>
      </w:rPr>
    </w:lvl>
    <w:lvl w:ilvl="7">
      <w:start w:val="1"/>
      <w:numFmt w:val="lowerLetter"/>
      <w:lvlText w:val="%8."/>
      <w:lvlJc w:val="left"/>
      <w:pPr>
        <w:ind w:left="850" w:hanging="850"/>
      </w:pPr>
      <w:rPr>
        <w:rFonts w:hint="default"/>
      </w:rPr>
    </w:lvl>
    <w:lvl w:ilvl="8">
      <w:start w:val="1"/>
      <w:numFmt w:val="lowerRoman"/>
      <w:lvlText w:val="%9."/>
      <w:lvlJc w:val="left"/>
      <w:pPr>
        <w:ind w:left="850" w:hanging="850"/>
      </w:pPr>
      <w:rPr>
        <w:rFonts w:hint="default"/>
      </w:rPr>
    </w:lvl>
  </w:abstractNum>
  <w:abstractNum w:abstractNumId="27">
    <w:nsid w:val="581B5E84"/>
    <w:multiLevelType w:val="multilevel"/>
    <w:tmpl w:val="19506382"/>
    <w:lvl w:ilvl="0">
      <w:start w:val="1"/>
      <w:numFmt w:val="decimal"/>
      <w:suff w:val="space"/>
      <w:lvlText w:val="0%1"/>
      <w:lvlJc w:val="left"/>
      <w:pPr>
        <w:ind w:left="0" w:firstLine="0"/>
      </w:pPr>
      <w:rPr>
        <w:rFonts w:hint="default"/>
        <w:b/>
        <w:i w:val="0"/>
        <w:kern w:val="0"/>
        <w:position w:val="0"/>
        <w:sz w:val="28"/>
        <w:vertAlign w:val="baseline"/>
        <w14:numForm w14:val="default"/>
        <w14:numSpacing w14:val="default"/>
        <w14:stylisticSets/>
        <w14:cntxtAlts w14:val="0"/>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color w:val="F68B1F" w:themeColor="accent3"/>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upperLetter"/>
      <w:suff w:val="space"/>
      <w:lvlText w:val="Appendix %9"/>
      <w:lvlJc w:val="left"/>
      <w:pPr>
        <w:ind w:left="0" w:firstLine="0"/>
      </w:pPr>
      <w:rPr>
        <w:rFonts w:hint="default"/>
      </w:rPr>
    </w:lvl>
  </w:abstractNum>
  <w:abstractNum w:abstractNumId="28">
    <w:nsid w:val="659A027C"/>
    <w:multiLevelType w:val="multilevel"/>
    <w:tmpl w:val="ACFCE65E"/>
    <w:lvl w:ilvl="0">
      <w:start w:val="1"/>
      <w:numFmt w:val="decimal"/>
      <w:pStyle w:val="ListNumber"/>
      <w:lvlText w:val="%1."/>
      <w:lvlJc w:val="left"/>
      <w:pPr>
        <w:ind w:left="425" w:hanging="425"/>
      </w:pPr>
      <w:rPr>
        <w:rFonts w:hint="default"/>
      </w:rPr>
    </w:lvl>
    <w:lvl w:ilvl="1">
      <w:start w:val="1"/>
      <w:numFmt w:val="lowerLetter"/>
      <w:pStyle w:val="ListNumber2"/>
      <w:lvlText w:val="%2."/>
      <w:lvlJc w:val="left"/>
      <w:pPr>
        <w:tabs>
          <w:tab w:val="num" w:pos="850"/>
        </w:tabs>
        <w:ind w:left="850" w:hanging="425"/>
      </w:pPr>
      <w:rPr>
        <w:rFonts w:hint="default"/>
      </w:rPr>
    </w:lvl>
    <w:lvl w:ilvl="2">
      <w:start w:val="1"/>
      <w:numFmt w:val="lowerRoman"/>
      <w:pStyle w:val="ListNumber3"/>
      <w:lvlText w:val="%3."/>
      <w:lvlJc w:val="left"/>
      <w:pPr>
        <w:tabs>
          <w:tab w:val="num" w:pos="1275"/>
        </w:tabs>
        <w:ind w:left="1275" w:hanging="425"/>
      </w:pPr>
      <w:rPr>
        <w:rFonts w:hint="default"/>
      </w:rPr>
    </w:lvl>
    <w:lvl w:ilvl="3">
      <w:start w:val="1"/>
      <w:numFmt w:val="decimal"/>
      <w:lvlText w:val="%4."/>
      <w:lvlJc w:val="left"/>
      <w:pPr>
        <w:tabs>
          <w:tab w:val="num" w:pos="1700"/>
        </w:tabs>
        <w:ind w:left="1700" w:hanging="425"/>
      </w:pPr>
      <w:rPr>
        <w:rFonts w:hint="default"/>
      </w:rPr>
    </w:lvl>
    <w:lvl w:ilvl="4">
      <w:start w:val="1"/>
      <w:numFmt w:val="lowerLetter"/>
      <w:lvlText w:val="%5."/>
      <w:lvlJc w:val="left"/>
      <w:pPr>
        <w:tabs>
          <w:tab w:val="num" w:pos="2125"/>
        </w:tabs>
        <w:ind w:left="2125" w:hanging="425"/>
      </w:pPr>
      <w:rPr>
        <w:rFonts w:hint="default"/>
      </w:rPr>
    </w:lvl>
    <w:lvl w:ilvl="5">
      <w:start w:val="1"/>
      <w:numFmt w:val="lowerRoman"/>
      <w:lvlText w:val="%6."/>
      <w:lvlJc w:val="right"/>
      <w:pPr>
        <w:tabs>
          <w:tab w:val="num" w:pos="2550"/>
        </w:tabs>
        <w:ind w:left="2550" w:hanging="425"/>
      </w:pPr>
      <w:rPr>
        <w:rFonts w:hint="default"/>
      </w:rPr>
    </w:lvl>
    <w:lvl w:ilvl="6">
      <w:start w:val="1"/>
      <w:numFmt w:val="decimal"/>
      <w:lvlText w:val="%7."/>
      <w:lvlJc w:val="left"/>
      <w:pPr>
        <w:tabs>
          <w:tab w:val="num" w:pos="2975"/>
        </w:tabs>
        <w:ind w:left="2975" w:hanging="425"/>
      </w:pPr>
      <w:rPr>
        <w:rFonts w:hint="default"/>
      </w:rPr>
    </w:lvl>
    <w:lvl w:ilvl="7">
      <w:start w:val="1"/>
      <w:numFmt w:val="lowerLetter"/>
      <w:lvlText w:val="%8."/>
      <w:lvlJc w:val="left"/>
      <w:pPr>
        <w:tabs>
          <w:tab w:val="num" w:pos="3400"/>
        </w:tabs>
        <w:ind w:left="3400" w:hanging="425"/>
      </w:pPr>
      <w:rPr>
        <w:rFonts w:hint="default"/>
      </w:rPr>
    </w:lvl>
    <w:lvl w:ilvl="8">
      <w:start w:val="1"/>
      <w:numFmt w:val="lowerRoman"/>
      <w:lvlText w:val="%9."/>
      <w:lvlJc w:val="right"/>
      <w:pPr>
        <w:tabs>
          <w:tab w:val="num" w:pos="3825"/>
        </w:tabs>
        <w:ind w:left="3825" w:hanging="425"/>
      </w:pPr>
      <w:rPr>
        <w:rFonts w:hint="default"/>
      </w:rPr>
    </w:lvl>
  </w:abstractNum>
  <w:abstractNum w:abstractNumId="29">
    <w:nsid w:val="6BED2BB4"/>
    <w:multiLevelType w:val="hybridMultilevel"/>
    <w:tmpl w:val="CCD0F1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nsid w:val="6EFE498B"/>
    <w:multiLevelType w:val="multilevel"/>
    <w:tmpl w:val="D88893D6"/>
    <w:lvl w:ilvl="0">
      <w:start w:val="1"/>
      <w:numFmt w:val="bullet"/>
      <w:pStyle w:val="ListBullet"/>
      <w:lvlText w:val=""/>
      <w:lvlJc w:val="left"/>
      <w:pPr>
        <w:tabs>
          <w:tab w:val="num" w:pos="425"/>
        </w:tabs>
        <w:ind w:left="425" w:hanging="425"/>
      </w:pPr>
      <w:rPr>
        <w:rFonts w:ascii="Symbol" w:hAnsi="Symbol" w:hint="default"/>
        <w:color w:val="auto"/>
      </w:rPr>
    </w:lvl>
    <w:lvl w:ilvl="1">
      <w:start w:val="1"/>
      <w:numFmt w:val="bullet"/>
      <w:pStyle w:val="ListBullet2"/>
      <w:lvlText w:val="─"/>
      <w:lvlJc w:val="left"/>
      <w:pPr>
        <w:tabs>
          <w:tab w:val="num" w:pos="851"/>
        </w:tabs>
        <w:ind w:left="850" w:hanging="425"/>
      </w:pPr>
      <w:rPr>
        <w:rFonts w:ascii="Calibri" w:hAnsi="Calibri" w:hint="default"/>
        <w:color w:val="auto"/>
      </w:rPr>
    </w:lvl>
    <w:lvl w:ilvl="2">
      <w:start w:val="1"/>
      <w:numFmt w:val="bullet"/>
      <w:pStyle w:val="ListBullet3"/>
      <w:lvlText w:val=""/>
      <w:lvlJc w:val="left"/>
      <w:pPr>
        <w:tabs>
          <w:tab w:val="num" w:pos="1276"/>
        </w:tabs>
        <w:ind w:left="1275" w:hanging="425"/>
      </w:pPr>
      <w:rPr>
        <w:rFonts w:ascii="Wingdings" w:hAnsi="Wingdings" w:hint="default"/>
        <w:color w:val="auto"/>
      </w:rPr>
    </w:lvl>
    <w:lvl w:ilvl="3">
      <w:start w:val="1"/>
      <w:numFmt w:val="bullet"/>
      <w:lvlText w:val=""/>
      <w:lvlJc w:val="left"/>
      <w:pPr>
        <w:ind w:left="1700" w:hanging="425"/>
      </w:pPr>
      <w:rPr>
        <w:rFonts w:ascii="Symbol" w:hAnsi="Symbol" w:hint="default"/>
      </w:rPr>
    </w:lvl>
    <w:lvl w:ilvl="4">
      <w:start w:val="1"/>
      <w:numFmt w:val="bullet"/>
      <w:lvlText w:val="─"/>
      <w:lvlJc w:val="left"/>
      <w:pPr>
        <w:ind w:left="2125" w:hanging="425"/>
      </w:pPr>
      <w:rPr>
        <w:rFonts w:ascii="Calibri" w:hAnsi="Calibri" w:hint="default"/>
        <w:color w:val="auto"/>
      </w:rPr>
    </w:lvl>
    <w:lvl w:ilvl="5">
      <w:start w:val="1"/>
      <w:numFmt w:val="bullet"/>
      <w:lvlText w:val=""/>
      <w:lvlJc w:val="left"/>
      <w:pPr>
        <w:tabs>
          <w:tab w:val="num" w:pos="2346"/>
        </w:tabs>
        <w:ind w:left="2550" w:hanging="425"/>
      </w:pPr>
      <w:rPr>
        <w:rFonts w:ascii="Wingdings" w:hAnsi="Wingdings" w:hint="default"/>
      </w:rPr>
    </w:lvl>
    <w:lvl w:ilvl="6">
      <w:start w:val="1"/>
      <w:numFmt w:val="bullet"/>
      <w:lvlText w:val=""/>
      <w:lvlJc w:val="left"/>
      <w:pPr>
        <w:tabs>
          <w:tab w:val="num" w:pos="2630"/>
        </w:tabs>
        <w:ind w:left="2975" w:hanging="425"/>
      </w:pPr>
      <w:rPr>
        <w:rFonts w:ascii="Symbol" w:hAnsi="Symbol" w:hint="default"/>
      </w:rPr>
    </w:lvl>
    <w:lvl w:ilvl="7">
      <w:start w:val="1"/>
      <w:numFmt w:val="bullet"/>
      <w:lvlText w:val="─"/>
      <w:lvlJc w:val="left"/>
      <w:pPr>
        <w:tabs>
          <w:tab w:val="num" w:pos="2914"/>
        </w:tabs>
        <w:ind w:left="3400" w:hanging="425"/>
      </w:pPr>
      <w:rPr>
        <w:rFonts w:ascii="Calibri" w:hAnsi="Calibri" w:hint="default"/>
        <w:color w:val="auto"/>
      </w:rPr>
    </w:lvl>
    <w:lvl w:ilvl="8">
      <w:start w:val="1"/>
      <w:numFmt w:val="bullet"/>
      <w:lvlText w:val=""/>
      <w:lvlJc w:val="left"/>
      <w:pPr>
        <w:tabs>
          <w:tab w:val="num" w:pos="3198"/>
        </w:tabs>
        <w:ind w:left="3825" w:hanging="425"/>
      </w:pPr>
      <w:rPr>
        <w:rFonts w:ascii="Wingdings" w:hAnsi="Wingdings" w:hint="default"/>
      </w:rPr>
    </w:lvl>
  </w:abstractNum>
  <w:abstractNum w:abstractNumId="31">
    <w:nsid w:val="74F4137D"/>
    <w:multiLevelType w:val="hybridMultilevel"/>
    <w:tmpl w:val="AB9C2A26"/>
    <w:lvl w:ilvl="0" w:tplc="04090001">
      <w:start w:val="1"/>
      <w:numFmt w:val="bullet"/>
      <w:lvlText w:val=""/>
      <w:lvlJc w:val="left"/>
      <w:pPr>
        <w:ind w:left="994" w:hanging="360"/>
      </w:pPr>
      <w:rPr>
        <w:rFonts w:ascii="Symbol" w:hAnsi="Symbol" w:hint="default"/>
      </w:rPr>
    </w:lvl>
    <w:lvl w:ilvl="1" w:tplc="04090003" w:tentative="1">
      <w:start w:val="1"/>
      <w:numFmt w:val="bullet"/>
      <w:lvlText w:val="o"/>
      <w:lvlJc w:val="left"/>
      <w:pPr>
        <w:ind w:left="1714" w:hanging="360"/>
      </w:pPr>
      <w:rPr>
        <w:rFonts w:ascii="Courier New" w:hAnsi="Courier New" w:cs="Courier New" w:hint="default"/>
      </w:rPr>
    </w:lvl>
    <w:lvl w:ilvl="2" w:tplc="04090005" w:tentative="1">
      <w:start w:val="1"/>
      <w:numFmt w:val="bullet"/>
      <w:lvlText w:val=""/>
      <w:lvlJc w:val="left"/>
      <w:pPr>
        <w:ind w:left="2434" w:hanging="360"/>
      </w:pPr>
      <w:rPr>
        <w:rFonts w:ascii="Wingdings" w:hAnsi="Wingdings" w:hint="default"/>
      </w:rPr>
    </w:lvl>
    <w:lvl w:ilvl="3" w:tplc="04090001" w:tentative="1">
      <w:start w:val="1"/>
      <w:numFmt w:val="bullet"/>
      <w:lvlText w:val=""/>
      <w:lvlJc w:val="left"/>
      <w:pPr>
        <w:ind w:left="3154" w:hanging="360"/>
      </w:pPr>
      <w:rPr>
        <w:rFonts w:ascii="Symbol" w:hAnsi="Symbol" w:hint="default"/>
      </w:rPr>
    </w:lvl>
    <w:lvl w:ilvl="4" w:tplc="04090003" w:tentative="1">
      <w:start w:val="1"/>
      <w:numFmt w:val="bullet"/>
      <w:lvlText w:val="o"/>
      <w:lvlJc w:val="left"/>
      <w:pPr>
        <w:ind w:left="3874" w:hanging="360"/>
      </w:pPr>
      <w:rPr>
        <w:rFonts w:ascii="Courier New" w:hAnsi="Courier New" w:cs="Courier New" w:hint="default"/>
      </w:rPr>
    </w:lvl>
    <w:lvl w:ilvl="5" w:tplc="04090005" w:tentative="1">
      <w:start w:val="1"/>
      <w:numFmt w:val="bullet"/>
      <w:lvlText w:val=""/>
      <w:lvlJc w:val="left"/>
      <w:pPr>
        <w:ind w:left="4594" w:hanging="360"/>
      </w:pPr>
      <w:rPr>
        <w:rFonts w:ascii="Wingdings" w:hAnsi="Wingdings" w:hint="default"/>
      </w:rPr>
    </w:lvl>
    <w:lvl w:ilvl="6" w:tplc="04090001" w:tentative="1">
      <w:start w:val="1"/>
      <w:numFmt w:val="bullet"/>
      <w:lvlText w:val=""/>
      <w:lvlJc w:val="left"/>
      <w:pPr>
        <w:ind w:left="5314" w:hanging="360"/>
      </w:pPr>
      <w:rPr>
        <w:rFonts w:ascii="Symbol" w:hAnsi="Symbol" w:hint="default"/>
      </w:rPr>
    </w:lvl>
    <w:lvl w:ilvl="7" w:tplc="04090003" w:tentative="1">
      <w:start w:val="1"/>
      <w:numFmt w:val="bullet"/>
      <w:lvlText w:val="o"/>
      <w:lvlJc w:val="left"/>
      <w:pPr>
        <w:ind w:left="6034" w:hanging="360"/>
      </w:pPr>
      <w:rPr>
        <w:rFonts w:ascii="Courier New" w:hAnsi="Courier New" w:cs="Courier New" w:hint="default"/>
      </w:rPr>
    </w:lvl>
    <w:lvl w:ilvl="8" w:tplc="04090005" w:tentative="1">
      <w:start w:val="1"/>
      <w:numFmt w:val="bullet"/>
      <w:lvlText w:val=""/>
      <w:lvlJc w:val="left"/>
      <w:pPr>
        <w:ind w:left="6754" w:hanging="360"/>
      </w:pPr>
      <w:rPr>
        <w:rFonts w:ascii="Wingdings" w:hAnsi="Wingdings" w:hint="default"/>
      </w:rPr>
    </w:lvl>
  </w:abstractNum>
  <w:abstractNum w:abstractNumId="32">
    <w:nsid w:val="7E67042B"/>
    <w:multiLevelType w:val="hybridMultilevel"/>
    <w:tmpl w:val="D3DE96D0"/>
    <w:lvl w:ilvl="0" w:tplc="13982006">
      <w:start w:val="1"/>
      <w:numFmt w:val="decimal"/>
      <w:lvlText w:val="(%1)"/>
      <w:lvlJc w:val="left"/>
      <w:pPr>
        <w:ind w:left="785" w:hanging="360"/>
      </w:pPr>
      <w:rPr>
        <w:rFonts w:hint="default"/>
      </w:rPr>
    </w:lvl>
    <w:lvl w:ilvl="1" w:tplc="04090019" w:tentative="1">
      <w:start w:val="1"/>
      <w:numFmt w:val="lowerLetter"/>
      <w:lvlText w:val="%2."/>
      <w:lvlJc w:val="left"/>
      <w:pPr>
        <w:ind w:left="1505" w:hanging="360"/>
      </w:pPr>
    </w:lvl>
    <w:lvl w:ilvl="2" w:tplc="0409001B" w:tentative="1">
      <w:start w:val="1"/>
      <w:numFmt w:val="lowerRoman"/>
      <w:lvlText w:val="%3."/>
      <w:lvlJc w:val="right"/>
      <w:pPr>
        <w:ind w:left="2225" w:hanging="180"/>
      </w:pPr>
    </w:lvl>
    <w:lvl w:ilvl="3" w:tplc="0409000F" w:tentative="1">
      <w:start w:val="1"/>
      <w:numFmt w:val="decimal"/>
      <w:lvlText w:val="%4."/>
      <w:lvlJc w:val="left"/>
      <w:pPr>
        <w:ind w:left="2945" w:hanging="360"/>
      </w:pPr>
    </w:lvl>
    <w:lvl w:ilvl="4" w:tplc="04090019" w:tentative="1">
      <w:start w:val="1"/>
      <w:numFmt w:val="lowerLetter"/>
      <w:lvlText w:val="%5."/>
      <w:lvlJc w:val="left"/>
      <w:pPr>
        <w:ind w:left="3665" w:hanging="360"/>
      </w:pPr>
    </w:lvl>
    <w:lvl w:ilvl="5" w:tplc="0409001B" w:tentative="1">
      <w:start w:val="1"/>
      <w:numFmt w:val="lowerRoman"/>
      <w:lvlText w:val="%6."/>
      <w:lvlJc w:val="right"/>
      <w:pPr>
        <w:ind w:left="4385" w:hanging="180"/>
      </w:pPr>
    </w:lvl>
    <w:lvl w:ilvl="6" w:tplc="0409000F" w:tentative="1">
      <w:start w:val="1"/>
      <w:numFmt w:val="decimal"/>
      <w:lvlText w:val="%7."/>
      <w:lvlJc w:val="left"/>
      <w:pPr>
        <w:ind w:left="5105" w:hanging="360"/>
      </w:pPr>
    </w:lvl>
    <w:lvl w:ilvl="7" w:tplc="04090019" w:tentative="1">
      <w:start w:val="1"/>
      <w:numFmt w:val="lowerLetter"/>
      <w:lvlText w:val="%8."/>
      <w:lvlJc w:val="left"/>
      <w:pPr>
        <w:ind w:left="5825" w:hanging="360"/>
      </w:pPr>
    </w:lvl>
    <w:lvl w:ilvl="8" w:tplc="0409001B" w:tentative="1">
      <w:start w:val="1"/>
      <w:numFmt w:val="lowerRoman"/>
      <w:lvlText w:val="%9."/>
      <w:lvlJc w:val="right"/>
      <w:pPr>
        <w:ind w:left="6545" w:hanging="180"/>
      </w:pPr>
    </w:lvl>
  </w:abstractNum>
  <w:abstractNum w:abstractNumId="33">
    <w:nsid w:val="7FFD7283"/>
    <w:multiLevelType w:val="hybridMultilevel"/>
    <w:tmpl w:val="C7B6096E"/>
    <w:name w:val="AECOM Outline numbering2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22"/>
  </w:num>
  <w:num w:numId="2">
    <w:abstractNumId w:val="25"/>
  </w:num>
  <w:num w:numId="3">
    <w:abstractNumId w:val="3"/>
  </w:num>
  <w:num w:numId="4">
    <w:abstractNumId w:val="2"/>
  </w:num>
  <w:num w:numId="5">
    <w:abstractNumId w:val="1"/>
  </w:num>
  <w:num w:numId="6">
    <w:abstractNumId w:val="0"/>
  </w:num>
  <w:num w:numId="7">
    <w:abstractNumId w:val="6"/>
  </w:num>
  <w:num w:numId="8">
    <w:abstractNumId w:val="10"/>
  </w:num>
  <w:num w:numId="9">
    <w:abstractNumId w:val="26"/>
  </w:num>
  <w:num w:numId="10">
    <w:abstractNumId w:val="7"/>
  </w:num>
  <w:num w:numId="11">
    <w:abstractNumId w:val="12"/>
  </w:num>
  <w:num w:numId="12">
    <w:abstractNumId w:val="23"/>
  </w:num>
  <w:num w:numId="13">
    <w:abstractNumId w:val="9"/>
  </w:num>
  <w:num w:numId="14">
    <w:abstractNumId w:val="30"/>
  </w:num>
  <w:num w:numId="15">
    <w:abstractNumId w:val="28"/>
  </w:num>
  <w:num w:numId="16">
    <w:abstractNumId w:val="14"/>
  </w:num>
  <w:num w:numId="17">
    <w:abstractNumId w:val="19"/>
  </w:num>
  <w:num w:numId="18">
    <w:abstractNumId w:val="19"/>
  </w:num>
  <w:num w:numId="19">
    <w:abstractNumId w:val="24"/>
  </w:num>
  <w:num w:numId="20">
    <w:abstractNumId w:val="17"/>
  </w:num>
  <w:num w:numId="21">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30"/>
  </w:num>
  <w:num w:numId="23">
    <w:abstractNumId w:val="13"/>
  </w:num>
  <w:num w:numId="24">
    <w:abstractNumId w:val="31"/>
  </w:num>
  <w:num w:numId="25">
    <w:abstractNumId w:val="20"/>
  </w:num>
  <w:num w:numId="26">
    <w:abstractNumId w:val="33"/>
  </w:num>
  <w:num w:numId="27">
    <w:abstractNumId w:val="5"/>
  </w:num>
  <w:num w:numId="28">
    <w:abstractNumId w:val="21"/>
  </w:num>
  <w:num w:numId="29">
    <w:abstractNumId w:val="8"/>
  </w:num>
  <w:num w:numId="30">
    <w:abstractNumId w:val="26"/>
  </w:num>
  <w:num w:numId="31">
    <w:abstractNumId w:val="29"/>
  </w:num>
  <w:num w:numId="32">
    <w:abstractNumId w:val="18"/>
  </w:num>
  <w:num w:numId="33">
    <w:abstractNumId w:val="4"/>
  </w:num>
  <w:num w:numId="34">
    <w:abstractNumId w:val="15"/>
  </w:num>
  <w:num w:numId="35">
    <w:abstractNumId w:val="26"/>
  </w:num>
  <w:num w:numId="36">
    <w:abstractNumId w:val="11"/>
  </w:num>
  <w:num w:numId="37">
    <w:abstractNumId w:val="32"/>
  </w:num>
  <w:num w:numId="38">
    <w:abstractNumId w:val="27"/>
  </w:num>
  <w:num w:numId="39">
    <w:abstractNumId w:val="28"/>
    <w:lvlOverride w:ilvl="0">
      <w:startOverride w:val="2"/>
    </w:lvlOverride>
  </w:num>
  <w:num w:numId="40">
    <w:abstractNumId w:val="16"/>
  </w:num>
  <w:num w:numId="41">
    <w:abstractNumId w:val="26"/>
  </w:num>
  <w:num w:numId="42">
    <w:abstractNumId w:val="26"/>
  </w:num>
  <w:numIdMacAtCleanup w:val="26"/>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Sutton, Sean">
    <w15:presenceInfo w15:providerId="AD" w15:userId="S::Sean.Sutton@aecom.com::3f0fece8-744f-425b-b7d1-b225b8212ef4"/>
  </w15:person>
  <w15:person w15:author="Miller, Meredith">
    <w15:presenceInfo w15:providerId="AD" w15:userId="S::meredith.miller@aecom.com::9291c5d3-d0fa-4561-a1fb-70d2ffb39e99"/>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hideSpellingErrors/>
  <w:hideGrammaticalErrors/>
  <w:attachedTemplate r:id="rId1"/>
  <w:stylePaneFormatFilter w:val="5004" w:allStyles="0" w:customStyles="0" w:latentStyles="1" w:stylesInUse="0" w:headingStyles="0" w:numberingStyles="0" w:tableStyles="0" w:directFormattingOnRuns="0" w:directFormattingOnParagraphs="0" w:directFormattingOnNumbering="0" w:directFormattingOnTables="0" w:clearFormatting="1" w:top3HeadingStyles="0" w:visibleStyles="1" w:alternateStyleNames="0"/>
  <w:defaultTabStop w:val="720"/>
  <w:drawingGridHorizontalSpacing w:val="6"/>
  <w:drawingGridVerticalSpacing w:val="6"/>
  <w:displayHorizontalDrawingGridEvery w:val="0"/>
  <w:displayVerticalDrawingGridEvery w:val="0"/>
  <w:doNotUseMarginsForDrawingGridOrigin/>
  <w:drawingGridHorizontalOrigin w:val="0"/>
  <w:drawingGridVerticalOrigin w:val="0"/>
  <w:characterSpacingControl w:val="doNotCompress"/>
  <w:hdrShapeDefaults>
    <o:shapedefaults v:ext="edit" spidmax="34817"/>
  </w:hdrShapeDefaults>
  <w:footnotePr>
    <w:footnote w:id="-1"/>
    <w:footnote w:id="0"/>
    <w:footnote w:id="1"/>
  </w:footnotePr>
  <w:endnotePr>
    <w:endnote w:id="-1"/>
    <w:endnote w:id="0"/>
    <w:endnote w:id="1"/>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__Grammarly_42____i" w:val="H4sIAAAAAAAEAKtWckksSQxILCpxzi/NK1GyMqwFAAEhoTITAAAA"/>
    <w:docVar w:name="__Grammarly_42___1" w:val="H4sIAAAAAAAEAKtWcslP9kxRslIyNDYyNQMiQ1MTSwMjEwsTSyUdpeDU4uLM/DyQAqNaAEtiEaMsAAAA"/>
    <w:docVar w:name="ACTIVATED" w:val="1"/>
    <w:docVar w:name="cbTextLanguage_ListCount" w:val="0"/>
    <w:docVar w:name="cbTextLanguage_ListIndex" w:val="-1"/>
    <w:docVar w:name="CheckBox2" w:val="0"/>
    <w:docVar w:name="chkChangeCoverImage" w:val="0"/>
    <w:docVar w:name="chkDraft" w:val="0"/>
    <w:docVar w:name="chkFileName" w:val="0"/>
    <w:docVar w:name="chkFileNamePath" w:val="0"/>
    <w:docVar w:name="chkIncludeClientInHedaer" w:val="0"/>
    <w:docVar w:name="chkIncludeClientonCover" w:val="0"/>
    <w:docVar w:name="chkOfficeAddressBackcover" w:val="0"/>
    <w:docVar w:name="chkPrintedOnRecycledPaper" w:val="0"/>
    <w:docVar w:name="chkSaveFooterDetails" w:val="0"/>
    <w:docVar w:name="chkSaveOfficeAddress" w:val="0"/>
    <w:docVar w:name="chkScholars" w:val="0"/>
    <w:docVar w:name="chkUKILongformLimitations" w:val="0"/>
    <w:docVar w:name="chkWhiteBorder" w:val="0"/>
    <w:docVar w:name="lbANZDisclaimers_ListCount" w:val="0"/>
    <w:docVar w:name="lbANZDisclaimers_ListIndex" w:val="-1"/>
    <w:docVar w:name="lbANZLimitations_ListCount" w:val="0"/>
    <w:docVar w:name="lbANZLimitations_ListIndex" w:val="-1"/>
    <w:docVar w:name="lbAuthor_ListCount" w:val="0"/>
    <w:docVar w:name="lbAuthor_ListIndex" w:val="-1"/>
    <w:docVar w:name="lbImages_ListCount" w:val="6"/>
    <w:docVar w:name="lbImages_ListIndex" w:val="3"/>
    <w:docVar w:name="lbProtectiveMarkings_0" w:val="None"/>
    <w:docVar w:name="lbProtectiveMarkings_0_0" w:val="None"/>
    <w:docVar w:name="lbProtectiveMarkings_1" w:val="PUBLIC"/>
    <w:docVar w:name="lbProtectiveMarkings_1_0" w:val="PUBLIC"/>
    <w:docVar w:name="lbProtectiveMarkings_2" w:val="OFFICIAL"/>
    <w:docVar w:name="lbProtectiveMarkings_2_0" w:val="OFFICIAL"/>
    <w:docVar w:name="lbProtectiveMarkings_3" w:val="COMPANY CONFIDENTIAL"/>
    <w:docVar w:name="lbProtectiveMarkings_3_0" w:val="COMPANY CONFIDENTIAL"/>
    <w:docVar w:name="lbProtectiveMarkings_4" w:val="COMMERCIAL IN CONFIDENCE"/>
    <w:docVar w:name="lbProtectiveMarkings_4_0" w:val="COMMERCIAL IN CONFIDENCE"/>
    <w:docVar w:name="lbProtectiveMarkings_5" w:val="DRAFT"/>
    <w:docVar w:name="lbProtectiveMarkings_5_0" w:val="DRAFT"/>
    <w:docVar w:name="lbProtectiveMarkings_6" w:val="Free-type ...  (use a comma to denote a new line)"/>
    <w:docVar w:name="lbProtectiveMarkings_6_0" w:val="Free-type ...  (use a comma to denote a new line)"/>
    <w:docVar w:name="lbProtectiveMarkings_ListCount" w:val="7"/>
    <w:docVar w:name="lbProtectiveMarkings_ListIndex" w:val="-1"/>
    <w:docVar w:name="opt1column" w:val="-1"/>
    <w:docVar w:name="opt2column" w:val="0"/>
    <w:docVar w:name="opt3column" w:val="0"/>
    <w:docVar w:name="optA3Landscape" w:val="0"/>
    <w:docVar w:name="optA4" w:val="-1"/>
    <w:docVar w:name="optA4Landscape" w:val="0"/>
    <w:docVar w:name="optA4Portrait" w:val="0"/>
    <w:docVar w:name="optBW" w:val="0"/>
    <w:docVar w:name="optChangeFontAECOMSans" w:val="0"/>
    <w:docVar w:name="optChangeFontArial" w:val="-1"/>
    <w:docVar w:name="optCoversheet" w:val="0"/>
    <w:docVar w:name="optDoubleSided" w:val="0"/>
    <w:docVar w:name="optFont10" w:val="0"/>
    <w:docVar w:name="optFont11" w:val="0"/>
    <w:docVar w:name="optFont12" w:val="0"/>
    <w:docVar w:name="optFont9" w:val="-1"/>
    <w:docVar w:name="optGraphicFull" w:val="0"/>
    <w:docVar w:name="optHeading1Font18" w:val="0"/>
    <w:docVar w:name="optHeading1Font21" w:val="0"/>
    <w:docVar w:name="optHeading1Font24" w:val="-1"/>
    <w:docVar w:name="optLetter" w:val="0"/>
    <w:docVar w:name="optLogo" w:val="-1"/>
    <w:docVar w:name="optNoLogo" w:val="0"/>
    <w:docVar w:name="optNumberedHeadings" w:val="0"/>
    <w:docVar w:name="optNumberedHeadingsParagraphs" w:val="-1"/>
    <w:docVar w:name="optP0" w:val="0"/>
    <w:docVar w:name="optP1" w:val="-1"/>
    <w:docVar w:name="optP2" w:val="0"/>
    <w:docVar w:name="optP3" w:val="0"/>
    <w:docVar w:name="optP4" w:val="0"/>
    <w:docVar w:name="optP5" w:val="0"/>
    <w:docVar w:name="optP6" w:val="0"/>
    <w:docVar w:name="optPhotoFull" w:val="0"/>
    <w:docVar w:name="optPhotoGrahicHalf" w:val="-1"/>
    <w:docVar w:name="optPlainBlue" w:val="0"/>
    <w:docVar w:name="optProposal" w:val="0"/>
    <w:docVar w:name="optS0" w:val="0"/>
    <w:docVar w:name="optS1" w:val="0"/>
    <w:docVar w:name="optS2" w:val="-1"/>
    <w:docVar w:name="optS3" w:val="0"/>
    <w:docVar w:name="optS4" w:val="0"/>
    <w:docVar w:name="optS5" w:val="0"/>
    <w:docVar w:name="optS6" w:val="0"/>
    <w:docVar w:name="optSingleSided" w:val="-1"/>
    <w:docVar w:name="optTechnicalReport" w:val="-1"/>
    <w:docVar w:name="optTender" w:val="0"/>
    <w:docVar w:name="optUnNumberedHeadings" w:val="0"/>
    <w:docVar w:name="optUSLetterLandscape" w:val="0"/>
    <w:docVar w:name="optUSLetterPortrait" w:val="-1"/>
    <w:docVar w:name="RERUN" w:val="1"/>
    <w:docVar w:name="SelectedCountry" w:val="3"/>
    <w:docVar w:name="SelectedEntity" w:val="0"/>
    <w:docVar w:name="SelectedGeo" w:val="0"/>
    <w:docVar w:name="SelectedLanguage" w:val="0"/>
    <w:docVar w:name="SelectedOffice" w:val="25"/>
    <w:docVar w:name="SelectedPageLayout" w:val="5"/>
    <w:docVar w:name="SelectedRegion" w:val="1"/>
    <w:docVar w:name="tbAuthorName" w:val="AECOM"/>
    <w:docVar w:name="tbClient" w:val="Kansas Department of Agriculture Division of Water Resources"/>
    <w:docVar w:name="tbDate" w:val="April 8, 2019"/>
    <w:docVar w:name="tbDocumentTitle" w:val="Verdigris Custom Watershed"/>
    <w:docVar w:name="tbImage" w:val="Water.jpg"/>
    <w:docVar w:name="tbOfficeAddress" w:val="AECOM_x000d__x000a_2380 McGee Street_x000d__x000a_Kansas City, MO 64108_x000d__x000a_aecom.com"/>
    <w:docVar w:name="tbSubtitle" w:val="2D Base Level Engineering"/>
    <w:docVar w:name="tbSupplementaryTitle" w:val="XZY Model Hydrology and Hydraulics"/>
    <w:docVar w:name="TranslateChart" w:val="Chart"/>
    <w:docVar w:name="TranslateFigure" w:val="Figure"/>
    <w:docVar w:name="TranslateTable" w:val="Table"/>
  </w:docVars>
  <w:rsids>
    <w:rsidRoot w:val="0030437A"/>
    <w:rsid w:val="000005B3"/>
    <w:rsid w:val="0000189C"/>
    <w:rsid w:val="00002B07"/>
    <w:rsid w:val="00004730"/>
    <w:rsid w:val="0000567F"/>
    <w:rsid w:val="00005796"/>
    <w:rsid w:val="00007DDE"/>
    <w:rsid w:val="00010C39"/>
    <w:rsid w:val="00011B0A"/>
    <w:rsid w:val="00012037"/>
    <w:rsid w:val="00012A6F"/>
    <w:rsid w:val="00013B3C"/>
    <w:rsid w:val="000144E9"/>
    <w:rsid w:val="00014BEC"/>
    <w:rsid w:val="00020230"/>
    <w:rsid w:val="0002195C"/>
    <w:rsid w:val="00023F39"/>
    <w:rsid w:val="00027303"/>
    <w:rsid w:val="00027DBC"/>
    <w:rsid w:val="0003139A"/>
    <w:rsid w:val="0003173A"/>
    <w:rsid w:val="0003297A"/>
    <w:rsid w:val="00033871"/>
    <w:rsid w:val="000364E3"/>
    <w:rsid w:val="0004147B"/>
    <w:rsid w:val="000460D6"/>
    <w:rsid w:val="000462A0"/>
    <w:rsid w:val="0004726B"/>
    <w:rsid w:val="00050057"/>
    <w:rsid w:val="0005363D"/>
    <w:rsid w:val="000537D2"/>
    <w:rsid w:val="00053F18"/>
    <w:rsid w:val="00054055"/>
    <w:rsid w:val="0005776B"/>
    <w:rsid w:val="0005782B"/>
    <w:rsid w:val="00060016"/>
    <w:rsid w:val="000652F7"/>
    <w:rsid w:val="000663FA"/>
    <w:rsid w:val="00066A8B"/>
    <w:rsid w:val="00067457"/>
    <w:rsid w:val="0007100B"/>
    <w:rsid w:val="000719AF"/>
    <w:rsid w:val="00072DFC"/>
    <w:rsid w:val="00075E8E"/>
    <w:rsid w:val="00080A40"/>
    <w:rsid w:val="0008170B"/>
    <w:rsid w:val="00082023"/>
    <w:rsid w:val="00083354"/>
    <w:rsid w:val="00083CFC"/>
    <w:rsid w:val="000840C5"/>
    <w:rsid w:val="000857E9"/>
    <w:rsid w:val="00090164"/>
    <w:rsid w:val="0009153B"/>
    <w:rsid w:val="00095E83"/>
    <w:rsid w:val="0009611E"/>
    <w:rsid w:val="000A05D7"/>
    <w:rsid w:val="000A14DC"/>
    <w:rsid w:val="000A2D0C"/>
    <w:rsid w:val="000A3B6D"/>
    <w:rsid w:val="000A3DD4"/>
    <w:rsid w:val="000A5E31"/>
    <w:rsid w:val="000A6A13"/>
    <w:rsid w:val="000A6D54"/>
    <w:rsid w:val="000B0C66"/>
    <w:rsid w:val="000B2830"/>
    <w:rsid w:val="000B28E6"/>
    <w:rsid w:val="000B4D21"/>
    <w:rsid w:val="000B73C5"/>
    <w:rsid w:val="000B7415"/>
    <w:rsid w:val="000C0D5A"/>
    <w:rsid w:val="000C3194"/>
    <w:rsid w:val="000C3339"/>
    <w:rsid w:val="000C334B"/>
    <w:rsid w:val="000C3C1D"/>
    <w:rsid w:val="000C4CEF"/>
    <w:rsid w:val="000C6387"/>
    <w:rsid w:val="000C6811"/>
    <w:rsid w:val="000C7AC2"/>
    <w:rsid w:val="000D04AB"/>
    <w:rsid w:val="000D13AF"/>
    <w:rsid w:val="000D3E11"/>
    <w:rsid w:val="000D40D1"/>
    <w:rsid w:val="000D5184"/>
    <w:rsid w:val="000D6FA5"/>
    <w:rsid w:val="000E392F"/>
    <w:rsid w:val="000E4587"/>
    <w:rsid w:val="000E4A9C"/>
    <w:rsid w:val="000E758C"/>
    <w:rsid w:val="000E75C9"/>
    <w:rsid w:val="000F0027"/>
    <w:rsid w:val="000F114A"/>
    <w:rsid w:val="000F1315"/>
    <w:rsid w:val="000F1D4D"/>
    <w:rsid w:val="000F22FF"/>
    <w:rsid w:val="000F2AE4"/>
    <w:rsid w:val="000F2C08"/>
    <w:rsid w:val="000F5328"/>
    <w:rsid w:val="000F61F0"/>
    <w:rsid w:val="000F66C9"/>
    <w:rsid w:val="000F6B39"/>
    <w:rsid w:val="00101CCE"/>
    <w:rsid w:val="0010409E"/>
    <w:rsid w:val="00110478"/>
    <w:rsid w:val="00112827"/>
    <w:rsid w:val="00113896"/>
    <w:rsid w:val="00113C10"/>
    <w:rsid w:val="00114B32"/>
    <w:rsid w:val="00114D39"/>
    <w:rsid w:val="00115CA4"/>
    <w:rsid w:val="00115CAC"/>
    <w:rsid w:val="001176F1"/>
    <w:rsid w:val="00117716"/>
    <w:rsid w:val="0012093B"/>
    <w:rsid w:val="001244CA"/>
    <w:rsid w:val="0012697D"/>
    <w:rsid w:val="00127902"/>
    <w:rsid w:val="00127AF4"/>
    <w:rsid w:val="00131303"/>
    <w:rsid w:val="001314AE"/>
    <w:rsid w:val="001315BF"/>
    <w:rsid w:val="001320DD"/>
    <w:rsid w:val="00132860"/>
    <w:rsid w:val="00133853"/>
    <w:rsid w:val="001343B0"/>
    <w:rsid w:val="00134992"/>
    <w:rsid w:val="00134C88"/>
    <w:rsid w:val="00135D79"/>
    <w:rsid w:val="00136AA6"/>
    <w:rsid w:val="00136C29"/>
    <w:rsid w:val="00137944"/>
    <w:rsid w:val="00137BAA"/>
    <w:rsid w:val="00140050"/>
    <w:rsid w:val="001408A2"/>
    <w:rsid w:val="00141575"/>
    <w:rsid w:val="0014212F"/>
    <w:rsid w:val="001430F2"/>
    <w:rsid w:val="001438A9"/>
    <w:rsid w:val="00143D54"/>
    <w:rsid w:val="00144B71"/>
    <w:rsid w:val="001453AD"/>
    <w:rsid w:val="00145502"/>
    <w:rsid w:val="00145561"/>
    <w:rsid w:val="0014571E"/>
    <w:rsid w:val="0014573D"/>
    <w:rsid w:val="00145FBA"/>
    <w:rsid w:val="00146EA2"/>
    <w:rsid w:val="00150002"/>
    <w:rsid w:val="00150531"/>
    <w:rsid w:val="001531A9"/>
    <w:rsid w:val="001535D0"/>
    <w:rsid w:val="00153665"/>
    <w:rsid w:val="00161A02"/>
    <w:rsid w:val="00164CB2"/>
    <w:rsid w:val="00166D71"/>
    <w:rsid w:val="0017116A"/>
    <w:rsid w:val="001733FE"/>
    <w:rsid w:val="00174521"/>
    <w:rsid w:val="001750DB"/>
    <w:rsid w:val="00175B4D"/>
    <w:rsid w:val="00175DDF"/>
    <w:rsid w:val="00177077"/>
    <w:rsid w:val="00177C13"/>
    <w:rsid w:val="00177DEA"/>
    <w:rsid w:val="0018100D"/>
    <w:rsid w:val="0018305D"/>
    <w:rsid w:val="001838ED"/>
    <w:rsid w:val="00185372"/>
    <w:rsid w:val="001855B4"/>
    <w:rsid w:val="00186090"/>
    <w:rsid w:val="00186702"/>
    <w:rsid w:val="0018672C"/>
    <w:rsid w:val="00187C37"/>
    <w:rsid w:val="00187DDB"/>
    <w:rsid w:val="00190CDA"/>
    <w:rsid w:val="001920F8"/>
    <w:rsid w:val="00192AC2"/>
    <w:rsid w:val="00193189"/>
    <w:rsid w:val="001937F2"/>
    <w:rsid w:val="00193855"/>
    <w:rsid w:val="00193BD7"/>
    <w:rsid w:val="001957EB"/>
    <w:rsid w:val="00196E20"/>
    <w:rsid w:val="0019721C"/>
    <w:rsid w:val="00197A2E"/>
    <w:rsid w:val="001A11B6"/>
    <w:rsid w:val="001A1533"/>
    <w:rsid w:val="001A1F61"/>
    <w:rsid w:val="001A2566"/>
    <w:rsid w:val="001A43B4"/>
    <w:rsid w:val="001A45DC"/>
    <w:rsid w:val="001A52C9"/>
    <w:rsid w:val="001A52DD"/>
    <w:rsid w:val="001A72B0"/>
    <w:rsid w:val="001B0325"/>
    <w:rsid w:val="001B143D"/>
    <w:rsid w:val="001B59F4"/>
    <w:rsid w:val="001C07AF"/>
    <w:rsid w:val="001C0BD8"/>
    <w:rsid w:val="001C2925"/>
    <w:rsid w:val="001C2BC0"/>
    <w:rsid w:val="001C3018"/>
    <w:rsid w:val="001C43B6"/>
    <w:rsid w:val="001C49C6"/>
    <w:rsid w:val="001C5F36"/>
    <w:rsid w:val="001C60EF"/>
    <w:rsid w:val="001C6773"/>
    <w:rsid w:val="001C6876"/>
    <w:rsid w:val="001C70B2"/>
    <w:rsid w:val="001C7D04"/>
    <w:rsid w:val="001D03B0"/>
    <w:rsid w:val="001D1299"/>
    <w:rsid w:val="001D150B"/>
    <w:rsid w:val="001D1E91"/>
    <w:rsid w:val="001D26E4"/>
    <w:rsid w:val="001D33BC"/>
    <w:rsid w:val="001D499A"/>
    <w:rsid w:val="001D6F05"/>
    <w:rsid w:val="001D745B"/>
    <w:rsid w:val="001E1907"/>
    <w:rsid w:val="001E1DB1"/>
    <w:rsid w:val="001E2388"/>
    <w:rsid w:val="001E44B6"/>
    <w:rsid w:val="001E48D8"/>
    <w:rsid w:val="001E6F4A"/>
    <w:rsid w:val="001F2D00"/>
    <w:rsid w:val="001F34A3"/>
    <w:rsid w:val="001F4214"/>
    <w:rsid w:val="001F4E43"/>
    <w:rsid w:val="001F5E46"/>
    <w:rsid w:val="001F779C"/>
    <w:rsid w:val="001F7984"/>
    <w:rsid w:val="001F7B2E"/>
    <w:rsid w:val="00200613"/>
    <w:rsid w:val="002024D6"/>
    <w:rsid w:val="00203182"/>
    <w:rsid w:val="00203A4A"/>
    <w:rsid w:val="00204146"/>
    <w:rsid w:val="0020437E"/>
    <w:rsid w:val="002122AA"/>
    <w:rsid w:val="00213392"/>
    <w:rsid w:val="002134B0"/>
    <w:rsid w:val="00214171"/>
    <w:rsid w:val="002147C0"/>
    <w:rsid w:val="0021591F"/>
    <w:rsid w:val="00215A8B"/>
    <w:rsid w:val="00215FCC"/>
    <w:rsid w:val="00216784"/>
    <w:rsid w:val="00216F12"/>
    <w:rsid w:val="00220272"/>
    <w:rsid w:val="0022440D"/>
    <w:rsid w:val="0022472C"/>
    <w:rsid w:val="0022509E"/>
    <w:rsid w:val="0022732E"/>
    <w:rsid w:val="002279B0"/>
    <w:rsid w:val="00230830"/>
    <w:rsid w:val="00230A71"/>
    <w:rsid w:val="00230B38"/>
    <w:rsid w:val="0023150D"/>
    <w:rsid w:val="00232EF1"/>
    <w:rsid w:val="00233791"/>
    <w:rsid w:val="002340CC"/>
    <w:rsid w:val="00234141"/>
    <w:rsid w:val="00234253"/>
    <w:rsid w:val="0023430C"/>
    <w:rsid w:val="00235CFE"/>
    <w:rsid w:val="00235F1F"/>
    <w:rsid w:val="00236A00"/>
    <w:rsid w:val="002402D4"/>
    <w:rsid w:val="00241364"/>
    <w:rsid w:val="0024247B"/>
    <w:rsid w:val="002428BB"/>
    <w:rsid w:val="002430BD"/>
    <w:rsid w:val="00244809"/>
    <w:rsid w:val="00245043"/>
    <w:rsid w:val="00245426"/>
    <w:rsid w:val="002457C3"/>
    <w:rsid w:val="00246821"/>
    <w:rsid w:val="00252C7F"/>
    <w:rsid w:val="00253171"/>
    <w:rsid w:val="002546F1"/>
    <w:rsid w:val="00254EC8"/>
    <w:rsid w:val="00257B6D"/>
    <w:rsid w:val="002603F2"/>
    <w:rsid w:val="002609AD"/>
    <w:rsid w:val="00260C5C"/>
    <w:rsid w:val="00263F55"/>
    <w:rsid w:val="00265A9E"/>
    <w:rsid w:val="00266BA3"/>
    <w:rsid w:val="00267056"/>
    <w:rsid w:val="00270D3A"/>
    <w:rsid w:val="00270E14"/>
    <w:rsid w:val="00272FFE"/>
    <w:rsid w:val="00273B4F"/>
    <w:rsid w:val="002740A7"/>
    <w:rsid w:val="002741BD"/>
    <w:rsid w:val="002762F6"/>
    <w:rsid w:val="002770A0"/>
    <w:rsid w:val="00277FF1"/>
    <w:rsid w:val="0028125A"/>
    <w:rsid w:val="0028145A"/>
    <w:rsid w:val="002819C8"/>
    <w:rsid w:val="00281A60"/>
    <w:rsid w:val="00282582"/>
    <w:rsid w:val="00283697"/>
    <w:rsid w:val="00284C82"/>
    <w:rsid w:val="00286570"/>
    <w:rsid w:val="0029008E"/>
    <w:rsid w:val="002920FA"/>
    <w:rsid w:val="00292670"/>
    <w:rsid w:val="0029274F"/>
    <w:rsid w:val="00293C45"/>
    <w:rsid w:val="002974D7"/>
    <w:rsid w:val="002A24EB"/>
    <w:rsid w:val="002A75EF"/>
    <w:rsid w:val="002A7CB9"/>
    <w:rsid w:val="002B1CCC"/>
    <w:rsid w:val="002B1D7D"/>
    <w:rsid w:val="002B2C1C"/>
    <w:rsid w:val="002B4346"/>
    <w:rsid w:val="002B4677"/>
    <w:rsid w:val="002B5A8F"/>
    <w:rsid w:val="002B752A"/>
    <w:rsid w:val="002B7771"/>
    <w:rsid w:val="002C0A89"/>
    <w:rsid w:val="002C1BAD"/>
    <w:rsid w:val="002C1F82"/>
    <w:rsid w:val="002C3E18"/>
    <w:rsid w:val="002C40AE"/>
    <w:rsid w:val="002C4272"/>
    <w:rsid w:val="002C4B35"/>
    <w:rsid w:val="002C646C"/>
    <w:rsid w:val="002C66FE"/>
    <w:rsid w:val="002C7295"/>
    <w:rsid w:val="002C77CB"/>
    <w:rsid w:val="002C78EC"/>
    <w:rsid w:val="002C7E48"/>
    <w:rsid w:val="002D046B"/>
    <w:rsid w:val="002D1696"/>
    <w:rsid w:val="002D1969"/>
    <w:rsid w:val="002D1F63"/>
    <w:rsid w:val="002D45C8"/>
    <w:rsid w:val="002D4630"/>
    <w:rsid w:val="002D51B3"/>
    <w:rsid w:val="002D6CFC"/>
    <w:rsid w:val="002D78ED"/>
    <w:rsid w:val="002E0809"/>
    <w:rsid w:val="002E0DE1"/>
    <w:rsid w:val="002E1F7E"/>
    <w:rsid w:val="002E2A62"/>
    <w:rsid w:val="002E69BE"/>
    <w:rsid w:val="002E6EF9"/>
    <w:rsid w:val="002E72EA"/>
    <w:rsid w:val="002E780D"/>
    <w:rsid w:val="002F15EF"/>
    <w:rsid w:val="002F265C"/>
    <w:rsid w:val="002F3B02"/>
    <w:rsid w:val="002F4271"/>
    <w:rsid w:val="00300663"/>
    <w:rsid w:val="0030158D"/>
    <w:rsid w:val="00301623"/>
    <w:rsid w:val="00302A12"/>
    <w:rsid w:val="00303A86"/>
    <w:rsid w:val="0030430D"/>
    <w:rsid w:val="0030437A"/>
    <w:rsid w:val="00305310"/>
    <w:rsid w:val="00305E7F"/>
    <w:rsid w:val="00306118"/>
    <w:rsid w:val="00306E43"/>
    <w:rsid w:val="00307DD4"/>
    <w:rsid w:val="00311C82"/>
    <w:rsid w:val="00312994"/>
    <w:rsid w:val="003130BF"/>
    <w:rsid w:val="003146F8"/>
    <w:rsid w:val="00314EA9"/>
    <w:rsid w:val="00315C27"/>
    <w:rsid w:val="00316CE6"/>
    <w:rsid w:val="003171CF"/>
    <w:rsid w:val="00320CAA"/>
    <w:rsid w:val="00323122"/>
    <w:rsid w:val="00323654"/>
    <w:rsid w:val="00325598"/>
    <w:rsid w:val="00327004"/>
    <w:rsid w:val="00327242"/>
    <w:rsid w:val="00327DD0"/>
    <w:rsid w:val="00330DC8"/>
    <w:rsid w:val="003334C3"/>
    <w:rsid w:val="00335D3C"/>
    <w:rsid w:val="0033783B"/>
    <w:rsid w:val="00337DBF"/>
    <w:rsid w:val="003413DE"/>
    <w:rsid w:val="00342A65"/>
    <w:rsid w:val="00342C30"/>
    <w:rsid w:val="00342FC4"/>
    <w:rsid w:val="00343248"/>
    <w:rsid w:val="0034474B"/>
    <w:rsid w:val="00344A00"/>
    <w:rsid w:val="00347538"/>
    <w:rsid w:val="003521F5"/>
    <w:rsid w:val="00353DB2"/>
    <w:rsid w:val="00354DE0"/>
    <w:rsid w:val="0035705F"/>
    <w:rsid w:val="00361544"/>
    <w:rsid w:val="003624E2"/>
    <w:rsid w:val="003636AD"/>
    <w:rsid w:val="00364434"/>
    <w:rsid w:val="00364FD7"/>
    <w:rsid w:val="003707CC"/>
    <w:rsid w:val="003723EF"/>
    <w:rsid w:val="003727C7"/>
    <w:rsid w:val="003732CF"/>
    <w:rsid w:val="003742A0"/>
    <w:rsid w:val="003760C4"/>
    <w:rsid w:val="0037743B"/>
    <w:rsid w:val="0037784E"/>
    <w:rsid w:val="003813E6"/>
    <w:rsid w:val="0038317B"/>
    <w:rsid w:val="00383735"/>
    <w:rsid w:val="003861EC"/>
    <w:rsid w:val="003867C2"/>
    <w:rsid w:val="00386C80"/>
    <w:rsid w:val="00387B7C"/>
    <w:rsid w:val="00387DEF"/>
    <w:rsid w:val="003908D9"/>
    <w:rsid w:val="003934D8"/>
    <w:rsid w:val="003964F2"/>
    <w:rsid w:val="003A7385"/>
    <w:rsid w:val="003A79BB"/>
    <w:rsid w:val="003B18BF"/>
    <w:rsid w:val="003B31A5"/>
    <w:rsid w:val="003B36BF"/>
    <w:rsid w:val="003B6C9A"/>
    <w:rsid w:val="003C10A6"/>
    <w:rsid w:val="003C11A1"/>
    <w:rsid w:val="003C3E36"/>
    <w:rsid w:val="003C43E3"/>
    <w:rsid w:val="003C4AC3"/>
    <w:rsid w:val="003C754B"/>
    <w:rsid w:val="003C7AEE"/>
    <w:rsid w:val="003D08F2"/>
    <w:rsid w:val="003D1681"/>
    <w:rsid w:val="003D1CA8"/>
    <w:rsid w:val="003D2760"/>
    <w:rsid w:val="003D2814"/>
    <w:rsid w:val="003D3C07"/>
    <w:rsid w:val="003D4537"/>
    <w:rsid w:val="003E04ED"/>
    <w:rsid w:val="003E1070"/>
    <w:rsid w:val="003E186C"/>
    <w:rsid w:val="003E390E"/>
    <w:rsid w:val="003E3DFD"/>
    <w:rsid w:val="003E447A"/>
    <w:rsid w:val="003E4A40"/>
    <w:rsid w:val="003E4FE3"/>
    <w:rsid w:val="003E5E12"/>
    <w:rsid w:val="003F40DA"/>
    <w:rsid w:val="003F618A"/>
    <w:rsid w:val="003F732D"/>
    <w:rsid w:val="003F7459"/>
    <w:rsid w:val="003F7EA0"/>
    <w:rsid w:val="0040027F"/>
    <w:rsid w:val="00400291"/>
    <w:rsid w:val="004006F8"/>
    <w:rsid w:val="00400934"/>
    <w:rsid w:val="00400AFF"/>
    <w:rsid w:val="00403206"/>
    <w:rsid w:val="0040621C"/>
    <w:rsid w:val="00407772"/>
    <w:rsid w:val="0041167F"/>
    <w:rsid w:val="00411E43"/>
    <w:rsid w:val="0041372D"/>
    <w:rsid w:val="00413BDE"/>
    <w:rsid w:val="00413FF4"/>
    <w:rsid w:val="00415158"/>
    <w:rsid w:val="00415998"/>
    <w:rsid w:val="0041646A"/>
    <w:rsid w:val="00417649"/>
    <w:rsid w:val="00420CC8"/>
    <w:rsid w:val="004217B6"/>
    <w:rsid w:val="00422DA1"/>
    <w:rsid w:val="00423BAA"/>
    <w:rsid w:val="00425B8E"/>
    <w:rsid w:val="00426AB6"/>
    <w:rsid w:val="00430D62"/>
    <w:rsid w:val="00432018"/>
    <w:rsid w:val="004335BD"/>
    <w:rsid w:val="00437546"/>
    <w:rsid w:val="00437FEB"/>
    <w:rsid w:val="0044100E"/>
    <w:rsid w:val="00443C49"/>
    <w:rsid w:val="00444B36"/>
    <w:rsid w:val="004460FF"/>
    <w:rsid w:val="0045162F"/>
    <w:rsid w:val="004604EC"/>
    <w:rsid w:val="00460F70"/>
    <w:rsid w:val="00461235"/>
    <w:rsid w:val="00463E15"/>
    <w:rsid w:val="004641BD"/>
    <w:rsid w:val="00467014"/>
    <w:rsid w:val="00467431"/>
    <w:rsid w:val="004707E2"/>
    <w:rsid w:val="0047146E"/>
    <w:rsid w:val="00472275"/>
    <w:rsid w:val="00472333"/>
    <w:rsid w:val="00473BA7"/>
    <w:rsid w:val="00473ED7"/>
    <w:rsid w:val="0047442C"/>
    <w:rsid w:val="00474830"/>
    <w:rsid w:val="00475126"/>
    <w:rsid w:val="00475735"/>
    <w:rsid w:val="00475C76"/>
    <w:rsid w:val="00477493"/>
    <w:rsid w:val="004775A3"/>
    <w:rsid w:val="0048053F"/>
    <w:rsid w:val="00480D27"/>
    <w:rsid w:val="00480F13"/>
    <w:rsid w:val="00481A96"/>
    <w:rsid w:val="004828B3"/>
    <w:rsid w:val="0048315A"/>
    <w:rsid w:val="004864E1"/>
    <w:rsid w:val="00486D5A"/>
    <w:rsid w:val="0048755A"/>
    <w:rsid w:val="00490643"/>
    <w:rsid w:val="004908C7"/>
    <w:rsid w:val="00491D33"/>
    <w:rsid w:val="00492973"/>
    <w:rsid w:val="00493CF1"/>
    <w:rsid w:val="00493F74"/>
    <w:rsid w:val="00494100"/>
    <w:rsid w:val="004946F1"/>
    <w:rsid w:val="00495508"/>
    <w:rsid w:val="004959BB"/>
    <w:rsid w:val="004974CE"/>
    <w:rsid w:val="004A019D"/>
    <w:rsid w:val="004A03C5"/>
    <w:rsid w:val="004A241F"/>
    <w:rsid w:val="004A438B"/>
    <w:rsid w:val="004A453C"/>
    <w:rsid w:val="004A6B3D"/>
    <w:rsid w:val="004A7221"/>
    <w:rsid w:val="004A738C"/>
    <w:rsid w:val="004A7798"/>
    <w:rsid w:val="004B0B53"/>
    <w:rsid w:val="004C1357"/>
    <w:rsid w:val="004C231D"/>
    <w:rsid w:val="004C255D"/>
    <w:rsid w:val="004C42D8"/>
    <w:rsid w:val="004C4813"/>
    <w:rsid w:val="004C4865"/>
    <w:rsid w:val="004C6A8F"/>
    <w:rsid w:val="004C7AD5"/>
    <w:rsid w:val="004D0AC3"/>
    <w:rsid w:val="004D0F29"/>
    <w:rsid w:val="004D1491"/>
    <w:rsid w:val="004D1548"/>
    <w:rsid w:val="004D335D"/>
    <w:rsid w:val="004D4675"/>
    <w:rsid w:val="004D4A35"/>
    <w:rsid w:val="004D511E"/>
    <w:rsid w:val="004D65DF"/>
    <w:rsid w:val="004D7826"/>
    <w:rsid w:val="004D7EE9"/>
    <w:rsid w:val="004E0F82"/>
    <w:rsid w:val="004E1B08"/>
    <w:rsid w:val="004E43B0"/>
    <w:rsid w:val="004E58A6"/>
    <w:rsid w:val="004F2446"/>
    <w:rsid w:val="004F2A79"/>
    <w:rsid w:val="004F5C53"/>
    <w:rsid w:val="004F6942"/>
    <w:rsid w:val="004F6E2F"/>
    <w:rsid w:val="005004BB"/>
    <w:rsid w:val="00503E92"/>
    <w:rsid w:val="005056EB"/>
    <w:rsid w:val="0050705B"/>
    <w:rsid w:val="0050790B"/>
    <w:rsid w:val="00510C96"/>
    <w:rsid w:val="00511F94"/>
    <w:rsid w:val="00512148"/>
    <w:rsid w:val="00512B79"/>
    <w:rsid w:val="0051367B"/>
    <w:rsid w:val="005137B7"/>
    <w:rsid w:val="00516141"/>
    <w:rsid w:val="00517F7D"/>
    <w:rsid w:val="00521201"/>
    <w:rsid w:val="0052151B"/>
    <w:rsid w:val="005223E2"/>
    <w:rsid w:val="005269D3"/>
    <w:rsid w:val="00532CF0"/>
    <w:rsid w:val="00534783"/>
    <w:rsid w:val="005354C0"/>
    <w:rsid w:val="00536684"/>
    <w:rsid w:val="00537728"/>
    <w:rsid w:val="00542152"/>
    <w:rsid w:val="00542F08"/>
    <w:rsid w:val="0054315A"/>
    <w:rsid w:val="0054374D"/>
    <w:rsid w:val="005440C0"/>
    <w:rsid w:val="005453AF"/>
    <w:rsid w:val="005461EC"/>
    <w:rsid w:val="00546984"/>
    <w:rsid w:val="00547D95"/>
    <w:rsid w:val="00547E8E"/>
    <w:rsid w:val="0055004B"/>
    <w:rsid w:val="00550A23"/>
    <w:rsid w:val="00550A4B"/>
    <w:rsid w:val="00550FEA"/>
    <w:rsid w:val="005522BE"/>
    <w:rsid w:val="005522CA"/>
    <w:rsid w:val="00555AFC"/>
    <w:rsid w:val="0055609F"/>
    <w:rsid w:val="00556737"/>
    <w:rsid w:val="00556934"/>
    <w:rsid w:val="00556EBF"/>
    <w:rsid w:val="005609C5"/>
    <w:rsid w:val="00560DBB"/>
    <w:rsid w:val="005629AC"/>
    <w:rsid w:val="0056313A"/>
    <w:rsid w:val="00563542"/>
    <w:rsid w:val="00566B7C"/>
    <w:rsid w:val="00570522"/>
    <w:rsid w:val="00570BCD"/>
    <w:rsid w:val="00572772"/>
    <w:rsid w:val="00572D85"/>
    <w:rsid w:val="005737F7"/>
    <w:rsid w:val="00573C2D"/>
    <w:rsid w:val="00573EEA"/>
    <w:rsid w:val="00574955"/>
    <w:rsid w:val="005756F4"/>
    <w:rsid w:val="0057682E"/>
    <w:rsid w:val="00582989"/>
    <w:rsid w:val="00585EF5"/>
    <w:rsid w:val="00587599"/>
    <w:rsid w:val="005876E7"/>
    <w:rsid w:val="00593748"/>
    <w:rsid w:val="0059590D"/>
    <w:rsid w:val="005959FD"/>
    <w:rsid w:val="00595F0B"/>
    <w:rsid w:val="005964DE"/>
    <w:rsid w:val="005A028F"/>
    <w:rsid w:val="005A0E97"/>
    <w:rsid w:val="005A0EAB"/>
    <w:rsid w:val="005A19DC"/>
    <w:rsid w:val="005A4F06"/>
    <w:rsid w:val="005B0062"/>
    <w:rsid w:val="005B11AA"/>
    <w:rsid w:val="005B3E9A"/>
    <w:rsid w:val="005B4302"/>
    <w:rsid w:val="005B4FBF"/>
    <w:rsid w:val="005B7C15"/>
    <w:rsid w:val="005C04C0"/>
    <w:rsid w:val="005C077A"/>
    <w:rsid w:val="005C0E4D"/>
    <w:rsid w:val="005C4C2B"/>
    <w:rsid w:val="005C569E"/>
    <w:rsid w:val="005C593D"/>
    <w:rsid w:val="005C5D9E"/>
    <w:rsid w:val="005C6417"/>
    <w:rsid w:val="005C68F9"/>
    <w:rsid w:val="005C72F6"/>
    <w:rsid w:val="005D0215"/>
    <w:rsid w:val="005D15E5"/>
    <w:rsid w:val="005D2004"/>
    <w:rsid w:val="005D2840"/>
    <w:rsid w:val="005D7A22"/>
    <w:rsid w:val="005E07F5"/>
    <w:rsid w:val="005E0FAA"/>
    <w:rsid w:val="005E391C"/>
    <w:rsid w:val="005E3A8C"/>
    <w:rsid w:val="005E4697"/>
    <w:rsid w:val="005E690E"/>
    <w:rsid w:val="005F2149"/>
    <w:rsid w:val="005F476A"/>
    <w:rsid w:val="005F626E"/>
    <w:rsid w:val="005F7AB9"/>
    <w:rsid w:val="00600629"/>
    <w:rsid w:val="006009F9"/>
    <w:rsid w:val="00601502"/>
    <w:rsid w:val="00601842"/>
    <w:rsid w:val="00603C1E"/>
    <w:rsid w:val="00604165"/>
    <w:rsid w:val="0060626A"/>
    <w:rsid w:val="00606621"/>
    <w:rsid w:val="0060740D"/>
    <w:rsid w:val="006120CE"/>
    <w:rsid w:val="006137EB"/>
    <w:rsid w:val="00616244"/>
    <w:rsid w:val="00620F0E"/>
    <w:rsid w:val="00622503"/>
    <w:rsid w:val="006228F2"/>
    <w:rsid w:val="00624CAA"/>
    <w:rsid w:val="00625A5A"/>
    <w:rsid w:val="00625B78"/>
    <w:rsid w:val="00627679"/>
    <w:rsid w:val="00630E9A"/>
    <w:rsid w:val="00632271"/>
    <w:rsid w:val="00634241"/>
    <w:rsid w:val="006347B1"/>
    <w:rsid w:val="00634F33"/>
    <w:rsid w:val="0063518A"/>
    <w:rsid w:val="006354D9"/>
    <w:rsid w:val="006359D6"/>
    <w:rsid w:val="00635A5A"/>
    <w:rsid w:val="006366CA"/>
    <w:rsid w:val="00643BA6"/>
    <w:rsid w:val="00643F22"/>
    <w:rsid w:val="00644593"/>
    <w:rsid w:val="00644615"/>
    <w:rsid w:val="00644DB9"/>
    <w:rsid w:val="00646A8B"/>
    <w:rsid w:val="00653608"/>
    <w:rsid w:val="00655083"/>
    <w:rsid w:val="0065674E"/>
    <w:rsid w:val="00656FDA"/>
    <w:rsid w:val="00660232"/>
    <w:rsid w:val="006604C7"/>
    <w:rsid w:val="00663126"/>
    <w:rsid w:val="00663636"/>
    <w:rsid w:val="0066748B"/>
    <w:rsid w:val="00671AAB"/>
    <w:rsid w:val="00673A12"/>
    <w:rsid w:val="00674190"/>
    <w:rsid w:val="006743FD"/>
    <w:rsid w:val="00674855"/>
    <w:rsid w:val="00674ABE"/>
    <w:rsid w:val="006760E5"/>
    <w:rsid w:val="00676FE6"/>
    <w:rsid w:val="006803FB"/>
    <w:rsid w:val="00680A82"/>
    <w:rsid w:val="00681A1C"/>
    <w:rsid w:val="006828D7"/>
    <w:rsid w:val="00684BAC"/>
    <w:rsid w:val="00685556"/>
    <w:rsid w:val="00687AC1"/>
    <w:rsid w:val="006910EE"/>
    <w:rsid w:val="006913C2"/>
    <w:rsid w:val="006922CF"/>
    <w:rsid w:val="006949B5"/>
    <w:rsid w:val="00696D76"/>
    <w:rsid w:val="006977A6"/>
    <w:rsid w:val="00697875"/>
    <w:rsid w:val="006A1681"/>
    <w:rsid w:val="006A1D08"/>
    <w:rsid w:val="006A208B"/>
    <w:rsid w:val="006A2435"/>
    <w:rsid w:val="006A25D1"/>
    <w:rsid w:val="006A2950"/>
    <w:rsid w:val="006A3705"/>
    <w:rsid w:val="006A5D0E"/>
    <w:rsid w:val="006A6456"/>
    <w:rsid w:val="006A6D0A"/>
    <w:rsid w:val="006A6EAA"/>
    <w:rsid w:val="006A73C0"/>
    <w:rsid w:val="006B0261"/>
    <w:rsid w:val="006B0ED0"/>
    <w:rsid w:val="006B140F"/>
    <w:rsid w:val="006B273F"/>
    <w:rsid w:val="006B3160"/>
    <w:rsid w:val="006B3705"/>
    <w:rsid w:val="006B4663"/>
    <w:rsid w:val="006B4EA6"/>
    <w:rsid w:val="006B4F45"/>
    <w:rsid w:val="006B6036"/>
    <w:rsid w:val="006C0F38"/>
    <w:rsid w:val="006C22EC"/>
    <w:rsid w:val="006C2F0A"/>
    <w:rsid w:val="006C3AE4"/>
    <w:rsid w:val="006C40D1"/>
    <w:rsid w:val="006C4218"/>
    <w:rsid w:val="006C4E65"/>
    <w:rsid w:val="006C4F04"/>
    <w:rsid w:val="006C72A2"/>
    <w:rsid w:val="006C78A3"/>
    <w:rsid w:val="006D002D"/>
    <w:rsid w:val="006D0366"/>
    <w:rsid w:val="006D2CD1"/>
    <w:rsid w:val="006D2E08"/>
    <w:rsid w:val="006D3975"/>
    <w:rsid w:val="006D645D"/>
    <w:rsid w:val="006D72FD"/>
    <w:rsid w:val="006E0A6A"/>
    <w:rsid w:val="006E10C1"/>
    <w:rsid w:val="006E1490"/>
    <w:rsid w:val="006E4F1E"/>
    <w:rsid w:val="006E5116"/>
    <w:rsid w:val="006F09B3"/>
    <w:rsid w:val="006F3E73"/>
    <w:rsid w:val="006F4269"/>
    <w:rsid w:val="006F4AE2"/>
    <w:rsid w:val="006F6670"/>
    <w:rsid w:val="00700011"/>
    <w:rsid w:val="00701E96"/>
    <w:rsid w:val="007024FC"/>
    <w:rsid w:val="00703825"/>
    <w:rsid w:val="007052A6"/>
    <w:rsid w:val="00705D32"/>
    <w:rsid w:val="0071120A"/>
    <w:rsid w:val="00711D27"/>
    <w:rsid w:val="00712222"/>
    <w:rsid w:val="007123E3"/>
    <w:rsid w:val="00712AF7"/>
    <w:rsid w:val="00712E4D"/>
    <w:rsid w:val="0071358B"/>
    <w:rsid w:val="0071362B"/>
    <w:rsid w:val="00717043"/>
    <w:rsid w:val="007178E6"/>
    <w:rsid w:val="00717B8D"/>
    <w:rsid w:val="00722A15"/>
    <w:rsid w:val="007231B6"/>
    <w:rsid w:val="007234EF"/>
    <w:rsid w:val="00723A16"/>
    <w:rsid w:val="00723CB7"/>
    <w:rsid w:val="00724066"/>
    <w:rsid w:val="0072559F"/>
    <w:rsid w:val="00725883"/>
    <w:rsid w:val="00726C95"/>
    <w:rsid w:val="007318FE"/>
    <w:rsid w:val="00732650"/>
    <w:rsid w:val="0073521B"/>
    <w:rsid w:val="00737061"/>
    <w:rsid w:val="007422B0"/>
    <w:rsid w:val="0074599F"/>
    <w:rsid w:val="00746042"/>
    <w:rsid w:val="00746F17"/>
    <w:rsid w:val="00752BBC"/>
    <w:rsid w:val="007545F9"/>
    <w:rsid w:val="00754A06"/>
    <w:rsid w:val="007570F6"/>
    <w:rsid w:val="007577F1"/>
    <w:rsid w:val="00757D02"/>
    <w:rsid w:val="00760E09"/>
    <w:rsid w:val="007630BE"/>
    <w:rsid w:val="00763B21"/>
    <w:rsid w:val="00764F90"/>
    <w:rsid w:val="00766D63"/>
    <w:rsid w:val="0076789C"/>
    <w:rsid w:val="00767EF6"/>
    <w:rsid w:val="00770E82"/>
    <w:rsid w:val="00772011"/>
    <w:rsid w:val="00773C8E"/>
    <w:rsid w:val="00774180"/>
    <w:rsid w:val="0077426B"/>
    <w:rsid w:val="007743C5"/>
    <w:rsid w:val="007752B1"/>
    <w:rsid w:val="007753C4"/>
    <w:rsid w:val="00775B25"/>
    <w:rsid w:val="00776618"/>
    <w:rsid w:val="007769E5"/>
    <w:rsid w:val="00780341"/>
    <w:rsid w:val="0078040F"/>
    <w:rsid w:val="00781E9F"/>
    <w:rsid w:val="00782D9E"/>
    <w:rsid w:val="00783BE1"/>
    <w:rsid w:val="00784008"/>
    <w:rsid w:val="0078584D"/>
    <w:rsid w:val="00785A24"/>
    <w:rsid w:val="00785EB9"/>
    <w:rsid w:val="007866B2"/>
    <w:rsid w:val="007905F8"/>
    <w:rsid w:val="00790710"/>
    <w:rsid w:val="00793599"/>
    <w:rsid w:val="007935AD"/>
    <w:rsid w:val="007939B0"/>
    <w:rsid w:val="007A12B7"/>
    <w:rsid w:val="007A173C"/>
    <w:rsid w:val="007A2F38"/>
    <w:rsid w:val="007A3C07"/>
    <w:rsid w:val="007A4177"/>
    <w:rsid w:val="007A6D86"/>
    <w:rsid w:val="007B1B64"/>
    <w:rsid w:val="007B276B"/>
    <w:rsid w:val="007B2E74"/>
    <w:rsid w:val="007B302E"/>
    <w:rsid w:val="007B3656"/>
    <w:rsid w:val="007B4234"/>
    <w:rsid w:val="007B6F12"/>
    <w:rsid w:val="007B7681"/>
    <w:rsid w:val="007C09EC"/>
    <w:rsid w:val="007C1A10"/>
    <w:rsid w:val="007C1FE6"/>
    <w:rsid w:val="007C2A40"/>
    <w:rsid w:val="007C3084"/>
    <w:rsid w:val="007C3827"/>
    <w:rsid w:val="007C4006"/>
    <w:rsid w:val="007C5A0A"/>
    <w:rsid w:val="007C5DC6"/>
    <w:rsid w:val="007C6447"/>
    <w:rsid w:val="007D3CAA"/>
    <w:rsid w:val="007D5C05"/>
    <w:rsid w:val="007D5DDE"/>
    <w:rsid w:val="007D60D8"/>
    <w:rsid w:val="007D6F74"/>
    <w:rsid w:val="007E0ABB"/>
    <w:rsid w:val="007E0F3D"/>
    <w:rsid w:val="007E3CB5"/>
    <w:rsid w:val="007E4C95"/>
    <w:rsid w:val="007E53D9"/>
    <w:rsid w:val="007E7FF2"/>
    <w:rsid w:val="007F3444"/>
    <w:rsid w:val="007F41D6"/>
    <w:rsid w:val="007F47E6"/>
    <w:rsid w:val="007F4887"/>
    <w:rsid w:val="007F5E40"/>
    <w:rsid w:val="007F5FE6"/>
    <w:rsid w:val="007F6341"/>
    <w:rsid w:val="007F73C2"/>
    <w:rsid w:val="007F76CD"/>
    <w:rsid w:val="007F7FEE"/>
    <w:rsid w:val="0080040C"/>
    <w:rsid w:val="00800A95"/>
    <w:rsid w:val="00801711"/>
    <w:rsid w:val="00802718"/>
    <w:rsid w:val="0080324C"/>
    <w:rsid w:val="00803F1F"/>
    <w:rsid w:val="00804996"/>
    <w:rsid w:val="00805278"/>
    <w:rsid w:val="00812BA4"/>
    <w:rsid w:val="00813606"/>
    <w:rsid w:val="00813D6F"/>
    <w:rsid w:val="00815FF9"/>
    <w:rsid w:val="0081688E"/>
    <w:rsid w:val="0082068C"/>
    <w:rsid w:val="008212D4"/>
    <w:rsid w:val="00821AC6"/>
    <w:rsid w:val="00822027"/>
    <w:rsid w:val="00822364"/>
    <w:rsid w:val="00824D22"/>
    <w:rsid w:val="00831688"/>
    <w:rsid w:val="00832A01"/>
    <w:rsid w:val="00834397"/>
    <w:rsid w:val="00834477"/>
    <w:rsid w:val="008427C4"/>
    <w:rsid w:val="00844E47"/>
    <w:rsid w:val="008467B0"/>
    <w:rsid w:val="00850EB7"/>
    <w:rsid w:val="008518E3"/>
    <w:rsid w:val="00851E3D"/>
    <w:rsid w:val="00854622"/>
    <w:rsid w:val="00854BE1"/>
    <w:rsid w:val="00857E4E"/>
    <w:rsid w:val="00860875"/>
    <w:rsid w:val="00860AA6"/>
    <w:rsid w:val="00865326"/>
    <w:rsid w:val="0086558D"/>
    <w:rsid w:val="00866E69"/>
    <w:rsid w:val="00870C34"/>
    <w:rsid w:val="00870C96"/>
    <w:rsid w:val="008723CB"/>
    <w:rsid w:val="008727C8"/>
    <w:rsid w:val="008741BE"/>
    <w:rsid w:val="00877344"/>
    <w:rsid w:val="00877AF3"/>
    <w:rsid w:val="00880456"/>
    <w:rsid w:val="00882818"/>
    <w:rsid w:val="0088323B"/>
    <w:rsid w:val="00883F2D"/>
    <w:rsid w:val="00886937"/>
    <w:rsid w:val="00890ADA"/>
    <w:rsid w:val="008916E4"/>
    <w:rsid w:val="00891E9E"/>
    <w:rsid w:val="00892B17"/>
    <w:rsid w:val="0089309C"/>
    <w:rsid w:val="008930A0"/>
    <w:rsid w:val="0089505B"/>
    <w:rsid w:val="008952D6"/>
    <w:rsid w:val="00896800"/>
    <w:rsid w:val="008976C3"/>
    <w:rsid w:val="008A19FD"/>
    <w:rsid w:val="008A688C"/>
    <w:rsid w:val="008A69DE"/>
    <w:rsid w:val="008B07B9"/>
    <w:rsid w:val="008B119C"/>
    <w:rsid w:val="008B395D"/>
    <w:rsid w:val="008B4042"/>
    <w:rsid w:val="008B4844"/>
    <w:rsid w:val="008B4AB4"/>
    <w:rsid w:val="008B5278"/>
    <w:rsid w:val="008B5F5A"/>
    <w:rsid w:val="008B6A05"/>
    <w:rsid w:val="008B7E83"/>
    <w:rsid w:val="008C01E1"/>
    <w:rsid w:val="008C1DE7"/>
    <w:rsid w:val="008C26FB"/>
    <w:rsid w:val="008C273B"/>
    <w:rsid w:val="008C2E13"/>
    <w:rsid w:val="008C3E42"/>
    <w:rsid w:val="008D004E"/>
    <w:rsid w:val="008D1456"/>
    <w:rsid w:val="008D3556"/>
    <w:rsid w:val="008D42D4"/>
    <w:rsid w:val="008D4CA8"/>
    <w:rsid w:val="008E0C55"/>
    <w:rsid w:val="008E1AE1"/>
    <w:rsid w:val="008E2745"/>
    <w:rsid w:val="008E2761"/>
    <w:rsid w:val="008E34C1"/>
    <w:rsid w:val="008E39F1"/>
    <w:rsid w:val="008E6180"/>
    <w:rsid w:val="008F036F"/>
    <w:rsid w:val="008F157F"/>
    <w:rsid w:val="00900EAE"/>
    <w:rsid w:val="00901BD9"/>
    <w:rsid w:val="00901E64"/>
    <w:rsid w:val="00901F2D"/>
    <w:rsid w:val="009022EC"/>
    <w:rsid w:val="009029AA"/>
    <w:rsid w:val="009039B7"/>
    <w:rsid w:val="00904014"/>
    <w:rsid w:val="009052D1"/>
    <w:rsid w:val="00906BFE"/>
    <w:rsid w:val="00906DB8"/>
    <w:rsid w:val="00906F61"/>
    <w:rsid w:val="00907041"/>
    <w:rsid w:val="0090796B"/>
    <w:rsid w:val="009104FB"/>
    <w:rsid w:val="0091063E"/>
    <w:rsid w:val="009136D1"/>
    <w:rsid w:val="00914420"/>
    <w:rsid w:val="009158DD"/>
    <w:rsid w:val="00917C0C"/>
    <w:rsid w:val="00920E61"/>
    <w:rsid w:val="00922B38"/>
    <w:rsid w:val="00923CA3"/>
    <w:rsid w:val="00926893"/>
    <w:rsid w:val="0093212D"/>
    <w:rsid w:val="00935FEE"/>
    <w:rsid w:val="0093783B"/>
    <w:rsid w:val="00940615"/>
    <w:rsid w:val="00943105"/>
    <w:rsid w:val="00943340"/>
    <w:rsid w:val="00944D6C"/>
    <w:rsid w:val="009459A9"/>
    <w:rsid w:val="0095040D"/>
    <w:rsid w:val="00950581"/>
    <w:rsid w:val="0095089B"/>
    <w:rsid w:val="009508E5"/>
    <w:rsid w:val="00950AE6"/>
    <w:rsid w:val="0095200E"/>
    <w:rsid w:val="009536A0"/>
    <w:rsid w:val="00955C4B"/>
    <w:rsid w:val="00957FA7"/>
    <w:rsid w:val="00960431"/>
    <w:rsid w:val="00962654"/>
    <w:rsid w:val="00962F03"/>
    <w:rsid w:val="00967197"/>
    <w:rsid w:val="009678F9"/>
    <w:rsid w:val="00972B49"/>
    <w:rsid w:val="00974389"/>
    <w:rsid w:val="0097459C"/>
    <w:rsid w:val="00974FF4"/>
    <w:rsid w:val="009758C4"/>
    <w:rsid w:val="00976A14"/>
    <w:rsid w:val="00977BA8"/>
    <w:rsid w:val="0098067F"/>
    <w:rsid w:val="0098103A"/>
    <w:rsid w:val="009828DC"/>
    <w:rsid w:val="00984672"/>
    <w:rsid w:val="0098549D"/>
    <w:rsid w:val="0098555D"/>
    <w:rsid w:val="00986409"/>
    <w:rsid w:val="00986F6B"/>
    <w:rsid w:val="0098775F"/>
    <w:rsid w:val="00987D0D"/>
    <w:rsid w:val="00993F2D"/>
    <w:rsid w:val="00997BE7"/>
    <w:rsid w:val="00997BF8"/>
    <w:rsid w:val="009A2448"/>
    <w:rsid w:val="009A2B87"/>
    <w:rsid w:val="009A5CB1"/>
    <w:rsid w:val="009B0939"/>
    <w:rsid w:val="009B5454"/>
    <w:rsid w:val="009B5A79"/>
    <w:rsid w:val="009B7EEB"/>
    <w:rsid w:val="009B7FC2"/>
    <w:rsid w:val="009C113E"/>
    <w:rsid w:val="009C1601"/>
    <w:rsid w:val="009C1CC2"/>
    <w:rsid w:val="009C415B"/>
    <w:rsid w:val="009C590C"/>
    <w:rsid w:val="009D2586"/>
    <w:rsid w:val="009D25EB"/>
    <w:rsid w:val="009D2D3C"/>
    <w:rsid w:val="009D3327"/>
    <w:rsid w:val="009D4A0D"/>
    <w:rsid w:val="009D7895"/>
    <w:rsid w:val="009E039F"/>
    <w:rsid w:val="009E228B"/>
    <w:rsid w:val="009E27B7"/>
    <w:rsid w:val="009E3C08"/>
    <w:rsid w:val="009E57C9"/>
    <w:rsid w:val="009E66A1"/>
    <w:rsid w:val="009E6ED7"/>
    <w:rsid w:val="009E6FE0"/>
    <w:rsid w:val="009E73FE"/>
    <w:rsid w:val="009F0463"/>
    <w:rsid w:val="009F0E63"/>
    <w:rsid w:val="009F1D77"/>
    <w:rsid w:val="009F29EA"/>
    <w:rsid w:val="009F5A8F"/>
    <w:rsid w:val="009F5EAF"/>
    <w:rsid w:val="009F67A4"/>
    <w:rsid w:val="009F6B65"/>
    <w:rsid w:val="009F7655"/>
    <w:rsid w:val="009F7E30"/>
    <w:rsid w:val="00A0089E"/>
    <w:rsid w:val="00A00EAE"/>
    <w:rsid w:val="00A01FD2"/>
    <w:rsid w:val="00A02D2F"/>
    <w:rsid w:val="00A033B7"/>
    <w:rsid w:val="00A03D7F"/>
    <w:rsid w:val="00A04433"/>
    <w:rsid w:val="00A0637A"/>
    <w:rsid w:val="00A10B0D"/>
    <w:rsid w:val="00A10D47"/>
    <w:rsid w:val="00A147CD"/>
    <w:rsid w:val="00A15879"/>
    <w:rsid w:val="00A1605B"/>
    <w:rsid w:val="00A20F51"/>
    <w:rsid w:val="00A22AB9"/>
    <w:rsid w:val="00A23079"/>
    <w:rsid w:val="00A24314"/>
    <w:rsid w:val="00A25E16"/>
    <w:rsid w:val="00A262DA"/>
    <w:rsid w:val="00A26FC4"/>
    <w:rsid w:val="00A3005D"/>
    <w:rsid w:val="00A315D3"/>
    <w:rsid w:val="00A31887"/>
    <w:rsid w:val="00A32CCF"/>
    <w:rsid w:val="00A3396D"/>
    <w:rsid w:val="00A34EE8"/>
    <w:rsid w:val="00A3583B"/>
    <w:rsid w:val="00A375D1"/>
    <w:rsid w:val="00A40BB9"/>
    <w:rsid w:val="00A433B1"/>
    <w:rsid w:val="00A43B21"/>
    <w:rsid w:val="00A51050"/>
    <w:rsid w:val="00A512D3"/>
    <w:rsid w:val="00A52EC1"/>
    <w:rsid w:val="00A5446A"/>
    <w:rsid w:val="00A563D1"/>
    <w:rsid w:val="00A5663A"/>
    <w:rsid w:val="00A56C0A"/>
    <w:rsid w:val="00A5722F"/>
    <w:rsid w:val="00A57CA6"/>
    <w:rsid w:val="00A608EB"/>
    <w:rsid w:val="00A609EC"/>
    <w:rsid w:val="00A62422"/>
    <w:rsid w:val="00A632ED"/>
    <w:rsid w:val="00A63C3B"/>
    <w:rsid w:val="00A64B70"/>
    <w:rsid w:val="00A6601F"/>
    <w:rsid w:val="00A6648D"/>
    <w:rsid w:val="00A70D4A"/>
    <w:rsid w:val="00A73A1E"/>
    <w:rsid w:val="00A74F9C"/>
    <w:rsid w:val="00A75124"/>
    <w:rsid w:val="00A774BC"/>
    <w:rsid w:val="00A77BD6"/>
    <w:rsid w:val="00A81005"/>
    <w:rsid w:val="00A816DD"/>
    <w:rsid w:val="00A82573"/>
    <w:rsid w:val="00A82DE6"/>
    <w:rsid w:val="00A83941"/>
    <w:rsid w:val="00A84CC5"/>
    <w:rsid w:val="00A85367"/>
    <w:rsid w:val="00A867E2"/>
    <w:rsid w:val="00A86B30"/>
    <w:rsid w:val="00A87D6A"/>
    <w:rsid w:val="00A902A8"/>
    <w:rsid w:val="00A9157F"/>
    <w:rsid w:val="00A91F0D"/>
    <w:rsid w:val="00A9311D"/>
    <w:rsid w:val="00A93125"/>
    <w:rsid w:val="00A957C4"/>
    <w:rsid w:val="00AA045B"/>
    <w:rsid w:val="00AA1CAE"/>
    <w:rsid w:val="00AA1F91"/>
    <w:rsid w:val="00AA23FC"/>
    <w:rsid w:val="00AA3280"/>
    <w:rsid w:val="00AA5933"/>
    <w:rsid w:val="00AA5CEB"/>
    <w:rsid w:val="00AA5F1C"/>
    <w:rsid w:val="00AA75D4"/>
    <w:rsid w:val="00AB0589"/>
    <w:rsid w:val="00AB13E8"/>
    <w:rsid w:val="00AB1CBE"/>
    <w:rsid w:val="00AB28C6"/>
    <w:rsid w:val="00AB3534"/>
    <w:rsid w:val="00AB6E78"/>
    <w:rsid w:val="00AB7BC2"/>
    <w:rsid w:val="00AC1908"/>
    <w:rsid w:val="00AC2518"/>
    <w:rsid w:val="00AC5D58"/>
    <w:rsid w:val="00AC673D"/>
    <w:rsid w:val="00AC7E3B"/>
    <w:rsid w:val="00AD0A48"/>
    <w:rsid w:val="00AD1CC9"/>
    <w:rsid w:val="00AD2129"/>
    <w:rsid w:val="00AD2672"/>
    <w:rsid w:val="00AD4446"/>
    <w:rsid w:val="00AD6178"/>
    <w:rsid w:val="00AE1B0C"/>
    <w:rsid w:val="00AE1FE8"/>
    <w:rsid w:val="00AE3112"/>
    <w:rsid w:val="00AE3D5F"/>
    <w:rsid w:val="00AE7552"/>
    <w:rsid w:val="00AF05AD"/>
    <w:rsid w:val="00AF1BF8"/>
    <w:rsid w:val="00AF2719"/>
    <w:rsid w:val="00AF310F"/>
    <w:rsid w:val="00AF4A79"/>
    <w:rsid w:val="00AF500B"/>
    <w:rsid w:val="00AF59DB"/>
    <w:rsid w:val="00AF5FA3"/>
    <w:rsid w:val="00AF62B2"/>
    <w:rsid w:val="00AF679B"/>
    <w:rsid w:val="00AF7F65"/>
    <w:rsid w:val="00B014BF"/>
    <w:rsid w:val="00B0500C"/>
    <w:rsid w:val="00B11AB0"/>
    <w:rsid w:val="00B12BC6"/>
    <w:rsid w:val="00B12CE4"/>
    <w:rsid w:val="00B12D51"/>
    <w:rsid w:val="00B1473D"/>
    <w:rsid w:val="00B171FE"/>
    <w:rsid w:val="00B17393"/>
    <w:rsid w:val="00B202E3"/>
    <w:rsid w:val="00B20E71"/>
    <w:rsid w:val="00B225CE"/>
    <w:rsid w:val="00B226BD"/>
    <w:rsid w:val="00B26138"/>
    <w:rsid w:val="00B27B77"/>
    <w:rsid w:val="00B31133"/>
    <w:rsid w:val="00B31298"/>
    <w:rsid w:val="00B33CB5"/>
    <w:rsid w:val="00B34476"/>
    <w:rsid w:val="00B358C3"/>
    <w:rsid w:val="00B35CDD"/>
    <w:rsid w:val="00B36576"/>
    <w:rsid w:val="00B36850"/>
    <w:rsid w:val="00B372A8"/>
    <w:rsid w:val="00B3761D"/>
    <w:rsid w:val="00B40AAD"/>
    <w:rsid w:val="00B425D0"/>
    <w:rsid w:val="00B427A6"/>
    <w:rsid w:val="00B42A55"/>
    <w:rsid w:val="00B42F58"/>
    <w:rsid w:val="00B46671"/>
    <w:rsid w:val="00B504A6"/>
    <w:rsid w:val="00B510F4"/>
    <w:rsid w:val="00B517E3"/>
    <w:rsid w:val="00B543E2"/>
    <w:rsid w:val="00B549EC"/>
    <w:rsid w:val="00B54E25"/>
    <w:rsid w:val="00B55307"/>
    <w:rsid w:val="00B56FDB"/>
    <w:rsid w:val="00B573C1"/>
    <w:rsid w:val="00B603C6"/>
    <w:rsid w:val="00B606ED"/>
    <w:rsid w:val="00B6642F"/>
    <w:rsid w:val="00B66D08"/>
    <w:rsid w:val="00B70189"/>
    <w:rsid w:val="00B744FB"/>
    <w:rsid w:val="00B76790"/>
    <w:rsid w:val="00B77413"/>
    <w:rsid w:val="00B7795C"/>
    <w:rsid w:val="00B81557"/>
    <w:rsid w:val="00B83660"/>
    <w:rsid w:val="00B86D7C"/>
    <w:rsid w:val="00B8778A"/>
    <w:rsid w:val="00B87909"/>
    <w:rsid w:val="00B87C81"/>
    <w:rsid w:val="00B90324"/>
    <w:rsid w:val="00B90701"/>
    <w:rsid w:val="00B908E0"/>
    <w:rsid w:val="00B916BB"/>
    <w:rsid w:val="00B918A8"/>
    <w:rsid w:val="00B9344B"/>
    <w:rsid w:val="00B95E22"/>
    <w:rsid w:val="00B968F8"/>
    <w:rsid w:val="00B97816"/>
    <w:rsid w:val="00BA05BE"/>
    <w:rsid w:val="00BA0AEB"/>
    <w:rsid w:val="00BA0E2B"/>
    <w:rsid w:val="00BA24A7"/>
    <w:rsid w:val="00BA3D61"/>
    <w:rsid w:val="00BA4724"/>
    <w:rsid w:val="00BA5047"/>
    <w:rsid w:val="00BA7296"/>
    <w:rsid w:val="00BA7A78"/>
    <w:rsid w:val="00BB3AFA"/>
    <w:rsid w:val="00BB3FC6"/>
    <w:rsid w:val="00BB422B"/>
    <w:rsid w:val="00BB589D"/>
    <w:rsid w:val="00BB6891"/>
    <w:rsid w:val="00BC0EE8"/>
    <w:rsid w:val="00BC1336"/>
    <w:rsid w:val="00BC1D91"/>
    <w:rsid w:val="00BC47D1"/>
    <w:rsid w:val="00BC6495"/>
    <w:rsid w:val="00BC678F"/>
    <w:rsid w:val="00BD17DF"/>
    <w:rsid w:val="00BD3131"/>
    <w:rsid w:val="00BD42D6"/>
    <w:rsid w:val="00BD7718"/>
    <w:rsid w:val="00BD7922"/>
    <w:rsid w:val="00BD7B8F"/>
    <w:rsid w:val="00BE0501"/>
    <w:rsid w:val="00BE32D0"/>
    <w:rsid w:val="00BE391D"/>
    <w:rsid w:val="00BE3C6A"/>
    <w:rsid w:val="00BE6E33"/>
    <w:rsid w:val="00BF02AC"/>
    <w:rsid w:val="00BF22FA"/>
    <w:rsid w:val="00BF2806"/>
    <w:rsid w:val="00BF3319"/>
    <w:rsid w:val="00BF3396"/>
    <w:rsid w:val="00BF3F75"/>
    <w:rsid w:val="00BF53A6"/>
    <w:rsid w:val="00BF6722"/>
    <w:rsid w:val="00BF7505"/>
    <w:rsid w:val="00BF757D"/>
    <w:rsid w:val="00BF7F90"/>
    <w:rsid w:val="00C00435"/>
    <w:rsid w:val="00C00DC7"/>
    <w:rsid w:val="00C026C8"/>
    <w:rsid w:val="00C03BC3"/>
    <w:rsid w:val="00C0556F"/>
    <w:rsid w:val="00C06E79"/>
    <w:rsid w:val="00C07012"/>
    <w:rsid w:val="00C079F0"/>
    <w:rsid w:val="00C136F8"/>
    <w:rsid w:val="00C140F3"/>
    <w:rsid w:val="00C1594D"/>
    <w:rsid w:val="00C178BC"/>
    <w:rsid w:val="00C21130"/>
    <w:rsid w:val="00C2143D"/>
    <w:rsid w:val="00C23BF5"/>
    <w:rsid w:val="00C23D36"/>
    <w:rsid w:val="00C247FF"/>
    <w:rsid w:val="00C24C73"/>
    <w:rsid w:val="00C24D1E"/>
    <w:rsid w:val="00C2509A"/>
    <w:rsid w:val="00C25BF1"/>
    <w:rsid w:val="00C25EF3"/>
    <w:rsid w:val="00C27D3B"/>
    <w:rsid w:val="00C30F49"/>
    <w:rsid w:val="00C314D3"/>
    <w:rsid w:val="00C31A63"/>
    <w:rsid w:val="00C322A4"/>
    <w:rsid w:val="00C32751"/>
    <w:rsid w:val="00C32D98"/>
    <w:rsid w:val="00C34D9C"/>
    <w:rsid w:val="00C351C5"/>
    <w:rsid w:val="00C35973"/>
    <w:rsid w:val="00C37783"/>
    <w:rsid w:val="00C405F8"/>
    <w:rsid w:val="00C40B38"/>
    <w:rsid w:val="00C4204D"/>
    <w:rsid w:val="00C438AE"/>
    <w:rsid w:val="00C4410D"/>
    <w:rsid w:val="00C44447"/>
    <w:rsid w:val="00C4776C"/>
    <w:rsid w:val="00C507AE"/>
    <w:rsid w:val="00C50C58"/>
    <w:rsid w:val="00C52558"/>
    <w:rsid w:val="00C52BD6"/>
    <w:rsid w:val="00C548B9"/>
    <w:rsid w:val="00C54D47"/>
    <w:rsid w:val="00C554DF"/>
    <w:rsid w:val="00C55775"/>
    <w:rsid w:val="00C55BE5"/>
    <w:rsid w:val="00C57801"/>
    <w:rsid w:val="00C63396"/>
    <w:rsid w:val="00C7190A"/>
    <w:rsid w:val="00C71FBB"/>
    <w:rsid w:val="00C76C10"/>
    <w:rsid w:val="00C83327"/>
    <w:rsid w:val="00C83D20"/>
    <w:rsid w:val="00C83F73"/>
    <w:rsid w:val="00C86282"/>
    <w:rsid w:val="00C86409"/>
    <w:rsid w:val="00C879E4"/>
    <w:rsid w:val="00C87A06"/>
    <w:rsid w:val="00C87DDE"/>
    <w:rsid w:val="00C90A1A"/>
    <w:rsid w:val="00C945FC"/>
    <w:rsid w:val="00C948CF"/>
    <w:rsid w:val="00C94E71"/>
    <w:rsid w:val="00C94E82"/>
    <w:rsid w:val="00C95F4D"/>
    <w:rsid w:val="00C96A91"/>
    <w:rsid w:val="00C9792F"/>
    <w:rsid w:val="00CA0A77"/>
    <w:rsid w:val="00CA11C7"/>
    <w:rsid w:val="00CA2219"/>
    <w:rsid w:val="00CA2514"/>
    <w:rsid w:val="00CA436F"/>
    <w:rsid w:val="00CA5DAC"/>
    <w:rsid w:val="00CB4C00"/>
    <w:rsid w:val="00CB5713"/>
    <w:rsid w:val="00CC0B1D"/>
    <w:rsid w:val="00CC0D15"/>
    <w:rsid w:val="00CC1794"/>
    <w:rsid w:val="00CC1C08"/>
    <w:rsid w:val="00CC2F01"/>
    <w:rsid w:val="00CC315E"/>
    <w:rsid w:val="00CC4924"/>
    <w:rsid w:val="00CC5557"/>
    <w:rsid w:val="00CC56EE"/>
    <w:rsid w:val="00CC6933"/>
    <w:rsid w:val="00CC6BF1"/>
    <w:rsid w:val="00CC7E3A"/>
    <w:rsid w:val="00CD0090"/>
    <w:rsid w:val="00CD1EA1"/>
    <w:rsid w:val="00CD5D22"/>
    <w:rsid w:val="00CD608E"/>
    <w:rsid w:val="00CD6B60"/>
    <w:rsid w:val="00CD73DD"/>
    <w:rsid w:val="00CE196A"/>
    <w:rsid w:val="00CE30EA"/>
    <w:rsid w:val="00CE3A38"/>
    <w:rsid w:val="00CE4F43"/>
    <w:rsid w:val="00CE70E2"/>
    <w:rsid w:val="00CE7519"/>
    <w:rsid w:val="00CF0DE2"/>
    <w:rsid w:val="00CF1968"/>
    <w:rsid w:val="00CF237B"/>
    <w:rsid w:val="00CF289D"/>
    <w:rsid w:val="00CF2E0D"/>
    <w:rsid w:val="00CF706E"/>
    <w:rsid w:val="00D00F2E"/>
    <w:rsid w:val="00D00FAE"/>
    <w:rsid w:val="00D029CB"/>
    <w:rsid w:val="00D03962"/>
    <w:rsid w:val="00D04719"/>
    <w:rsid w:val="00D05970"/>
    <w:rsid w:val="00D05BC7"/>
    <w:rsid w:val="00D062E0"/>
    <w:rsid w:val="00D07D2B"/>
    <w:rsid w:val="00D07F83"/>
    <w:rsid w:val="00D11FEC"/>
    <w:rsid w:val="00D12339"/>
    <w:rsid w:val="00D129FA"/>
    <w:rsid w:val="00D13070"/>
    <w:rsid w:val="00D13106"/>
    <w:rsid w:val="00D133D2"/>
    <w:rsid w:val="00D146AE"/>
    <w:rsid w:val="00D14C8C"/>
    <w:rsid w:val="00D15D84"/>
    <w:rsid w:val="00D208FA"/>
    <w:rsid w:val="00D209E4"/>
    <w:rsid w:val="00D26D53"/>
    <w:rsid w:val="00D27895"/>
    <w:rsid w:val="00D30FF5"/>
    <w:rsid w:val="00D31930"/>
    <w:rsid w:val="00D31EB1"/>
    <w:rsid w:val="00D323D4"/>
    <w:rsid w:val="00D331CE"/>
    <w:rsid w:val="00D34AA1"/>
    <w:rsid w:val="00D35234"/>
    <w:rsid w:val="00D35B24"/>
    <w:rsid w:val="00D369D3"/>
    <w:rsid w:val="00D42B2A"/>
    <w:rsid w:val="00D452DB"/>
    <w:rsid w:val="00D4562C"/>
    <w:rsid w:val="00D45EAD"/>
    <w:rsid w:val="00D46636"/>
    <w:rsid w:val="00D46975"/>
    <w:rsid w:val="00D472A6"/>
    <w:rsid w:val="00D507CB"/>
    <w:rsid w:val="00D50B91"/>
    <w:rsid w:val="00D53292"/>
    <w:rsid w:val="00D54AEC"/>
    <w:rsid w:val="00D55765"/>
    <w:rsid w:val="00D55F6F"/>
    <w:rsid w:val="00D56FD4"/>
    <w:rsid w:val="00D57566"/>
    <w:rsid w:val="00D63991"/>
    <w:rsid w:val="00D64394"/>
    <w:rsid w:val="00D64A71"/>
    <w:rsid w:val="00D660AB"/>
    <w:rsid w:val="00D677CF"/>
    <w:rsid w:val="00D70C23"/>
    <w:rsid w:val="00D7163F"/>
    <w:rsid w:val="00D720A5"/>
    <w:rsid w:val="00D76176"/>
    <w:rsid w:val="00D77578"/>
    <w:rsid w:val="00D80120"/>
    <w:rsid w:val="00D80165"/>
    <w:rsid w:val="00D809F9"/>
    <w:rsid w:val="00D8116C"/>
    <w:rsid w:val="00D82FB8"/>
    <w:rsid w:val="00D853E1"/>
    <w:rsid w:val="00D86501"/>
    <w:rsid w:val="00D8684C"/>
    <w:rsid w:val="00D86BE7"/>
    <w:rsid w:val="00D8720D"/>
    <w:rsid w:val="00D87644"/>
    <w:rsid w:val="00D9072F"/>
    <w:rsid w:val="00D918A0"/>
    <w:rsid w:val="00D92572"/>
    <w:rsid w:val="00D93888"/>
    <w:rsid w:val="00D95264"/>
    <w:rsid w:val="00D955D8"/>
    <w:rsid w:val="00D965C1"/>
    <w:rsid w:val="00DA177A"/>
    <w:rsid w:val="00DA227F"/>
    <w:rsid w:val="00DA4EA9"/>
    <w:rsid w:val="00DA6A06"/>
    <w:rsid w:val="00DA79BC"/>
    <w:rsid w:val="00DB288E"/>
    <w:rsid w:val="00DB2F35"/>
    <w:rsid w:val="00DB3CFE"/>
    <w:rsid w:val="00DB51AA"/>
    <w:rsid w:val="00DB5933"/>
    <w:rsid w:val="00DB7F14"/>
    <w:rsid w:val="00DC02A6"/>
    <w:rsid w:val="00DC0341"/>
    <w:rsid w:val="00DC11E7"/>
    <w:rsid w:val="00DC18A9"/>
    <w:rsid w:val="00DC368E"/>
    <w:rsid w:val="00DC37A3"/>
    <w:rsid w:val="00DC4869"/>
    <w:rsid w:val="00DC5B53"/>
    <w:rsid w:val="00DC6A5B"/>
    <w:rsid w:val="00DC7132"/>
    <w:rsid w:val="00DD00E6"/>
    <w:rsid w:val="00DD0941"/>
    <w:rsid w:val="00DD0D67"/>
    <w:rsid w:val="00DD3356"/>
    <w:rsid w:val="00DD5064"/>
    <w:rsid w:val="00DD76F4"/>
    <w:rsid w:val="00DE18EB"/>
    <w:rsid w:val="00DE2DEC"/>
    <w:rsid w:val="00DE3A5B"/>
    <w:rsid w:val="00DE6118"/>
    <w:rsid w:val="00DE6456"/>
    <w:rsid w:val="00DE6E57"/>
    <w:rsid w:val="00DE7617"/>
    <w:rsid w:val="00DF052E"/>
    <w:rsid w:val="00DF17D0"/>
    <w:rsid w:val="00DF348C"/>
    <w:rsid w:val="00DF4387"/>
    <w:rsid w:val="00DF5011"/>
    <w:rsid w:val="00DF6DD6"/>
    <w:rsid w:val="00DF701E"/>
    <w:rsid w:val="00E011DA"/>
    <w:rsid w:val="00E03675"/>
    <w:rsid w:val="00E0369E"/>
    <w:rsid w:val="00E04B31"/>
    <w:rsid w:val="00E05BDE"/>
    <w:rsid w:val="00E07907"/>
    <w:rsid w:val="00E07DD7"/>
    <w:rsid w:val="00E11111"/>
    <w:rsid w:val="00E11707"/>
    <w:rsid w:val="00E12886"/>
    <w:rsid w:val="00E13545"/>
    <w:rsid w:val="00E142FF"/>
    <w:rsid w:val="00E1550D"/>
    <w:rsid w:val="00E1642B"/>
    <w:rsid w:val="00E17FB4"/>
    <w:rsid w:val="00E208A4"/>
    <w:rsid w:val="00E209B0"/>
    <w:rsid w:val="00E22B4F"/>
    <w:rsid w:val="00E25EEC"/>
    <w:rsid w:val="00E27294"/>
    <w:rsid w:val="00E305F2"/>
    <w:rsid w:val="00E30D7F"/>
    <w:rsid w:val="00E31EFC"/>
    <w:rsid w:val="00E32434"/>
    <w:rsid w:val="00E324B7"/>
    <w:rsid w:val="00E330AA"/>
    <w:rsid w:val="00E330CF"/>
    <w:rsid w:val="00E3458C"/>
    <w:rsid w:val="00E349E9"/>
    <w:rsid w:val="00E36625"/>
    <w:rsid w:val="00E36F6A"/>
    <w:rsid w:val="00E404CB"/>
    <w:rsid w:val="00E40918"/>
    <w:rsid w:val="00E413BF"/>
    <w:rsid w:val="00E41A5E"/>
    <w:rsid w:val="00E421D7"/>
    <w:rsid w:val="00E43A04"/>
    <w:rsid w:val="00E46A29"/>
    <w:rsid w:val="00E514C8"/>
    <w:rsid w:val="00E51B3A"/>
    <w:rsid w:val="00E52634"/>
    <w:rsid w:val="00E52EEF"/>
    <w:rsid w:val="00E53C5A"/>
    <w:rsid w:val="00E54194"/>
    <w:rsid w:val="00E60718"/>
    <w:rsid w:val="00E60A8C"/>
    <w:rsid w:val="00E62270"/>
    <w:rsid w:val="00E62342"/>
    <w:rsid w:val="00E64AC2"/>
    <w:rsid w:val="00E6558F"/>
    <w:rsid w:val="00E6592F"/>
    <w:rsid w:val="00E67B8D"/>
    <w:rsid w:val="00E70621"/>
    <w:rsid w:val="00E707E3"/>
    <w:rsid w:val="00E70B3F"/>
    <w:rsid w:val="00E71211"/>
    <w:rsid w:val="00E71D3A"/>
    <w:rsid w:val="00E7436A"/>
    <w:rsid w:val="00E74D7E"/>
    <w:rsid w:val="00E75AAF"/>
    <w:rsid w:val="00E7679A"/>
    <w:rsid w:val="00E7711D"/>
    <w:rsid w:val="00E772F5"/>
    <w:rsid w:val="00E81FAA"/>
    <w:rsid w:val="00E8470E"/>
    <w:rsid w:val="00E85BCB"/>
    <w:rsid w:val="00E87CB9"/>
    <w:rsid w:val="00E907BC"/>
    <w:rsid w:val="00E9204D"/>
    <w:rsid w:val="00E935AC"/>
    <w:rsid w:val="00E93DE9"/>
    <w:rsid w:val="00E95FA9"/>
    <w:rsid w:val="00E95FDD"/>
    <w:rsid w:val="00E97F6E"/>
    <w:rsid w:val="00EA2332"/>
    <w:rsid w:val="00EA2C5A"/>
    <w:rsid w:val="00EA309F"/>
    <w:rsid w:val="00EA4F35"/>
    <w:rsid w:val="00EA68A0"/>
    <w:rsid w:val="00EA76D8"/>
    <w:rsid w:val="00EA7F53"/>
    <w:rsid w:val="00EB16F1"/>
    <w:rsid w:val="00EB2A50"/>
    <w:rsid w:val="00EB2A60"/>
    <w:rsid w:val="00EB4559"/>
    <w:rsid w:val="00EB5F08"/>
    <w:rsid w:val="00EB6F9E"/>
    <w:rsid w:val="00EB7268"/>
    <w:rsid w:val="00EC0029"/>
    <w:rsid w:val="00EC0875"/>
    <w:rsid w:val="00EC1DF8"/>
    <w:rsid w:val="00EC5535"/>
    <w:rsid w:val="00EC6519"/>
    <w:rsid w:val="00EC6804"/>
    <w:rsid w:val="00ED102E"/>
    <w:rsid w:val="00ED28CC"/>
    <w:rsid w:val="00ED3F59"/>
    <w:rsid w:val="00ED43B9"/>
    <w:rsid w:val="00ED5439"/>
    <w:rsid w:val="00ED63CB"/>
    <w:rsid w:val="00ED658A"/>
    <w:rsid w:val="00EE179E"/>
    <w:rsid w:val="00EE4458"/>
    <w:rsid w:val="00EE5B75"/>
    <w:rsid w:val="00EF03D5"/>
    <w:rsid w:val="00EF45BA"/>
    <w:rsid w:val="00EF4C85"/>
    <w:rsid w:val="00EF7B85"/>
    <w:rsid w:val="00F01F8B"/>
    <w:rsid w:val="00F0223C"/>
    <w:rsid w:val="00F044DD"/>
    <w:rsid w:val="00F04A4D"/>
    <w:rsid w:val="00F05AAD"/>
    <w:rsid w:val="00F05CE4"/>
    <w:rsid w:val="00F05FD6"/>
    <w:rsid w:val="00F10480"/>
    <w:rsid w:val="00F109B3"/>
    <w:rsid w:val="00F10D8F"/>
    <w:rsid w:val="00F11001"/>
    <w:rsid w:val="00F12D26"/>
    <w:rsid w:val="00F12DD7"/>
    <w:rsid w:val="00F12FBD"/>
    <w:rsid w:val="00F158FA"/>
    <w:rsid w:val="00F15F1A"/>
    <w:rsid w:val="00F175B4"/>
    <w:rsid w:val="00F201C9"/>
    <w:rsid w:val="00F211AF"/>
    <w:rsid w:val="00F22CC7"/>
    <w:rsid w:val="00F23C28"/>
    <w:rsid w:val="00F24464"/>
    <w:rsid w:val="00F260D6"/>
    <w:rsid w:val="00F2630D"/>
    <w:rsid w:val="00F27E4A"/>
    <w:rsid w:val="00F31609"/>
    <w:rsid w:val="00F344C6"/>
    <w:rsid w:val="00F352C7"/>
    <w:rsid w:val="00F36C8B"/>
    <w:rsid w:val="00F36D40"/>
    <w:rsid w:val="00F37BDB"/>
    <w:rsid w:val="00F4027D"/>
    <w:rsid w:val="00F4332F"/>
    <w:rsid w:val="00F434FC"/>
    <w:rsid w:val="00F4510C"/>
    <w:rsid w:val="00F47E25"/>
    <w:rsid w:val="00F50A4A"/>
    <w:rsid w:val="00F53532"/>
    <w:rsid w:val="00F541A9"/>
    <w:rsid w:val="00F5455A"/>
    <w:rsid w:val="00F54EEE"/>
    <w:rsid w:val="00F64079"/>
    <w:rsid w:val="00F659E2"/>
    <w:rsid w:val="00F66A91"/>
    <w:rsid w:val="00F67EAD"/>
    <w:rsid w:val="00F707E3"/>
    <w:rsid w:val="00F74319"/>
    <w:rsid w:val="00F7613A"/>
    <w:rsid w:val="00F76A4A"/>
    <w:rsid w:val="00F77A3B"/>
    <w:rsid w:val="00F808C9"/>
    <w:rsid w:val="00F80A1A"/>
    <w:rsid w:val="00F81E15"/>
    <w:rsid w:val="00F81E97"/>
    <w:rsid w:val="00F83749"/>
    <w:rsid w:val="00F83DCA"/>
    <w:rsid w:val="00F845FD"/>
    <w:rsid w:val="00F8470E"/>
    <w:rsid w:val="00F858BF"/>
    <w:rsid w:val="00F901ED"/>
    <w:rsid w:val="00F92A26"/>
    <w:rsid w:val="00F93BE5"/>
    <w:rsid w:val="00F9501B"/>
    <w:rsid w:val="00F95B66"/>
    <w:rsid w:val="00F96FF6"/>
    <w:rsid w:val="00F97D16"/>
    <w:rsid w:val="00F97FCB"/>
    <w:rsid w:val="00FA0A28"/>
    <w:rsid w:val="00FA1C33"/>
    <w:rsid w:val="00FA24D0"/>
    <w:rsid w:val="00FA2EC8"/>
    <w:rsid w:val="00FA3151"/>
    <w:rsid w:val="00FA594B"/>
    <w:rsid w:val="00FA7C7A"/>
    <w:rsid w:val="00FB0559"/>
    <w:rsid w:val="00FB3E61"/>
    <w:rsid w:val="00FB3FB0"/>
    <w:rsid w:val="00FB53A2"/>
    <w:rsid w:val="00FB5593"/>
    <w:rsid w:val="00FB6799"/>
    <w:rsid w:val="00FB75E5"/>
    <w:rsid w:val="00FB7E68"/>
    <w:rsid w:val="00FC0DCE"/>
    <w:rsid w:val="00FC0E79"/>
    <w:rsid w:val="00FC2139"/>
    <w:rsid w:val="00FC2C98"/>
    <w:rsid w:val="00FC3303"/>
    <w:rsid w:val="00FC4F17"/>
    <w:rsid w:val="00FC6C3D"/>
    <w:rsid w:val="00FD1616"/>
    <w:rsid w:val="00FD1D4A"/>
    <w:rsid w:val="00FD338E"/>
    <w:rsid w:val="00FD3756"/>
    <w:rsid w:val="00FD3A8D"/>
    <w:rsid w:val="00FD3D4D"/>
    <w:rsid w:val="00FD4E66"/>
    <w:rsid w:val="00FD609E"/>
    <w:rsid w:val="00FD6B9A"/>
    <w:rsid w:val="00FD7D5F"/>
    <w:rsid w:val="00FE61CC"/>
    <w:rsid w:val="00FE69F9"/>
    <w:rsid w:val="00FE74FB"/>
    <w:rsid w:val="00FF093C"/>
    <w:rsid w:val="00FF0B58"/>
    <w:rsid w:val="00FF317A"/>
    <w:rsid w:val="00FF61E8"/>
    <w:rsid w:val="00FF6346"/>
    <w:rsid w:val="00FF6A38"/>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34817"/>
    <o:shapelayout v:ext="edit">
      <o:idmap v:ext="edit" data="1"/>
    </o:shapelayout>
  </w:shapeDefaults>
  <w:decimalSymbol w:val="."/>
  <w:listSeparator w:val=","/>
  <w14:docId w14:val="742102A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18"/>
        <w:szCs w:val="18"/>
        <w:lang w:val="en-GB" w:eastAsia="en-US" w:bidi="ar-SA"/>
      </w:rPr>
    </w:rPrDefault>
    <w:pPrDefault/>
  </w:docDefaults>
  <w:latentStyles w:defLockedState="0" w:defUIPriority="99" w:defSemiHidden="1" w:defUnhideWhenUsed="1" w:defQFormat="0" w:count="267">
    <w:lsdException w:name="Normal" w:semiHidden="0" w:uiPriority="1" w:unhideWhenUsed="0" w:qFormat="1"/>
    <w:lsdException w:name="heading 1" w:semiHidden="0" w:uiPriority="0" w:unhideWhenUsed="0" w:qFormat="1"/>
    <w:lsdException w:name="heading 2" w:uiPriority="0" w:unhideWhenUsed="0" w:qFormat="1"/>
    <w:lsdException w:name="heading 3" w:uiPriority="5" w:unhideWhenUsed="0" w:qFormat="1"/>
    <w:lsdException w:name="heading 4" w:uiPriority="6" w:unhideWhenUsed="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unhideWhenUsed="0" w:qFormat="1"/>
    <w:lsdException w:name="List Bullet" w:uiPriority="9" w:unhideWhenUsed="0" w:qFormat="1"/>
    <w:lsdException w:name="List Number" w:uiPriority="11" w:unhideWhenUsed="0" w:qFormat="1"/>
    <w:lsdException w:name="List Bullet 2" w:uiPriority="10" w:unhideWhenUsed="0" w:qFormat="1"/>
    <w:lsdException w:name="List Bullet 3" w:uiPriority="11" w:unhideWhenUsed="0" w:qFormat="1"/>
    <w:lsdException w:name="List Number 2" w:uiPriority="12" w:unhideWhenUsed="0" w:qFormat="1"/>
    <w:lsdException w:name="List Number 3" w:uiPriority="13" w:unhideWhenUsed="0" w:qFormat="1"/>
    <w:lsdException w:name="Title" w:semiHidden="0" w:uiPriority="10" w:unhideWhenUsed="0"/>
    <w:lsdException w:name="Default Paragraph Font" w:uiPriority="1"/>
    <w:lsdException w:name="Body Text" w:semiHidden="0" w:uiPriority="0" w:unhideWhenUsed="0" w:qFormat="1"/>
    <w:lsdException w:name="Subtitle" w:semiHidden="0" w:uiPriority="11" w:unhideWhenUsed="0"/>
    <w:lsdException w:name="Hyperlink" w:uiPriority="27" w:unhideWhenUsed="0" w:qFormat="1"/>
    <w:lsdException w:name="FollowedHyperlink" w:uiPriority="28" w:unhideWhenUsed="0" w:qFormat="1"/>
    <w:lsdException w:name="Strong" w:semiHidden="0" w:uiPriority="22" w:unhideWhenUsed="0"/>
    <w:lsdException w:name="Emphasis" w:semiHidden="0" w:uiPriority="20" w:unhideWhenUsed="0"/>
    <w:lsdException w:name="Table Grid" w:uiPriority="0"/>
    <w:lsdException w:name="No Spacing" w:uiPriority="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lsdException w:name="Quote" w:semiHidden="0" w:uiPriority="22" w:unhideWhenUsed="0" w:qFormat="1"/>
    <w:lsdException w:name="Intense Quote" w:semiHidden="0" w:uiPriority="3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lsdException w:name="Intense Emphasis" w:semiHidden="0" w:uiPriority="21" w:unhideWhenUsed="0"/>
    <w:lsdException w:name="Subtle Reference" w:semiHidden="0" w:uiPriority="31" w:unhideWhenUsed="0"/>
    <w:lsdException w:name="Intense Reference" w:semiHidden="0" w:uiPriority="32"/>
    <w:lsdException w:name="Book Title" w:semiHidden="0" w:uiPriority="33"/>
    <w:lsdException w:name="Bibliography" w:uiPriority="37"/>
    <w:lsdException w:name="TOC Heading" w:uiPriority="39"/>
  </w:latentStyles>
  <w:style w:type="paragraph" w:default="1" w:styleId="Normal">
    <w:name w:val="Normal"/>
    <w:uiPriority w:val="1"/>
    <w:qFormat/>
    <w:rsid w:val="00B55307"/>
    <w:pPr>
      <w:tabs>
        <w:tab w:val="left" w:pos="284"/>
      </w:tabs>
      <w:spacing w:line="240" w:lineRule="atLeast"/>
    </w:pPr>
    <w:rPr>
      <w:kern w:val="18"/>
      <w:lang w:val="en-US"/>
    </w:rPr>
  </w:style>
  <w:style w:type="paragraph" w:styleId="Heading1">
    <w:name w:val="heading 1"/>
    <w:basedOn w:val="Normal"/>
    <w:next w:val="BodyText"/>
    <w:link w:val="Heading1Char"/>
    <w:autoRedefine/>
    <w:qFormat/>
    <w:rsid w:val="00CA2219"/>
    <w:pPr>
      <w:keepNext/>
      <w:keepLines/>
      <w:tabs>
        <w:tab w:val="clear" w:pos="284"/>
      </w:tabs>
      <w:spacing w:before="360" w:after="120" w:line="240" w:lineRule="auto"/>
      <w:ind w:left="567" w:hanging="567"/>
      <w:outlineLvl w:val="0"/>
    </w:pPr>
    <w:rPr>
      <w:rFonts w:asciiTheme="majorHAnsi" w:eastAsiaTheme="majorEastAsia" w:hAnsiTheme="majorHAnsi" w:cstheme="majorBidi"/>
      <w:b/>
      <w:bCs/>
      <w:color w:val="00B5E2" w:themeColor="accent1"/>
      <w:sz w:val="32"/>
      <w:szCs w:val="28"/>
    </w:rPr>
  </w:style>
  <w:style w:type="paragraph" w:styleId="Heading2">
    <w:name w:val="heading 2"/>
    <w:basedOn w:val="Numberedtext"/>
    <w:next w:val="Numberedtext"/>
    <w:link w:val="Heading2Char"/>
    <w:qFormat/>
    <w:rsid w:val="00265A9E"/>
    <w:pPr>
      <w:outlineLvl w:val="1"/>
    </w:pPr>
  </w:style>
  <w:style w:type="paragraph" w:styleId="Heading3">
    <w:name w:val="heading 3"/>
    <w:basedOn w:val="Numberedtext"/>
    <w:next w:val="BodyText"/>
    <w:link w:val="Heading3Char"/>
    <w:uiPriority w:val="5"/>
    <w:qFormat/>
    <w:rsid w:val="00265A9E"/>
    <w:pPr>
      <w:numPr>
        <w:ilvl w:val="2"/>
      </w:numPr>
      <w:outlineLvl w:val="2"/>
    </w:pPr>
  </w:style>
  <w:style w:type="paragraph" w:styleId="Heading4">
    <w:name w:val="heading 4"/>
    <w:basedOn w:val="Heading3"/>
    <w:next w:val="BodyText"/>
    <w:link w:val="Heading4Char"/>
    <w:uiPriority w:val="6"/>
    <w:qFormat/>
    <w:rsid w:val="00E413BF"/>
    <w:pPr>
      <w:numPr>
        <w:ilvl w:val="3"/>
      </w:numPr>
      <w:outlineLvl w:val="3"/>
    </w:pPr>
  </w:style>
  <w:style w:type="paragraph" w:styleId="Heading5">
    <w:name w:val="heading 5"/>
    <w:basedOn w:val="Normal"/>
    <w:next w:val="BodyText"/>
    <w:link w:val="Heading5Char"/>
    <w:unhideWhenUsed/>
    <w:qFormat/>
    <w:rsid w:val="002770A0"/>
    <w:pPr>
      <w:keepNext/>
      <w:keepLines/>
      <w:spacing w:before="120"/>
      <w:outlineLvl w:val="4"/>
    </w:pPr>
    <w:rPr>
      <w:rFonts w:asciiTheme="majorHAnsi" w:eastAsiaTheme="majorEastAsia" w:hAnsiTheme="majorHAnsi" w:cstheme="majorBidi"/>
      <w:b/>
      <w:color w:val="00B5E2" w:themeColor="accent1"/>
    </w:rPr>
  </w:style>
  <w:style w:type="paragraph" w:styleId="Heading6">
    <w:name w:val="heading 6"/>
    <w:basedOn w:val="Normal"/>
    <w:next w:val="Normal"/>
    <w:link w:val="Heading6Char"/>
    <w:semiHidden/>
    <w:unhideWhenUsed/>
    <w:qFormat/>
    <w:rsid w:val="00582989"/>
    <w:pPr>
      <w:keepNext/>
      <w:keepLines/>
      <w:spacing w:before="200"/>
      <w:outlineLvl w:val="5"/>
    </w:pPr>
    <w:rPr>
      <w:rFonts w:asciiTheme="majorHAnsi" w:eastAsiaTheme="majorEastAsia" w:hAnsiTheme="majorHAnsi" w:cstheme="majorBidi"/>
      <w:i/>
      <w:iCs/>
      <w:color w:val="005970" w:themeColor="accent1" w:themeShade="7F"/>
    </w:rPr>
  </w:style>
  <w:style w:type="paragraph" w:styleId="Heading7">
    <w:name w:val="heading 7"/>
    <w:basedOn w:val="Normal"/>
    <w:next w:val="Normal"/>
    <w:link w:val="Heading7Char"/>
    <w:semiHidden/>
    <w:unhideWhenUsed/>
    <w:qFormat/>
    <w:rsid w:val="00582989"/>
    <w:pPr>
      <w:keepNext/>
      <w:keepLines/>
      <w:spacing w:before="20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semiHidden/>
    <w:unhideWhenUsed/>
    <w:qFormat/>
    <w:rsid w:val="00582989"/>
    <w:pPr>
      <w:keepNext/>
      <w:keepLines/>
      <w:spacing w:before="200"/>
      <w:outlineLvl w:val="7"/>
    </w:pPr>
    <w:rPr>
      <w:rFonts w:asciiTheme="majorHAnsi" w:eastAsiaTheme="majorEastAsia" w:hAnsiTheme="majorHAnsi" w:cstheme="majorBidi"/>
      <w:color w:val="404040" w:themeColor="text1" w:themeTint="BF"/>
      <w:sz w:val="20"/>
      <w:szCs w:val="20"/>
    </w:rPr>
  </w:style>
  <w:style w:type="paragraph" w:styleId="Heading9">
    <w:name w:val="heading 9"/>
    <w:basedOn w:val="Normal"/>
    <w:next w:val="Normal"/>
    <w:link w:val="Heading9Char"/>
    <w:unhideWhenUsed/>
    <w:qFormat/>
    <w:rsid w:val="00582989"/>
    <w:pPr>
      <w:keepNext/>
      <w:keepLines/>
      <w:spacing w:before="20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3"/>
    <w:rsid w:val="00CA2219"/>
    <w:rPr>
      <w:rFonts w:asciiTheme="majorHAnsi" w:eastAsiaTheme="majorEastAsia" w:hAnsiTheme="majorHAnsi" w:cstheme="majorBidi"/>
      <w:b/>
      <w:bCs/>
      <w:color w:val="00B5E2" w:themeColor="accent1"/>
      <w:kern w:val="18"/>
      <w:sz w:val="32"/>
      <w:szCs w:val="28"/>
      <w:lang w:val="en-US"/>
    </w:rPr>
  </w:style>
  <w:style w:type="character" w:customStyle="1" w:styleId="Heading2Char">
    <w:name w:val="Heading 2 Char"/>
    <w:basedOn w:val="DefaultParagraphFont"/>
    <w:link w:val="Heading2"/>
    <w:uiPriority w:val="4"/>
    <w:rsid w:val="00265A9E"/>
    <w:rPr>
      <w:b/>
      <w:color w:val="00B5E2" w:themeColor="accent1"/>
      <w:kern w:val="18"/>
      <w:sz w:val="24"/>
      <w:lang w:val="en-US"/>
    </w:rPr>
  </w:style>
  <w:style w:type="character" w:customStyle="1" w:styleId="Heading3Char">
    <w:name w:val="Heading 3 Char"/>
    <w:basedOn w:val="DefaultParagraphFont"/>
    <w:link w:val="Heading3"/>
    <w:uiPriority w:val="5"/>
    <w:rsid w:val="00265A9E"/>
    <w:rPr>
      <w:b/>
      <w:color w:val="00B5E2" w:themeColor="accent1"/>
      <w:kern w:val="18"/>
      <w:sz w:val="24"/>
      <w:lang w:val="en-US"/>
    </w:rPr>
  </w:style>
  <w:style w:type="paragraph" w:styleId="ListNumber">
    <w:name w:val="List Number"/>
    <w:basedOn w:val="Normal"/>
    <w:uiPriority w:val="11"/>
    <w:qFormat/>
    <w:rsid w:val="00790710"/>
    <w:pPr>
      <w:numPr>
        <w:numId w:val="15"/>
      </w:numPr>
      <w:tabs>
        <w:tab w:val="clear" w:pos="284"/>
      </w:tabs>
      <w:spacing w:after="120"/>
    </w:pPr>
  </w:style>
  <w:style w:type="paragraph" w:styleId="ListNumber2">
    <w:name w:val="List Number 2"/>
    <w:basedOn w:val="Normal"/>
    <w:uiPriority w:val="12"/>
    <w:qFormat/>
    <w:rsid w:val="00790710"/>
    <w:pPr>
      <w:numPr>
        <w:ilvl w:val="1"/>
        <w:numId w:val="15"/>
      </w:numPr>
      <w:tabs>
        <w:tab w:val="clear" w:pos="284"/>
      </w:tabs>
      <w:spacing w:after="120"/>
    </w:pPr>
  </w:style>
  <w:style w:type="paragraph" w:styleId="ListNumber3">
    <w:name w:val="List Number 3"/>
    <w:basedOn w:val="Normal"/>
    <w:uiPriority w:val="13"/>
    <w:qFormat/>
    <w:rsid w:val="00790710"/>
    <w:pPr>
      <w:numPr>
        <w:ilvl w:val="2"/>
        <w:numId w:val="15"/>
      </w:numPr>
      <w:tabs>
        <w:tab w:val="clear" w:pos="284"/>
      </w:tabs>
      <w:spacing w:after="120"/>
    </w:pPr>
  </w:style>
  <w:style w:type="paragraph" w:styleId="ListBullet">
    <w:name w:val="List Bullet"/>
    <w:basedOn w:val="Normal"/>
    <w:uiPriority w:val="9"/>
    <w:qFormat/>
    <w:rsid w:val="00790710"/>
    <w:pPr>
      <w:numPr>
        <w:numId w:val="14"/>
      </w:numPr>
      <w:tabs>
        <w:tab w:val="clear" w:pos="284"/>
      </w:tabs>
      <w:spacing w:after="120"/>
    </w:pPr>
  </w:style>
  <w:style w:type="paragraph" w:styleId="ListBullet2">
    <w:name w:val="List Bullet 2"/>
    <w:basedOn w:val="Normal"/>
    <w:uiPriority w:val="10"/>
    <w:qFormat/>
    <w:rsid w:val="00790710"/>
    <w:pPr>
      <w:numPr>
        <w:ilvl w:val="1"/>
        <w:numId w:val="14"/>
      </w:numPr>
      <w:tabs>
        <w:tab w:val="clear" w:pos="284"/>
      </w:tabs>
      <w:spacing w:after="120"/>
    </w:pPr>
  </w:style>
  <w:style w:type="paragraph" w:styleId="ListBullet3">
    <w:name w:val="List Bullet 3"/>
    <w:basedOn w:val="Normal"/>
    <w:uiPriority w:val="11"/>
    <w:qFormat/>
    <w:rsid w:val="00790710"/>
    <w:pPr>
      <w:numPr>
        <w:ilvl w:val="2"/>
        <w:numId w:val="14"/>
      </w:numPr>
      <w:tabs>
        <w:tab w:val="clear" w:pos="284"/>
      </w:tabs>
      <w:spacing w:after="120"/>
    </w:pPr>
  </w:style>
  <w:style w:type="character" w:customStyle="1" w:styleId="Heading4Char">
    <w:name w:val="Heading 4 Char"/>
    <w:basedOn w:val="DefaultParagraphFont"/>
    <w:link w:val="Heading4"/>
    <w:uiPriority w:val="6"/>
    <w:rsid w:val="00E413BF"/>
    <w:rPr>
      <w:b/>
      <w:color w:val="00B5E2" w:themeColor="accent1"/>
      <w:kern w:val="18"/>
      <w:sz w:val="24"/>
      <w:lang w:val="en-US"/>
    </w:rPr>
  </w:style>
  <w:style w:type="numbering" w:customStyle="1" w:styleId="AECOMBullets">
    <w:name w:val="AECOM_Bullets"/>
    <w:basedOn w:val="NoList"/>
    <w:uiPriority w:val="99"/>
    <w:semiHidden/>
    <w:unhideWhenUsed/>
    <w:rsid w:val="00C86409"/>
    <w:pPr>
      <w:numPr>
        <w:numId w:val="1"/>
      </w:numPr>
    </w:pPr>
  </w:style>
  <w:style w:type="character" w:customStyle="1" w:styleId="Heading5Char">
    <w:name w:val="Heading 5 Char"/>
    <w:basedOn w:val="DefaultParagraphFont"/>
    <w:link w:val="Heading5"/>
    <w:uiPriority w:val="9"/>
    <w:rsid w:val="00F66A91"/>
    <w:rPr>
      <w:rFonts w:asciiTheme="majorHAnsi" w:eastAsiaTheme="majorEastAsia" w:hAnsiTheme="majorHAnsi" w:cstheme="majorBidi"/>
      <w:b/>
      <w:color w:val="00B5E2" w:themeColor="accent1"/>
      <w:kern w:val="18"/>
    </w:rPr>
  </w:style>
  <w:style w:type="paragraph" w:styleId="BodyText">
    <w:name w:val="Body Text"/>
    <w:basedOn w:val="Normal"/>
    <w:link w:val="BodyTextChar"/>
    <w:qFormat/>
    <w:rsid w:val="00BD7718"/>
    <w:pPr>
      <w:tabs>
        <w:tab w:val="clear" w:pos="284"/>
      </w:tabs>
      <w:spacing w:after="180"/>
    </w:pPr>
  </w:style>
  <w:style w:type="numbering" w:customStyle="1" w:styleId="AECOMList">
    <w:name w:val="AECOM_List"/>
    <w:basedOn w:val="NoList"/>
    <w:uiPriority w:val="99"/>
    <w:semiHidden/>
    <w:unhideWhenUsed/>
    <w:rsid w:val="00323654"/>
    <w:pPr>
      <w:numPr>
        <w:numId w:val="2"/>
      </w:numPr>
    </w:pPr>
  </w:style>
  <w:style w:type="character" w:customStyle="1" w:styleId="BodyTextChar">
    <w:name w:val="Body Text Char"/>
    <w:basedOn w:val="DefaultParagraphFont"/>
    <w:link w:val="BodyText"/>
    <w:rsid w:val="00BD7718"/>
    <w:rPr>
      <w:kern w:val="18"/>
    </w:rPr>
  </w:style>
  <w:style w:type="paragraph" w:customStyle="1" w:styleId="CoverTitle">
    <w:name w:val="Cover Title"/>
    <w:basedOn w:val="Normal"/>
    <w:next w:val="BodyText"/>
    <w:semiHidden/>
    <w:unhideWhenUsed/>
    <w:rsid w:val="00DD3356"/>
    <w:pPr>
      <w:spacing w:before="360" w:after="360" w:line="900" w:lineRule="atLeast"/>
    </w:pPr>
    <w:rPr>
      <w:rFonts w:asciiTheme="majorHAnsi" w:hAnsiTheme="majorHAnsi"/>
      <w:b/>
      <w:color w:val="00B5E2" w:themeColor="accent1"/>
      <w:sz w:val="80"/>
    </w:rPr>
  </w:style>
  <w:style w:type="paragraph" w:customStyle="1" w:styleId="SectionTitle">
    <w:name w:val="Section Title"/>
    <w:basedOn w:val="BodyText"/>
    <w:next w:val="BodyText"/>
    <w:semiHidden/>
    <w:unhideWhenUsed/>
    <w:rsid w:val="00D129FA"/>
    <w:pPr>
      <w:spacing w:before="360" w:after="360" w:line="660" w:lineRule="atLeast"/>
      <w:jc w:val="right"/>
    </w:pPr>
    <w:rPr>
      <w:rFonts w:asciiTheme="majorHAnsi" w:hAnsiTheme="majorHAnsi"/>
      <w:color w:val="FFFFFF" w:themeColor="background1"/>
      <w:sz w:val="60"/>
    </w:rPr>
  </w:style>
  <w:style w:type="paragraph" w:customStyle="1" w:styleId="DividerSectionNumber">
    <w:name w:val="Divider Section Number"/>
    <w:basedOn w:val="BodyText"/>
    <w:next w:val="BodyText"/>
    <w:semiHidden/>
    <w:unhideWhenUsed/>
    <w:rsid w:val="00B55307"/>
    <w:pPr>
      <w:spacing w:before="360" w:after="360" w:line="2400" w:lineRule="atLeast"/>
      <w:jc w:val="right"/>
    </w:pPr>
    <w:rPr>
      <w:rFonts w:asciiTheme="majorHAnsi" w:hAnsiTheme="majorHAnsi"/>
      <w:color w:val="FFFFFF" w:themeColor="background1"/>
      <w:sz w:val="200"/>
    </w:rPr>
  </w:style>
  <w:style w:type="paragraph" w:customStyle="1" w:styleId="DividerSectionNumberSmall">
    <w:name w:val="Divider Section Number (Small)"/>
    <w:basedOn w:val="Normal"/>
    <w:next w:val="BodyText"/>
    <w:semiHidden/>
    <w:unhideWhenUsed/>
    <w:rsid w:val="00DD3356"/>
    <w:pPr>
      <w:spacing w:before="360" w:after="360" w:line="1440" w:lineRule="atLeast"/>
      <w:jc w:val="right"/>
    </w:pPr>
    <w:rPr>
      <w:rFonts w:asciiTheme="majorHAnsi" w:hAnsiTheme="majorHAnsi"/>
      <w:b/>
      <w:color w:val="00B5E2" w:themeColor="accent1"/>
      <w:sz w:val="120"/>
    </w:rPr>
  </w:style>
  <w:style w:type="table" w:styleId="TableGrid">
    <w:name w:val="Table Grid"/>
    <w:basedOn w:val="TableNormal"/>
    <w:unhideWhenUsed/>
    <w:rsid w:val="00364FD7"/>
    <w:rPr>
      <w:sz w:val="16"/>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57" w:type="dxa"/>
        <w:bottom w:w="28" w:type="dxa"/>
        <w:right w:w="57" w:type="dxa"/>
      </w:tblCellMar>
    </w:tblPr>
    <w:tblStylePr w:type="firstRow">
      <w:rPr>
        <w:rFonts w:asciiTheme="majorHAnsi" w:hAnsiTheme="majorHAnsi"/>
        <w:b w:val="0"/>
      </w:rPr>
    </w:tblStylePr>
  </w:style>
  <w:style w:type="table" w:customStyle="1" w:styleId="AECOMtable">
    <w:name w:val="AECOM table"/>
    <w:basedOn w:val="TableNormal"/>
    <w:uiPriority w:val="99"/>
    <w:semiHidden/>
    <w:unhideWhenUsed/>
    <w:rsid w:val="00A315D3"/>
    <w:rPr>
      <w:sz w:val="16"/>
    </w:rPr>
    <w:tblPr>
      <w:tblBorders>
        <w:insideH w:val="single" w:sz="4" w:space="0" w:color="auto"/>
      </w:tblBorders>
      <w:tblCellMar>
        <w:top w:w="28" w:type="dxa"/>
        <w:left w:w="0" w:type="dxa"/>
        <w:bottom w:w="28" w:type="dxa"/>
        <w:right w:w="113" w:type="dxa"/>
      </w:tblCellMar>
    </w:tblPr>
    <w:tblStylePr w:type="firstRow">
      <w:rPr>
        <w:rFonts w:asciiTheme="majorHAnsi" w:hAnsiTheme="majorHAnsi"/>
        <w:b/>
        <w:color w:val="00B5E2" w:themeColor="accent1"/>
        <w:sz w:val="16"/>
      </w:rPr>
      <w:tblPr/>
      <w:tcPr>
        <w:tcBorders>
          <w:top w:val="nil"/>
          <w:left w:val="nil"/>
          <w:bottom w:val="single" w:sz="12" w:space="0" w:color="00B5E2" w:themeColor="accent1"/>
          <w:right w:val="nil"/>
          <w:insideH w:val="nil"/>
          <w:insideV w:val="nil"/>
          <w:tl2br w:val="nil"/>
          <w:tr2bl w:val="nil"/>
        </w:tcBorders>
      </w:tcPr>
    </w:tblStylePr>
  </w:style>
  <w:style w:type="paragraph" w:styleId="Caption">
    <w:name w:val="caption"/>
    <w:basedOn w:val="Normal"/>
    <w:next w:val="BodyText"/>
    <w:uiPriority w:val="35"/>
    <w:qFormat/>
    <w:rsid w:val="005756F4"/>
    <w:pPr>
      <w:keepNext/>
      <w:spacing w:after="120"/>
    </w:pPr>
    <w:rPr>
      <w:rFonts w:asciiTheme="majorHAnsi" w:hAnsiTheme="majorHAnsi"/>
      <w:b/>
      <w:bCs/>
      <w:color w:val="00B5E2" w:themeColor="accent1"/>
    </w:rPr>
  </w:style>
  <w:style w:type="paragraph" w:customStyle="1" w:styleId="Source">
    <w:name w:val="Source"/>
    <w:basedOn w:val="Normal"/>
    <w:uiPriority w:val="26"/>
    <w:qFormat/>
    <w:rsid w:val="00F4332F"/>
    <w:pPr>
      <w:spacing w:after="120"/>
    </w:pPr>
    <w:rPr>
      <w:i/>
      <w:sz w:val="16"/>
    </w:rPr>
  </w:style>
  <w:style w:type="paragraph" w:styleId="FootnoteText">
    <w:name w:val="footnote text"/>
    <w:basedOn w:val="Normal"/>
    <w:link w:val="FootnoteTextChar"/>
    <w:uiPriority w:val="99"/>
    <w:semiHidden/>
    <w:unhideWhenUsed/>
    <w:rsid w:val="00253171"/>
    <w:pPr>
      <w:spacing w:line="240" w:lineRule="auto"/>
    </w:pPr>
    <w:rPr>
      <w:sz w:val="16"/>
      <w:szCs w:val="20"/>
    </w:rPr>
  </w:style>
  <w:style w:type="character" w:customStyle="1" w:styleId="FootnoteTextChar">
    <w:name w:val="Footnote Text Char"/>
    <w:basedOn w:val="DefaultParagraphFont"/>
    <w:link w:val="FootnoteText"/>
    <w:uiPriority w:val="99"/>
    <w:semiHidden/>
    <w:rsid w:val="00F66A91"/>
    <w:rPr>
      <w:kern w:val="18"/>
      <w:sz w:val="16"/>
      <w:szCs w:val="20"/>
    </w:rPr>
  </w:style>
  <w:style w:type="character" w:styleId="FootnoteReference">
    <w:name w:val="footnote reference"/>
    <w:basedOn w:val="DefaultParagraphFont"/>
    <w:uiPriority w:val="99"/>
    <w:semiHidden/>
    <w:unhideWhenUsed/>
    <w:rsid w:val="00F27E4A"/>
    <w:rPr>
      <w:rFonts w:asciiTheme="majorHAnsi" w:hAnsiTheme="majorHAnsi"/>
      <w:color w:val="auto"/>
      <w:vertAlign w:val="superscript"/>
    </w:rPr>
  </w:style>
  <w:style w:type="paragraph" w:customStyle="1" w:styleId="Appendix">
    <w:name w:val="Appendix"/>
    <w:basedOn w:val="Heading1"/>
    <w:next w:val="BodyText"/>
    <w:uiPriority w:val="7"/>
    <w:qFormat/>
    <w:rsid w:val="006A3705"/>
    <w:pPr>
      <w:pageBreakBefore/>
      <w:numPr>
        <w:numId w:val="20"/>
      </w:numPr>
    </w:pPr>
  </w:style>
  <w:style w:type="character" w:styleId="Hyperlink">
    <w:name w:val="Hyperlink"/>
    <w:basedOn w:val="DefaultParagraphFont"/>
    <w:uiPriority w:val="27"/>
    <w:qFormat/>
    <w:rsid w:val="00F15F1A"/>
    <w:rPr>
      <w:color w:val="00B5E2" w:themeColor="accent1"/>
      <w:u w:val="single"/>
    </w:rPr>
  </w:style>
  <w:style w:type="character" w:styleId="FollowedHyperlink">
    <w:name w:val="FollowedHyperlink"/>
    <w:basedOn w:val="DefaultParagraphFont"/>
    <w:uiPriority w:val="28"/>
    <w:qFormat/>
    <w:rsid w:val="00F15F1A"/>
    <w:rPr>
      <w:color w:val="84BD00" w:themeColor="accent2"/>
      <w:u w:val="single"/>
    </w:rPr>
  </w:style>
  <w:style w:type="table" w:styleId="ColorfulGrid">
    <w:name w:val="Colorful Grid"/>
    <w:basedOn w:val="TableNormal"/>
    <w:uiPriority w:val="73"/>
    <w:semiHidden/>
    <w:unhideWhenUsed/>
    <w:rsid w:val="009E6ED7"/>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semiHidden/>
    <w:unhideWhenUsed/>
    <w:rsid w:val="009E6ED7"/>
    <w:rPr>
      <w:color w:val="000000" w:themeColor="text1"/>
    </w:rPr>
    <w:tblPr>
      <w:tblStyleRowBandSize w:val="1"/>
      <w:tblStyleColBandSize w:val="1"/>
      <w:tblBorders>
        <w:insideH w:val="single" w:sz="4" w:space="0" w:color="FFFFFF" w:themeColor="background1"/>
      </w:tblBorders>
    </w:tblPr>
    <w:tcPr>
      <w:shd w:val="clear" w:color="auto" w:fill="C6F3FF" w:themeFill="accent1" w:themeFillTint="33"/>
    </w:tcPr>
    <w:tblStylePr w:type="firstRow">
      <w:rPr>
        <w:b/>
        <w:bCs/>
      </w:rPr>
      <w:tblPr/>
      <w:tcPr>
        <w:shd w:val="clear" w:color="auto" w:fill="8DE8FF" w:themeFill="accent1" w:themeFillTint="66"/>
      </w:tcPr>
    </w:tblStylePr>
    <w:tblStylePr w:type="lastRow">
      <w:rPr>
        <w:b/>
        <w:bCs/>
        <w:color w:val="000000" w:themeColor="text1"/>
      </w:rPr>
      <w:tblPr/>
      <w:tcPr>
        <w:shd w:val="clear" w:color="auto" w:fill="8DE8FF" w:themeFill="accent1" w:themeFillTint="66"/>
      </w:tcPr>
    </w:tblStylePr>
    <w:tblStylePr w:type="firstCol">
      <w:rPr>
        <w:color w:val="FFFFFF" w:themeColor="background1"/>
      </w:rPr>
      <w:tblPr/>
      <w:tcPr>
        <w:shd w:val="clear" w:color="auto" w:fill="0087A9" w:themeFill="accent1" w:themeFillShade="BF"/>
      </w:tcPr>
    </w:tblStylePr>
    <w:tblStylePr w:type="lastCol">
      <w:rPr>
        <w:color w:val="FFFFFF" w:themeColor="background1"/>
      </w:rPr>
      <w:tblPr/>
      <w:tcPr>
        <w:shd w:val="clear" w:color="auto" w:fill="0087A9" w:themeFill="accent1" w:themeFillShade="BF"/>
      </w:tcPr>
    </w:tblStylePr>
    <w:tblStylePr w:type="band1Vert">
      <w:tblPr/>
      <w:tcPr>
        <w:shd w:val="clear" w:color="auto" w:fill="71E2FF" w:themeFill="accent1" w:themeFillTint="7F"/>
      </w:tcPr>
    </w:tblStylePr>
    <w:tblStylePr w:type="band1Horz">
      <w:tblPr/>
      <w:tcPr>
        <w:shd w:val="clear" w:color="auto" w:fill="71E2FF" w:themeFill="accent1" w:themeFillTint="7F"/>
      </w:tcPr>
    </w:tblStylePr>
  </w:style>
  <w:style w:type="table" w:styleId="ColorfulGrid-Accent2">
    <w:name w:val="Colorful Grid Accent 2"/>
    <w:basedOn w:val="TableNormal"/>
    <w:uiPriority w:val="73"/>
    <w:semiHidden/>
    <w:unhideWhenUsed/>
    <w:rsid w:val="009E6ED7"/>
    <w:rPr>
      <w:color w:val="000000" w:themeColor="text1"/>
    </w:rPr>
    <w:tblPr>
      <w:tblStyleRowBandSize w:val="1"/>
      <w:tblStyleColBandSize w:val="1"/>
      <w:tblBorders>
        <w:insideH w:val="single" w:sz="4" w:space="0" w:color="FFFFFF" w:themeColor="background1"/>
      </w:tblBorders>
    </w:tblPr>
    <w:tcPr>
      <w:shd w:val="clear" w:color="auto" w:fill="EBFFBE" w:themeFill="accent2" w:themeFillTint="33"/>
    </w:tcPr>
    <w:tblStylePr w:type="firstRow">
      <w:rPr>
        <w:b/>
        <w:bCs/>
      </w:rPr>
      <w:tblPr/>
      <w:tcPr>
        <w:shd w:val="clear" w:color="auto" w:fill="D8FF7E" w:themeFill="accent2" w:themeFillTint="66"/>
      </w:tcPr>
    </w:tblStylePr>
    <w:tblStylePr w:type="lastRow">
      <w:rPr>
        <w:b/>
        <w:bCs/>
        <w:color w:val="000000" w:themeColor="text1"/>
      </w:rPr>
      <w:tblPr/>
      <w:tcPr>
        <w:shd w:val="clear" w:color="auto" w:fill="D8FF7E" w:themeFill="accent2" w:themeFillTint="66"/>
      </w:tcPr>
    </w:tblStylePr>
    <w:tblStylePr w:type="firstCol">
      <w:rPr>
        <w:color w:val="FFFFFF" w:themeColor="background1"/>
      </w:rPr>
      <w:tblPr/>
      <w:tcPr>
        <w:shd w:val="clear" w:color="auto" w:fill="628D00" w:themeFill="accent2" w:themeFillShade="BF"/>
      </w:tcPr>
    </w:tblStylePr>
    <w:tblStylePr w:type="lastCol">
      <w:rPr>
        <w:color w:val="FFFFFF" w:themeColor="background1"/>
      </w:rPr>
      <w:tblPr/>
      <w:tcPr>
        <w:shd w:val="clear" w:color="auto" w:fill="628D00" w:themeFill="accent2" w:themeFillShade="BF"/>
      </w:tcPr>
    </w:tblStylePr>
    <w:tblStylePr w:type="band1Vert">
      <w:tblPr/>
      <w:tcPr>
        <w:shd w:val="clear" w:color="auto" w:fill="CEFF5F" w:themeFill="accent2" w:themeFillTint="7F"/>
      </w:tcPr>
    </w:tblStylePr>
    <w:tblStylePr w:type="band1Horz">
      <w:tblPr/>
      <w:tcPr>
        <w:shd w:val="clear" w:color="auto" w:fill="CEFF5F" w:themeFill="accent2" w:themeFillTint="7F"/>
      </w:tcPr>
    </w:tblStylePr>
  </w:style>
  <w:style w:type="table" w:styleId="ColorfulGrid-Accent3">
    <w:name w:val="Colorful Grid Accent 3"/>
    <w:basedOn w:val="TableNormal"/>
    <w:uiPriority w:val="73"/>
    <w:semiHidden/>
    <w:unhideWhenUsed/>
    <w:rsid w:val="009E6ED7"/>
    <w:rPr>
      <w:color w:val="000000" w:themeColor="text1"/>
    </w:rPr>
    <w:tblPr>
      <w:tblStyleRowBandSize w:val="1"/>
      <w:tblStyleColBandSize w:val="1"/>
      <w:tblBorders>
        <w:insideH w:val="single" w:sz="4" w:space="0" w:color="FFFFFF" w:themeColor="background1"/>
      </w:tblBorders>
    </w:tblPr>
    <w:tcPr>
      <w:shd w:val="clear" w:color="auto" w:fill="FDE7D2" w:themeFill="accent3" w:themeFillTint="33"/>
    </w:tcPr>
    <w:tblStylePr w:type="firstRow">
      <w:rPr>
        <w:b/>
        <w:bCs/>
      </w:rPr>
      <w:tblPr/>
      <w:tcPr>
        <w:shd w:val="clear" w:color="auto" w:fill="FBD0A5" w:themeFill="accent3" w:themeFillTint="66"/>
      </w:tcPr>
    </w:tblStylePr>
    <w:tblStylePr w:type="lastRow">
      <w:rPr>
        <w:b/>
        <w:bCs/>
        <w:color w:val="000000" w:themeColor="text1"/>
      </w:rPr>
      <w:tblPr/>
      <w:tcPr>
        <w:shd w:val="clear" w:color="auto" w:fill="FBD0A5" w:themeFill="accent3" w:themeFillTint="66"/>
      </w:tcPr>
    </w:tblStylePr>
    <w:tblStylePr w:type="firstCol">
      <w:rPr>
        <w:color w:val="FFFFFF" w:themeColor="background1"/>
      </w:rPr>
      <w:tblPr/>
      <w:tcPr>
        <w:shd w:val="clear" w:color="auto" w:fill="C76808" w:themeFill="accent3" w:themeFillShade="BF"/>
      </w:tcPr>
    </w:tblStylePr>
    <w:tblStylePr w:type="lastCol">
      <w:rPr>
        <w:color w:val="FFFFFF" w:themeColor="background1"/>
      </w:rPr>
      <w:tblPr/>
      <w:tcPr>
        <w:shd w:val="clear" w:color="auto" w:fill="C76808" w:themeFill="accent3" w:themeFillShade="BF"/>
      </w:tcPr>
    </w:tblStylePr>
    <w:tblStylePr w:type="band1Vert">
      <w:tblPr/>
      <w:tcPr>
        <w:shd w:val="clear" w:color="auto" w:fill="FAC58F" w:themeFill="accent3" w:themeFillTint="7F"/>
      </w:tcPr>
    </w:tblStylePr>
    <w:tblStylePr w:type="band1Horz">
      <w:tblPr/>
      <w:tcPr>
        <w:shd w:val="clear" w:color="auto" w:fill="FAC58F" w:themeFill="accent3" w:themeFillTint="7F"/>
      </w:tcPr>
    </w:tblStylePr>
  </w:style>
  <w:style w:type="table" w:styleId="ColorfulGrid-Accent4">
    <w:name w:val="Colorful Grid Accent 4"/>
    <w:basedOn w:val="TableNormal"/>
    <w:uiPriority w:val="73"/>
    <w:semiHidden/>
    <w:unhideWhenUsed/>
    <w:rsid w:val="009E6ED7"/>
    <w:rPr>
      <w:color w:val="000000" w:themeColor="text1"/>
    </w:rPr>
    <w:tblPr>
      <w:tblStyleRowBandSize w:val="1"/>
      <w:tblStyleColBandSize w:val="1"/>
      <w:tblBorders>
        <w:insideH w:val="single" w:sz="4" w:space="0" w:color="FFFFFF" w:themeColor="background1"/>
      </w:tblBorders>
    </w:tblPr>
    <w:tcPr>
      <w:shd w:val="clear" w:color="auto" w:fill="FFB8F0" w:themeFill="accent4" w:themeFillTint="33"/>
    </w:tcPr>
    <w:tblStylePr w:type="firstRow">
      <w:rPr>
        <w:b/>
        <w:bCs/>
      </w:rPr>
      <w:tblPr/>
      <w:tcPr>
        <w:shd w:val="clear" w:color="auto" w:fill="FF72E2" w:themeFill="accent4" w:themeFillTint="66"/>
      </w:tcPr>
    </w:tblStylePr>
    <w:tblStylePr w:type="lastRow">
      <w:rPr>
        <w:b/>
        <w:bCs/>
        <w:color w:val="000000" w:themeColor="text1"/>
      </w:rPr>
      <w:tblPr/>
      <w:tcPr>
        <w:shd w:val="clear" w:color="auto" w:fill="FF72E2" w:themeFill="accent4" w:themeFillTint="66"/>
      </w:tcPr>
    </w:tblStylePr>
    <w:tblStylePr w:type="firstCol">
      <w:rPr>
        <w:color w:val="FFFFFF" w:themeColor="background1"/>
      </w:rPr>
      <w:tblPr/>
      <w:tcPr>
        <w:shd w:val="clear" w:color="auto" w:fill="76005E" w:themeFill="accent4" w:themeFillShade="BF"/>
      </w:tcPr>
    </w:tblStylePr>
    <w:tblStylePr w:type="lastCol">
      <w:rPr>
        <w:color w:val="FFFFFF" w:themeColor="background1"/>
      </w:rPr>
      <w:tblPr/>
      <w:tcPr>
        <w:shd w:val="clear" w:color="auto" w:fill="76005E" w:themeFill="accent4" w:themeFillShade="BF"/>
      </w:tcPr>
    </w:tblStylePr>
    <w:tblStylePr w:type="band1Vert">
      <w:tblPr/>
      <w:tcPr>
        <w:shd w:val="clear" w:color="auto" w:fill="FF4FDB" w:themeFill="accent4" w:themeFillTint="7F"/>
      </w:tcPr>
    </w:tblStylePr>
    <w:tblStylePr w:type="band1Horz">
      <w:tblPr/>
      <w:tcPr>
        <w:shd w:val="clear" w:color="auto" w:fill="FF4FDB" w:themeFill="accent4" w:themeFillTint="7F"/>
      </w:tcPr>
    </w:tblStylePr>
  </w:style>
  <w:style w:type="table" w:styleId="ColorfulGrid-Accent5">
    <w:name w:val="Colorful Grid Accent 5"/>
    <w:basedOn w:val="TableNormal"/>
    <w:uiPriority w:val="73"/>
    <w:semiHidden/>
    <w:unhideWhenUsed/>
    <w:rsid w:val="009E6ED7"/>
    <w:rPr>
      <w:color w:val="000000" w:themeColor="text1"/>
    </w:rPr>
    <w:tblPr>
      <w:tblStyleRowBandSize w:val="1"/>
      <w:tblStyleColBandSize w:val="1"/>
      <w:tblBorders>
        <w:insideH w:val="single" w:sz="4" w:space="0" w:color="FFFFFF" w:themeColor="background1"/>
      </w:tblBorders>
    </w:tblPr>
    <w:tcPr>
      <w:shd w:val="clear" w:color="auto" w:fill="FFF9CF" w:themeFill="accent5" w:themeFillTint="33"/>
    </w:tcPr>
    <w:tblStylePr w:type="firstRow">
      <w:rPr>
        <w:b/>
        <w:bCs/>
      </w:rPr>
      <w:tblPr/>
      <w:tcPr>
        <w:shd w:val="clear" w:color="auto" w:fill="FFF4A0" w:themeFill="accent5" w:themeFillTint="66"/>
      </w:tcPr>
    </w:tblStylePr>
    <w:tblStylePr w:type="lastRow">
      <w:rPr>
        <w:b/>
        <w:bCs/>
        <w:color w:val="000000" w:themeColor="text1"/>
      </w:rPr>
      <w:tblPr/>
      <w:tcPr>
        <w:shd w:val="clear" w:color="auto" w:fill="FFF4A0" w:themeFill="accent5" w:themeFillTint="66"/>
      </w:tcPr>
    </w:tblStylePr>
    <w:tblStylePr w:type="firstCol">
      <w:rPr>
        <w:color w:val="FFFFFF" w:themeColor="background1"/>
      </w:rPr>
      <w:tblPr/>
      <w:tcPr>
        <w:shd w:val="clear" w:color="auto" w:fill="CCB500" w:themeFill="accent5" w:themeFillShade="BF"/>
      </w:tcPr>
    </w:tblStylePr>
    <w:tblStylePr w:type="lastCol">
      <w:rPr>
        <w:color w:val="FFFFFF" w:themeColor="background1"/>
      </w:rPr>
      <w:tblPr/>
      <w:tcPr>
        <w:shd w:val="clear" w:color="auto" w:fill="CCB500" w:themeFill="accent5" w:themeFillShade="BF"/>
      </w:tcPr>
    </w:tblStylePr>
    <w:tblStylePr w:type="band1Vert">
      <w:tblPr/>
      <w:tcPr>
        <w:shd w:val="clear" w:color="auto" w:fill="FFF288" w:themeFill="accent5" w:themeFillTint="7F"/>
      </w:tcPr>
    </w:tblStylePr>
    <w:tblStylePr w:type="band1Horz">
      <w:tblPr/>
      <w:tcPr>
        <w:shd w:val="clear" w:color="auto" w:fill="FFF288" w:themeFill="accent5" w:themeFillTint="7F"/>
      </w:tcPr>
    </w:tblStylePr>
  </w:style>
  <w:style w:type="table" w:styleId="ColorfulGrid-Accent6">
    <w:name w:val="Colorful Grid Accent 6"/>
    <w:basedOn w:val="TableNormal"/>
    <w:uiPriority w:val="73"/>
    <w:semiHidden/>
    <w:unhideWhenUsed/>
    <w:rsid w:val="009E6ED7"/>
    <w:rPr>
      <w:color w:val="000000" w:themeColor="text1"/>
    </w:rPr>
    <w:tblPr>
      <w:tblStyleRowBandSize w:val="1"/>
      <w:tblStyleColBandSize w:val="1"/>
      <w:tblBorders>
        <w:insideH w:val="single" w:sz="4" w:space="0" w:color="FFFFFF" w:themeColor="background1"/>
      </w:tblBorders>
    </w:tblPr>
    <w:tcPr>
      <w:shd w:val="clear" w:color="auto" w:fill="E8E5E4" w:themeFill="accent6" w:themeFillTint="33"/>
    </w:tcPr>
    <w:tblStylePr w:type="firstRow">
      <w:rPr>
        <w:b/>
        <w:bCs/>
      </w:rPr>
      <w:tblPr/>
      <w:tcPr>
        <w:shd w:val="clear" w:color="auto" w:fill="D1CCC9" w:themeFill="accent6" w:themeFillTint="66"/>
      </w:tcPr>
    </w:tblStylePr>
    <w:tblStylePr w:type="lastRow">
      <w:rPr>
        <w:b/>
        <w:bCs/>
        <w:color w:val="000000" w:themeColor="text1"/>
      </w:rPr>
      <w:tblPr/>
      <w:tcPr>
        <w:shd w:val="clear" w:color="auto" w:fill="D1CCC9" w:themeFill="accent6" w:themeFillTint="66"/>
      </w:tcPr>
    </w:tblStylePr>
    <w:tblStylePr w:type="firstCol">
      <w:rPr>
        <w:color w:val="FFFFFF" w:themeColor="background1"/>
      </w:rPr>
      <w:tblPr/>
      <w:tcPr>
        <w:shd w:val="clear" w:color="auto" w:fill="69615A" w:themeFill="accent6" w:themeFillShade="BF"/>
      </w:tcPr>
    </w:tblStylePr>
    <w:tblStylePr w:type="lastCol">
      <w:rPr>
        <w:color w:val="FFFFFF" w:themeColor="background1"/>
      </w:rPr>
      <w:tblPr/>
      <w:tcPr>
        <w:shd w:val="clear" w:color="auto" w:fill="69615A" w:themeFill="accent6" w:themeFillShade="BF"/>
      </w:tcPr>
    </w:tblStylePr>
    <w:tblStylePr w:type="band1Vert">
      <w:tblPr/>
      <w:tcPr>
        <w:shd w:val="clear" w:color="auto" w:fill="C5C0BC" w:themeFill="accent6" w:themeFillTint="7F"/>
      </w:tcPr>
    </w:tblStylePr>
    <w:tblStylePr w:type="band1Horz">
      <w:tblPr/>
      <w:tcPr>
        <w:shd w:val="clear" w:color="auto" w:fill="C5C0BC" w:themeFill="accent6" w:themeFillTint="7F"/>
      </w:tcPr>
    </w:tblStylePr>
  </w:style>
  <w:style w:type="table" w:styleId="ColorfulList">
    <w:name w:val="Colorful List"/>
    <w:basedOn w:val="TableNormal"/>
    <w:uiPriority w:val="72"/>
    <w:semiHidden/>
    <w:unhideWhenUsed/>
    <w:rsid w:val="009E6ED7"/>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699700" w:themeFill="accent2" w:themeFillShade="CC"/>
      </w:tcPr>
    </w:tblStylePr>
    <w:tblStylePr w:type="lastRow">
      <w:rPr>
        <w:b/>
        <w:bCs/>
        <w:color w:val="699700"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semiHidden/>
    <w:unhideWhenUsed/>
    <w:rsid w:val="009E6ED7"/>
    <w:rPr>
      <w:color w:val="000000" w:themeColor="text1"/>
    </w:rPr>
    <w:tblPr>
      <w:tblStyleRowBandSize w:val="1"/>
      <w:tblStyleColBandSize w:val="1"/>
    </w:tblPr>
    <w:tcPr>
      <w:shd w:val="clear" w:color="auto" w:fill="E3F9FF" w:themeFill="accent1" w:themeFillTint="19"/>
    </w:tcPr>
    <w:tblStylePr w:type="firstRow">
      <w:rPr>
        <w:b/>
        <w:bCs/>
        <w:color w:val="FFFFFF" w:themeColor="background1"/>
      </w:rPr>
      <w:tblPr/>
      <w:tcPr>
        <w:tcBorders>
          <w:bottom w:val="single" w:sz="12" w:space="0" w:color="FFFFFF" w:themeColor="background1"/>
        </w:tcBorders>
        <w:shd w:val="clear" w:color="auto" w:fill="699700" w:themeFill="accent2" w:themeFillShade="CC"/>
      </w:tcPr>
    </w:tblStylePr>
    <w:tblStylePr w:type="lastRow">
      <w:rPr>
        <w:b/>
        <w:bCs/>
        <w:color w:val="699700"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B8F0FF" w:themeFill="accent1" w:themeFillTint="3F"/>
      </w:tcPr>
    </w:tblStylePr>
    <w:tblStylePr w:type="band1Horz">
      <w:tblPr/>
      <w:tcPr>
        <w:shd w:val="clear" w:color="auto" w:fill="C6F3FF" w:themeFill="accent1" w:themeFillTint="33"/>
      </w:tcPr>
    </w:tblStylePr>
  </w:style>
  <w:style w:type="table" w:styleId="ColorfulList-Accent2">
    <w:name w:val="Colorful List Accent 2"/>
    <w:basedOn w:val="TableNormal"/>
    <w:uiPriority w:val="72"/>
    <w:semiHidden/>
    <w:unhideWhenUsed/>
    <w:rsid w:val="009E6ED7"/>
    <w:rPr>
      <w:color w:val="000000" w:themeColor="text1"/>
    </w:rPr>
    <w:tblPr>
      <w:tblStyleRowBandSize w:val="1"/>
      <w:tblStyleColBandSize w:val="1"/>
    </w:tblPr>
    <w:tcPr>
      <w:shd w:val="clear" w:color="auto" w:fill="F5FFDF" w:themeFill="accent2" w:themeFillTint="19"/>
    </w:tcPr>
    <w:tblStylePr w:type="firstRow">
      <w:rPr>
        <w:b/>
        <w:bCs/>
        <w:color w:val="FFFFFF" w:themeColor="background1"/>
      </w:rPr>
      <w:tblPr/>
      <w:tcPr>
        <w:tcBorders>
          <w:bottom w:val="single" w:sz="12" w:space="0" w:color="FFFFFF" w:themeColor="background1"/>
        </w:tcBorders>
        <w:shd w:val="clear" w:color="auto" w:fill="699700" w:themeFill="accent2" w:themeFillShade="CC"/>
      </w:tcPr>
    </w:tblStylePr>
    <w:tblStylePr w:type="lastRow">
      <w:rPr>
        <w:b/>
        <w:bCs/>
        <w:color w:val="699700"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7FFAF" w:themeFill="accent2" w:themeFillTint="3F"/>
      </w:tcPr>
    </w:tblStylePr>
    <w:tblStylePr w:type="band1Horz">
      <w:tblPr/>
      <w:tcPr>
        <w:shd w:val="clear" w:color="auto" w:fill="EBFFBE" w:themeFill="accent2" w:themeFillTint="33"/>
      </w:tcPr>
    </w:tblStylePr>
  </w:style>
  <w:style w:type="table" w:styleId="ColorfulList-Accent3">
    <w:name w:val="Colorful List Accent 3"/>
    <w:basedOn w:val="TableNormal"/>
    <w:uiPriority w:val="72"/>
    <w:semiHidden/>
    <w:unhideWhenUsed/>
    <w:rsid w:val="009E6ED7"/>
    <w:rPr>
      <w:color w:val="000000" w:themeColor="text1"/>
    </w:rPr>
    <w:tblPr>
      <w:tblStyleRowBandSize w:val="1"/>
      <w:tblStyleColBandSize w:val="1"/>
    </w:tblPr>
    <w:tcPr>
      <w:shd w:val="clear" w:color="auto" w:fill="FEF3E8" w:themeFill="accent3" w:themeFillTint="19"/>
    </w:tcPr>
    <w:tblStylePr w:type="firstRow">
      <w:rPr>
        <w:b/>
        <w:bCs/>
        <w:color w:val="FFFFFF" w:themeColor="background1"/>
      </w:rPr>
      <w:tblPr/>
      <w:tcPr>
        <w:tcBorders>
          <w:bottom w:val="single" w:sz="12" w:space="0" w:color="FFFFFF" w:themeColor="background1"/>
        </w:tcBorders>
        <w:shd w:val="clear" w:color="auto" w:fill="7E0064" w:themeFill="accent4" w:themeFillShade="CC"/>
      </w:tcPr>
    </w:tblStylePr>
    <w:tblStylePr w:type="lastRow">
      <w:rPr>
        <w:b/>
        <w:bCs/>
        <w:color w:val="7E0064"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CE2C7" w:themeFill="accent3" w:themeFillTint="3F"/>
      </w:tcPr>
    </w:tblStylePr>
    <w:tblStylePr w:type="band1Horz">
      <w:tblPr/>
      <w:tcPr>
        <w:shd w:val="clear" w:color="auto" w:fill="FDE7D2" w:themeFill="accent3" w:themeFillTint="33"/>
      </w:tcPr>
    </w:tblStylePr>
  </w:style>
  <w:style w:type="table" w:styleId="ColorfulList-Accent4">
    <w:name w:val="Colorful List Accent 4"/>
    <w:basedOn w:val="TableNormal"/>
    <w:uiPriority w:val="72"/>
    <w:semiHidden/>
    <w:unhideWhenUsed/>
    <w:rsid w:val="009E6ED7"/>
    <w:rPr>
      <w:color w:val="000000" w:themeColor="text1"/>
    </w:rPr>
    <w:tblPr>
      <w:tblStyleRowBandSize w:val="1"/>
      <w:tblStyleColBandSize w:val="1"/>
    </w:tblPr>
    <w:tcPr>
      <w:shd w:val="clear" w:color="auto" w:fill="FFDCF7" w:themeFill="accent4" w:themeFillTint="19"/>
    </w:tcPr>
    <w:tblStylePr w:type="firstRow">
      <w:rPr>
        <w:b/>
        <w:bCs/>
        <w:color w:val="FFFFFF" w:themeColor="background1"/>
      </w:rPr>
      <w:tblPr/>
      <w:tcPr>
        <w:tcBorders>
          <w:bottom w:val="single" w:sz="12" w:space="0" w:color="FFFFFF" w:themeColor="background1"/>
        </w:tcBorders>
        <w:shd w:val="clear" w:color="auto" w:fill="D46F08" w:themeFill="accent3" w:themeFillShade="CC"/>
      </w:tcPr>
    </w:tblStylePr>
    <w:tblStylePr w:type="lastRow">
      <w:rPr>
        <w:b/>
        <w:bCs/>
        <w:color w:val="D46F08"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A8ED" w:themeFill="accent4" w:themeFillTint="3F"/>
      </w:tcPr>
    </w:tblStylePr>
    <w:tblStylePr w:type="band1Horz">
      <w:tblPr/>
      <w:tcPr>
        <w:shd w:val="clear" w:color="auto" w:fill="FFB8F0" w:themeFill="accent4" w:themeFillTint="33"/>
      </w:tcPr>
    </w:tblStylePr>
  </w:style>
  <w:style w:type="table" w:styleId="ColorfulList-Accent5">
    <w:name w:val="Colorful List Accent 5"/>
    <w:basedOn w:val="TableNormal"/>
    <w:uiPriority w:val="72"/>
    <w:semiHidden/>
    <w:unhideWhenUsed/>
    <w:rsid w:val="009E6ED7"/>
    <w:rPr>
      <w:color w:val="000000" w:themeColor="text1"/>
    </w:rPr>
    <w:tblPr>
      <w:tblStyleRowBandSize w:val="1"/>
      <w:tblStyleColBandSize w:val="1"/>
    </w:tblPr>
    <w:tcPr>
      <w:shd w:val="clear" w:color="auto" w:fill="FFFCE7" w:themeFill="accent5" w:themeFillTint="19"/>
    </w:tcPr>
    <w:tblStylePr w:type="firstRow">
      <w:rPr>
        <w:b/>
        <w:bCs/>
        <w:color w:val="FFFFFF" w:themeColor="background1"/>
      </w:rPr>
      <w:tblPr/>
      <w:tcPr>
        <w:tcBorders>
          <w:bottom w:val="single" w:sz="12" w:space="0" w:color="FFFFFF" w:themeColor="background1"/>
        </w:tcBorders>
        <w:shd w:val="clear" w:color="auto" w:fill="706760" w:themeFill="accent6" w:themeFillShade="CC"/>
      </w:tcPr>
    </w:tblStylePr>
    <w:tblStylePr w:type="lastRow">
      <w:rPr>
        <w:b/>
        <w:bCs/>
        <w:color w:val="706760"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F8C4" w:themeFill="accent5" w:themeFillTint="3F"/>
      </w:tcPr>
    </w:tblStylePr>
    <w:tblStylePr w:type="band1Horz">
      <w:tblPr/>
      <w:tcPr>
        <w:shd w:val="clear" w:color="auto" w:fill="FFF9CF" w:themeFill="accent5" w:themeFillTint="33"/>
      </w:tcPr>
    </w:tblStylePr>
  </w:style>
  <w:style w:type="table" w:styleId="ColorfulList-Accent6">
    <w:name w:val="Colorful List Accent 6"/>
    <w:basedOn w:val="TableNormal"/>
    <w:uiPriority w:val="72"/>
    <w:semiHidden/>
    <w:unhideWhenUsed/>
    <w:rsid w:val="009E6ED7"/>
    <w:rPr>
      <w:color w:val="000000" w:themeColor="text1"/>
    </w:rPr>
    <w:tblPr>
      <w:tblStyleRowBandSize w:val="1"/>
      <w:tblStyleColBandSize w:val="1"/>
    </w:tblPr>
    <w:tcPr>
      <w:shd w:val="clear" w:color="auto" w:fill="F3F2F1" w:themeFill="accent6" w:themeFillTint="19"/>
    </w:tcPr>
    <w:tblStylePr w:type="firstRow">
      <w:rPr>
        <w:b/>
        <w:bCs/>
        <w:color w:val="FFFFFF" w:themeColor="background1"/>
      </w:rPr>
      <w:tblPr/>
      <w:tcPr>
        <w:tcBorders>
          <w:bottom w:val="single" w:sz="12" w:space="0" w:color="FFFFFF" w:themeColor="background1"/>
        </w:tcBorders>
        <w:shd w:val="clear" w:color="auto" w:fill="DAC200" w:themeFill="accent5" w:themeFillShade="CC"/>
      </w:tcPr>
    </w:tblStylePr>
    <w:tblStylePr w:type="lastRow">
      <w:rPr>
        <w:b/>
        <w:bCs/>
        <w:color w:val="DAC200"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2E0DD" w:themeFill="accent6" w:themeFillTint="3F"/>
      </w:tcPr>
    </w:tblStylePr>
    <w:tblStylePr w:type="band1Horz">
      <w:tblPr/>
      <w:tcPr>
        <w:shd w:val="clear" w:color="auto" w:fill="E8E5E4" w:themeFill="accent6" w:themeFillTint="33"/>
      </w:tcPr>
    </w:tblStylePr>
  </w:style>
  <w:style w:type="table" w:styleId="ColorfulShading">
    <w:name w:val="Colorful Shading"/>
    <w:basedOn w:val="TableNormal"/>
    <w:uiPriority w:val="71"/>
    <w:semiHidden/>
    <w:unhideWhenUsed/>
    <w:rsid w:val="009E6ED7"/>
    <w:rPr>
      <w:color w:val="000000" w:themeColor="text1"/>
    </w:rPr>
    <w:tblPr>
      <w:tblStyleRowBandSize w:val="1"/>
      <w:tblStyleColBandSize w:val="1"/>
      <w:tblBorders>
        <w:top w:val="single" w:sz="24" w:space="0" w:color="84BD00"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84BD00"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semiHidden/>
    <w:unhideWhenUsed/>
    <w:rsid w:val="009E6ED7"/>
    <w:rPr>
      <w:color w:val="000000" w:themeColor="text1"/>
    </w:rPr>
    <w:tblPr>
      <w:tblStyleRowBandSize w:val="1"/>
      <w:tblStyleColBandSize w:val="1"/>
      <w:tblBorders>
        <w:top w:val="single" w:sz="24" w:space="0" w:color="84BD00" w:themeColor="accent2"/>
        <w:left w:val="single" w:sz="4" w:space="0" w:color="00B5E2" w:themeColor="accent1"/>
        <w:bottom w:val="single" w:sz="4" w:space="0" w:color="00B5E2" w:themeColor="accent1"/>
        <w:right w:val="single" w:sz="4" w:space="0" w:color="00B5E2" w:themeColor="accent1"/>
        <w:insideH w:val="single" w:sz="4" w:space="0" w:color="FFFFFF" w:themeColor="background1"/>
        <w:insideV w:val="single" w:sz="4" w:space="0" w:color="FFFFFF" w:themeColor="background1"/>
      </w:tblBorders>
    </w:tblPr>
    <w:tcPr>
      <w:shd w:val="clear" w:color="auto" w:fill="E3F9FF" w:themeFill="accent1" w:themeFillTint="19"/>
    </w:tcPr>
    <w:tblStylePr w:type="firstRow">
      <w:rPr>
        <w:b/>
        <w:bCs/>
      </w:rPr>
      <w:tblPr/>
      <w:tcPr>
        <w:tcBorders>
          <w:top w:val="nil"/>
          <w:left w:val="nil"/>
          <w:bottom w:val="single" w:sz="24" w:space="0" w:color="84BD00"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6C87" w:themeFill="accent1" w:themeFillShade="99"/>
      </w:tcPr>
    </w:tblStylePr>
    <w:tblStylePr w:type="firstCol">
      <w:rPr>
        <w:color w:val="FFFFFF" w:themeColor="background1"/>
      </w:rPr>
      <w:tblPr/>
      <w:tcPr>
        <w:tcBorders>
          <w:top w:val="nil"/>
          <w:left w:val="nil"/>
          <w:bottom w:val="nil"/>
          <w:right w:val="nil"/>
          <w:insideH w:val="single" w:sz="4" w:space="0" w:color="006C87" w:themeColor="accent1" w:themeShade="99"/>
          <w:insideV w:val="nil"/>
        </w:tcBorders>
        <w:shd w:val="clear" w:color="auto" w:fill="006C87"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006C87" w:themeFill="accent1" w:themeFillShade="99"/>
      </w:tcPr>
    </w:tblStylePr>
    <w:tblStylePr w:type="band1Vert">
      <w:tblPr/>
      <w:tcPr>
        <w:shd w:val="clear" w:color="auto" w:fill="8DE8FF" w:themeFill="accent1" w:themeFillTint="66"/>
      </w:tcPr>
    </w:tblStylePr>
    <w:tblStylePr w:type="band1Horz">
      <w:tblPr/>
      <w:tcPr>
        <w:shd w:val="clear" w:color="auto" w:fill="71E2FF"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semiHidden/>
    <w:unhideWhenUsed/>
    <w:rsid w:val="009E6ED7"/>
    <w:rPr>
      <w:color w:val="000000" w:themeColor="text1"/>
    </w:rPr>
    <w:tblPr>
      <w:tblStyleRowBandSize w:val="1"/>
      <w:tblStyleColBandSize w:val="1"/>
      <w:tblBorders>
        <w:top w:val="single" w:sz="24" w:space="0" w:color="84BD00" w:themeColor="accent2"/>
        <w:left w:val="single" w:sz="4" w:space="0" w:color="84BD00" w:themeColor="accent2"/>
        <w:bottom w:val="single" w:sz="4" w:space="0" w:color="84BD00" w:themeColor="accent2"/>
        <w:right w:val="single" w:sz="4" w:space="0" w:color="84BD00" w:themeColor="accent2"/>
        <w:insideH w:val="single" w:sz="4" w:space="0" w:color="FFFFFF" w:themeColor="background1"/>
        <w:insideV w:val="single" w:sz="4" w:space="0" w:color="FFFFFF" w:themeColor="background1"/>
      </w:tblBorders>
    </w:tblPr>
    <w:tcPr>
      <w:shd w:val="clear" w:color="auto" w:fill="F5FFDF" w:themeFill="accent2" w:themeFillTint="19"/>
    </w:tcPr>
    <w:tblStylePr w:type="firstRow">
      <w:rPr>
        <w:b/>
        <w:bCs/>
      </w:rPr>
      <w:tblPr/>
      <w:tcPr>
        <w:tcBorders>
          <w:top w:val="nil"/>
          <w:left w:val="nil"/>
          <w:bottom w:val="single" w:sz="24" w:space="0" w:color="84BD00"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F7100" w:themeFill="accent2" w:themeFillShade="99"/>
      </w:tcPr>
    </w:tblStylePr>
    <w:tblStylePr w:type="firstCol">
      <w:rPr>
        <w:color w:val="FFFFFF" w:themeColor="background1"/>
      </w:rPr>
      <w:tblPr/>
      <w:tcPr>
        <w:tcBorders>
          <w:top w:val="nil"/>
          <w:left w:val="nil"/>
          <w:bottom w:val="nil"/>
          <w:right w:val="nil"/>
          <w:insideH w:val="single" w:sz="4" w:space="0" w:color="4F7100" w:themeColor="accent2" w:themeShade="99"/>
          <w:insideV w:val="nil"/>
        </w:tcBorders>
        <w:shd w:val="clear" w:color="auto" w:fill="4F7100"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4F7100" w:themeFill="accent2" w:themeFillShade="99"/>
      </w:tcPr>
    </w:tblStylePr>
    <w:tblStylePr w:type="band1Vert">
      <w:tblPr/>
      <w:tcPr>
        <w:shd w:val="clear" w:color="auto" w:fill="D8FF7E" w:themeFill="accent2" w:themeFillTint="66"/>
      </w:tcPr>
    </w:tblStylePr>
    <w:tblStylePr w:type="band1Horz">
      <w:tblPr/>
      <w:tcPr>
        <w:shd w:val="clear" w:color="auto" w:fill="CEFF5F"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semiHidden/>
    <w:unhideWhenUsed/>
    <w:rsid w:val="009E6ED7"/>
    <w:rPr>
      <w:color w:val="000000" w:themeColor="text1"/>
    </w:rPr>
    <w:tblPr>
      <w:tblStyleRowBandSize w:val="1"/>
      <w:tblStyleColBandSize w:val="1"/>
      <w:tblBorders>
        <w:top w:val="single" w:sz="24" w:space="0" w:color="9E007E" w:themeColor="accent4"/>
        <w:left w:val="single" w:sz="4" w:space="0" w:color="F68B1F" w:themeColor="accent3"/>
        <w:bottom w:val="single" w:sz="4" w:space="0" w:color="F68B1F" w:themeColor="accent3"/>
        <w:right w:val="single" w:sz="4" w:space="0" w:color="F68B1F" w:themeColor="accent3"/>
        <w:insideH w:val="single" w:sz="4" w:space="0" w:color="FFFFFF" w:themeColor="background1"/>
        <w:insideV w:val="single" w:sz="4" w:space="0" w:color="FFFFFF" w:themeColor="background1"/>
      </w:tblBorders>
    </w:tblPr>
    <w:tcPr>
      <w:shd w:val="clear" w:color="auto" w:fill="FEF3E8" w:themeFill="accent3" w:themeFillTint="19"/>
    </w:tcPr>
    <w:tblStylePr w:type="firstRow">
      <w:rPr>
        <w:b/>
        <w:bCs/>
      </w:rPr>
      <w:tblPr/>
      <w:tcPr>
        <w:tcBorders>
          <w:top w:val="nil"/>
          <w:left w:val="nil"/>
          <w:bottom w:val="single" w:sz="24" w:space="0" w:color="9E007E"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F5306" w:themeFill="accent3" w:themeFillShade="99"/>
      </w:tcPr>
    </w:tblStylePr>
    <w:tblStylePr w:type="firstCol">
      <w:rPr>
        <w:color w:val="FFFFFF" w:themeColor="background1"/>
      </w:rPr>
      <w:tblPr/>
      <w:tcPr>
        <w:tcBorders>
          <w:top w:val="nil"/>
          <w:left w:val="nil"/>
          <w:bottom w:val="nil"/>
          <w:right w:val="nil"/>
          <w:insideH w:val="single" w:sz="4" w:space="0" w:color="9F5306" w:themeColor="accent3" w:themeShade="99"/>
          <w:insideV w:val="nil"/>
        </w:tcBorders>
        <w:shd w:val="clear" w:color="auto" w:fill="9F5306"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9F5306" w:themeFill="accent3" w:themeFillShade="99"/>
      </w:tcPr>
    </w:tblStylePr>
    <w:tblStylePr w:type="band1Vert">
      <w:tblPr/>
      <w:tcPr>
        <w:shd w:val="clear" w:color="auto" w:fill="FBD0A5" w:themeFill="accent3" w:themeFillTint="66"/>
      </w:tcPr>
    </w:tblStylePr>
    <w:tblStylePr w:type="band1Horz">
      <w:tblPr/>
      <w:tcPr>
        <w:shd w:val="clear" w:color="auto" w:fill="FAC58F" w:themeFill="accent3" w:themeFillTint="7F"/>
      </w:tcPr>
    </w:tblStylePr>
  </w:style>
  <w:style w:type="table" w:styleId="ColorfulShading-Accent4">
    <w:name w:val="Colorful Shading Accent 4"/>
    <w:basedOn w:val="TableNormal"/>
    <w:uiPriority w:val="71"/>
    <w:semiHidden/>
    <w:unhideWhenUsed/>
    <w:rsid w:val="009E6ED7"/>
    <w:rPr>
      <w:color w:val="000000" w:themeColor="text1"/>
    </w:rPr>
    <w:tblPr>
      <w:tblStyleRowBandSize w:val="1"/>
      <w:tblStyleColBandSize w:val="1"/>
      <w:tblBorders>
        <w:top w:val="single" w:sz="24" w:space="0" w:color="F68B1F" w:themeColor="accent3"/>
        <w:left w:val="single" w:sz="4" w:space="0" w:color="9E007E" w:themeColor="accent4"/>
        <w:bottom w:val="single" w:sz="4" w:space="0" w:color="9E007E" w:themeColor="accent4"/>
        <w:right w:val="single" w:sz="4" w:space="0" w:color="9E007E" w:themeColor="accent4"/>
        <w:insideH w:val="single" w:sz="4" w:space="0" w:color="FFFFFF" w:themeColor="background1"/>
        <w:insideV w:val="single" w:sz="4" w:space="0" w:color="FFFFFF" w:themeColor="background1"/>
      </w:tblBorders>
    </w:tblPr>
    <w:tcPr>
      <w:shd w:val="clear" w:color="auto" w:fill="FFDCF7" w:themeFill="accent4" w:themeFillTint="19"/>
    </w:tcPr>
    <w:tblStylePr w:type="firstRow">
      <w:rPr>
        <w:b/>
        <w:bCs/>
      </w:rPr>
      <w:tblPr/>
      <w:tcPr>
        <w:tcBorders>
          <w:top w:val="nil"/>
          <w:left w:val="nil"/>
          <w:bottom w:val="single" w:sz="24" w:space="0" w:color="F68B1F"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004B" w:themeFill="accent4" w:themeFillShade="99"/>
      </w:tcPr>
    </w:tblStylePr>
    <w:tblStylePr w:type="firstCol">
      <w:rPr>
        <w:color w:val="FFFFFF" w:themeColor="background1"/>
      </w:rPr>
      <w:tblPr/>
      <w:tcPr>
        <w:tcBorders>
          <w:top w:val="nil"/>
          <w:left w:val="nil"/>
          <w:bottom w:val="nil"/>
          <w:right w:val="nil"/>
          <w:insideH w:val="single" w:sz="4" w:space="0" w:color="5E004B" w:themeColor="accent4" w:themeShade="99"/>
          <w:insideV w:val="nil"/>
        </w:tcBorders>
        <w:shd w:val="clear" w:color="auto" w:fill="5E004B"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5E004B" w:themeFill="accent4" w:themeFillShade="99"/>
      </w:tcPr>
    </w:tblStylePr>
    <w:tblStylePr w:type="band1Vert">
      <w:tblPr/>
      <w:tcPr>
        <w:shd w:val="clear" w:color="auto" w:fill="FF72E2" w:themeFill="accent4" w:themeFillTint="66"/>
      </w:tcPr>
    </w:tblStylePr>
    <w:tblStylePr w:type="band1Horz">
      <w:tblPr/>
      <w:tcPr>
        <w:shd w:val="clear" w:color="auto" w:fill="FF4FDB"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semiHidden/>
    <w:unhideWhenUsed/>
    <w:rsid w:val="009E6ED7"/>
    <w:rPr>
      <w:color w:val="000000" w:themeColor="text1"/>
    </w:rPr>
    <w:tblPr>
      <w:tblStyleRowBandSize w:val="1"/>
      <w:tblStyleColBandSize w:val="1"/>
      <w:tblBorders>
        <w:top w:val="single" w:sz="24" w:space="0" w:color="8C8279" w:themeColor="accent6"/>
        <w:left w:val="single" w:sz="4" w:space="0" w:color="FFE512" w:themeColor="accent5"/>
        <w:bottom w:val="single" w:sz="4" w:space="0" w:color="FFE512" w:themeColor="accent5"/>
        <w:right w:val="single" w:sz="4" w:space="0" w:color="FFE512" w:themeColor="accent5"/>
        <w:insideH w:val="single" w:sz="4" w:space="0" w:color="FFFFFF" w:themeColor="background1"/>
        <w:insideV w:val="single" w:sz="4" w:space="0" w:color="FFFFFF" w:themeColor="background1"/>
      </w:tblBorders>
    </w:tblPr>
    <w:tcPr>
      <w:shd w:val="clear" w:color="auto" w:fill="FFFCE7" w:themeFill="accent5" w:themeFillTint="19"/>
    </w:tcPr>
    <w:tblStylePr w:type="firstRow">
      <w:rPr>
        <w:b/>
        <w:bCs/>
      </w:rPr>
      <w:tblPr/>
      <w:tcPr>
        <w:tcBorders>
          <w:top w:val="nil"/>
          <w:left w:val="nil"/>
          <w:bottom w:val="single" w:sz="24" w:space="0" w:color="8C8279"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A39100" w:themeFill="accent5" w:themeFillShade="99"/>
      </w:tcPr>
    </w:tblStylePr>
    <w:tblStylePr w:type="firstCol">
      <w:rPr>
        <w:color w:val="FFFFFF" w:themeColor="background1"/>
      </w:rPr>
      <w:tblPr/>
      <w:tcPr>
        <w:tcBorders>
          <w:top w:val="nil"/>
          <w:left w:val="nil"/>
          <w:bottom w:val="nil"/>
          <w:right w:val="nil"/>
          <w:insideH w:val="single" w:sz="4" w:space="0" w:color="A39100" w:themeColor="accent5" w:themeShade="99"/>
          <w:insideV w:val="nil"/>
        </w:tcBorders>
        <w:shd w:val="clear" w:color="auto" w:fill="A39100"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A39100" w:themeFill="accent5" w:themeFillShade="99"/>
      </w:tcPr>
    </w:tblStylePr>
    <w:tblStylePr w:type="band1Vert">
      <w:tblPr/>
      <w:tcPr>
        <w:shd w:val="clear" w:color="auto" w:fill="FFF4A0" w:themeFill="accent5" w:themeFillTint="66"/>
      </w:tcPr>
    </w:tblStylePr>
    <w:tblStylePr w:type="band1Horz">
      <w:tblPr/>
      <w:tcPr>
        <w:shd w:val="clear" w:color="auto" w:fill="FFF288"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semiHidden/>
    <w:unhideWhenUsed/>
    <w:rsid w:val="009E6ED7"/>
    <w:rPr>
      <w:color w:val="000000" w:themeColor="text1"/>
    </w:rPr>
    <w:tblPr>
      <w:tblStyleRowBandSize w:val="1"/>
      <w:tblStyleColBandSize w:val="1"/>
      <w:tblBorders>
        <w:top w:val="single" w:sz="24" w:space="0" w:color="FFE512" w:themeColor="accent5"/>
        <w:left w:val="single" w:sz="4" w:space="0" w:color="8C8279" w:themeColor="accent6"/>
        <w:bottom w:val="single" w:sz="4" w:space="0" w:color="8C8279" w:themeColor="accent6"/>
        <w:right w:val="single" w:sz="4" w:space="0" w:color="8C8279" w:themeColor="accent6"/>
        <w:insideH w:val="single" w:sz="4" w:space="0" w:color="FFFFFF" w:themeColor="background1"/>
        <w:insideV w:val="single" w:sz="4" w:space="0" w:color="FFFFFF" w:themeColor="background1"/>
      </w:tblBorders>
    </w:tblPr>
    <w:tcPr>
      <w:shd w:val="clear" w:color="auto" w:fill="F3F2F1" w:themeFill="accent6" w:themeFillTint="19"/>
    </w:tcPr>
    <w:tblStylePr w:type="firstRow">
      <w:rPr>
        <w:b/>
        <w:bCs/>
      </w:rPr>
      <w:tblPr/>
      <w:tcPr>
        <w:tcBorders>
          <w:top w:val="nil"/>
          <w:left w:val="nil"/>
          <w:bottom w:val="single" w:sz="24" w:space="0" w:color="FFE512"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44D48" w:themeFill="accent6" w:themeFillShade="99"/>
      </w:tcPr>
    </w:tblStylePr>
    <w:tblStylePr w:type="firstCol">
      <w:rPr>
        <w:color w:val="FFFFFF" w:themeColor="background1"/>
      </w:rPr>
      <w:tblPr/>
      <w:tcPr>
        <w:tcBorders>
          <w:top w:val="nil"/>
          <w:left w:val="nil"/>
          <w:bottom w:val="nil"/>
          <w:right w:val="nil"/>
          <w:insideH w:val="single" w:sz="4" w:space="0" w:color="544D48" w:themeColor="accent6" w:themeShade="99"/>
          <w:insideV w:val="nil"/>
        </w:tcBorders>
        <w:shd w:val="clear" w:color="auto" w:fill="544D4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544D48" w:themeFill="accent6" w:themeFillShade="99"/>
      </w:tcPr>
    </w:tblStylePr>
    <w:tblStylePr w:type="band1Vert">
      <w:tblPr/>
      <w:tcPr>
        <w:shd w:val="clear" w:color="auto" w:fill="D1CCC9" w:themeFill="accent6" w:themeFillTint="66"/>
      </w:tcPr>
    </w:tblStylePr>
    <w:tblStylePr w:type="band1Horz">
      <w:tblPr/>
      <w:tcPr>
        <w:shd w:val="clear" w:color="auto" w:fill="C5C0BC" w:themeFill="accent6" w:themeFillTint="7F"/>
      </w:tcPr>
    </w:tblStylePr>
    <w:tblStylePr w:type="neCell">
      <w:rPr>
        <w:color w:val="000000" w:themeColor="text1"/>
      </w:rPr>
    </w:tblStylePr>
    <w:tblStylePr w:type="nwCell">
      <w:rPr>
        <w:color w:val="000000" w:themeColor="text1"/>
      </w:rPr>
    </w:tblStylePr>
  </w:style>
  <w:style w:type="table" w:styleId="DarkList">
    <w:name w:val="Dark List"/>
    <w:basedOn w:val="TableNormal"/>
    <w:uiPriority w:val="70"/>
    <w:semiHidden/>
    <w:unhideWhenUsed/>
    <w:rsid w:val="009E6ED7"/>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semiHidden/>
    <w:unhideWhenUsed/>
    <w:rsid w:val="009E6ED7"/>
    <w:rPr>
      <w:color w:val="FFFFFF" w:themeColor="background1"/>
    </w:rPr>
    <w:tblPr>
      <w:tblStyleRowBandSize w:val="1"/>
      <w:tblStyleColBandSize w:val="1"/>
    </w:tblPr>
    <w:tcPr>
      <w:shd w:val="clear" w:color="auto" w:fill="00B5E2"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597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0087A9"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0087A9" w:themeFill="accent1" w:themeFillShade="BF"/>
      </w:tcPr>
    </w:tblStylePr>
    <w:tblStylePr w:type="band1Vert">
      <w:tblPr/>
      <w:tcPr>
        <w:tcBorders>
          <w:top w:val="nil"/>
          <w:left w:val="nil"/>
          <w:bottom w:val="nil"/>
          <w:right w:val="nil"/>
          <w:insideH w:val="nil"/>
          <w:insideV w:val="nil"/>
        </w:tcBorders>
        <w:shd w:val="clear" w:color="auto" w:fill="0087A9" w:themeFill="accent1" w:themeFillShade="BF"/>
      </w:tcPr>
    </w:tblStylePr>
    <w:tblStylePr w:type="band1Horz">
      <w:tblPr/>
      <w:tcPr>
        <w:tcBorders>
          <w:top w:val="nil"/>
          <w:left w:val="nil"/>
          <w:bottom w:val="nil"/>
          <w:right w:val="nil"/>
          <w:insideH w:val="nil"/>
          <w:insideV w:val="nil"/>
        </w:tcBorders>
        <w:shd w:val="clear" w:color="auto" w:fill="0087A9" w:themeFill="accent1" w:themeFillShade="BF"/>
      </w:tcPr>
    </w:tblStylePr>
  </w:style>
  <w:style w:type="table" w:styleId="DarkList-Accent2">
    <w:name w:val="Dark List Accent 2"/>
    <w:basedOn w:val="TableNormal"/>
    <w:uiPriority w:val="70"/>
    <w:semiHidden/>
    <w:unhideWhenUsed/>
    <w:rsid w:val="009E6ED7"/>
    <w:rPr>
      <w:color w:val="FFFFFF" w:themeColor="background1"/>
    </w:rPr>
    <w:tblPr>
      <w:tblStyleRowBandSize w:val="1"/>
      <w:tblStyleColBandSize w:val="1"/>
    </w:tblPr>
    <w:tcPr>
      <w:shd w:val="clear" w:color="auto" w:fill="84BD00"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15E00"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628D00"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628D00" w:themeFill="accent2" w:themeFillShade="BF"/>
      </w:tcPr>
    </w:tblStylePr>
    <w:tblStylePr w:type="band1Vert">
      <w:tblPr/>
      <w:tcPr>
        <w:tcBorders>
          <w:top w:val="nil"/>
          <w:left w:val="nil"/>
          <w:bottom w:val="nil"/>
          <w:right w:val="nil"/>
          <w:insideH w:val="nil"/>
          <w:insideV w:val="nil"/>
        </w:tcBorders>
        <w:shd w:val="clear" w:color="auto" w:fill="628D00" w:themeFill="accent2" w:themeFillShade="BF"/>
      </w:tcPr>
    </w:tblStylePr>
    <w:tblStylePr w:type="band1Horz">
      <w:tblPr/>
      <w:tcPr>
        <w:tcBorders>
          <w:top w:val="nil"/>
          <w:left w:val="nil"/>
          <w:bottom w:val="nil"/>
          <w:right w:val="nil"/>
          <w:insideH w:val="nil"/>
          <w:insideV w:val="nil"/>
        </w:tcBorders>
        <w:shd w:val="clear" w:color="auto" w:fill="628D00" w:themeFill="accent2" w:themeFillShade="BF"/>
      </w:tcPr>
    </w:tblStylePr>
  </w:style>
  <w:style w:type="table" w:styleId="DarkList-Accent3">
    <w:name w:val="Dark List Accent 3"/>
    <w:basedOn w:val="TableNormal"/>
    <w:uiPriority w:val="70"/>
    <w:semiHidden/>
    <w:unhideWhenUsed/>
    <w:rsid w:val="009E6ED7"/>
    <w:rPr>
      <w:color w:val="FFFFFF" w:themeColor="background1"/>
    </w:rPr>
    <w:tblPr>
      <w:tblStyleRowBandSize w:val="1"/>
      <w:tblStyleColBandSize w:val="1"/>
    </w:tblPr>
    <w:tcPr>
      <w:shd w:val="clear" w:color="auto" w:fill="F68B1F"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844505"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C76808"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C76808" w:themeFill="accent3" w:themeFillShade="BF"/>
      </w:tcPr>
    </w:tblStylePr>
    <w:tblStylePr w:type="band1Vert">
      <w:tblPr/>
      <w:tcPr>
        <w:tcBorders>
          <w:top w:val="nil"/>
          <w:left w:val="nil"/>
          <w:bottom w:val="nil"/>
          <w:right w:val="nil"/>
          <w:insideH w:val="nil"/>
          <w:insideV w:val="nil"/>
        </w:tcBorders>
        <w:shd w:val="clear" w:color="auto" w:fill="C76808" w:themeFill="accent3" w:themeFillShade="BF"/>
      </w:tcPr>
    </w:tblStylePr>
    <w:tblStylePr w:type="band1Horz">
      <w:tblPr/>
      <w:tcPr>
        <w:tcBorders>
          <w:top w:val="nil"/>
          <w:left w:val="nil"/>
          <w:bottom w:val="nil"/>
          <w:right w:val="nil"/>
          <w:insideH w:val="nil"/>
          <w:insideV w:val="nil"/>
        </w:tcBorders>
        <w:shd w:val="clear" w:color="auto" w:fill="C76808" w:themeFill="accent3" w:themeFillShade="BF"/>
      </w:tcPr>
    </w:tblStylePr>
  </w:style>
  <w:style w:type="table" w:styleId="DarkList-Accent4">
    <w:name w:val="Dark List Accent 4"/>
    <w:basedOn w:val="TableNormal"/>
    <w:uiPriority w:val="70"/>
    <w:semiHidden/>
    <w:unhideWhenUsed/>
    <w:rsid w:val="009E6ED7"/>
    <w:rPr>
      <w:color w:val="FFFFFF" w:themeColor="background1"/>
    </w:rPr>
    <w:tblPr>
      <w:tblStyleRowBandSize w:val="1"/>
      <w:tblStyleColBandSize w:val="1"/>
    </w:tblPr>
    <w:tcPr>
      <w:shd w:val="clear" w:color="auto" w:fill="9E007E"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003E"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76005E"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76005E" w:themeFill="accent4" w:themeFillShade="BF"/>
      </w:tcPr>
    </w:tblStylePr>
    <w:tblStylePr w:type="band1Vert">
      <w:tblPr/>
      <w:tcPr>
        <w:tcBorders>
          <w:top w:val="nil"/>
          <w:left w:val="nil"/>
          <w:bottom w:val="nil"/>
          <w:right w:val="nil"/>
          <w:insideH w:val="nil"/>
          <w:insideV w:val="nil"/>
        </w:tcBorders>
        <w:shd w:val="clear" w:color="auto" w:fill="76005E" w:themeFill="accent4" w:themeFillShade="BF"/>
      </w:tcPr>
    </w:tblStylePr>
    <w:tblStylePr w:type="band1Horz">
      <w:tblPr/>
      <w:tcPr>
        <w:tcBorders>
          <w:top w:val="nil"/>
          <w:left w:val="nil"/>
          <w:bottom w:val="nil"/>
          <w:right w:val="nil"/>
          <w:insideH w:val="nil"/>
          <w:insideV w:val="nil"/>
        </w:tcBorders>
        <w:shd w:val="clear" w:color="auto" w:fill="76005E" w:themeFill="accent4" w:themeFillShade="BF"/>
      </w:tcPr>
    </w:tblStylePr>
  </w:style>
  <w:style w:type="table" w:styleId="DarkList-Accent5">
    <w:name w:val="Dark List Accent 5"/>
    <w:basedOn w:val="TableNormal"/>
    <w:uiPriority w:val="70"/>
    <w:semiHidden/>
    <w:unhideWhenUsed/>
    <w:rsid w:val="009E6ED7"/>
    <w:rPr>
      <w:color w:val="FFFFFF" w:themeColor="background1"/>
    </w:rPr>
    <w:tblPr>
      <w:tblStyleRowBandSize w:val="1"/>
      <w:tblStyleColBandSize w:val="1"/>
    </w:tblPr>
    <w:tcPr>
      <w:shd w:val="clear" w:color="auto" w:fill="FFE512"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877800"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CCB500"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CCB500" w:themeFill="accent5" w:themeFillShade="BF"/>
      </w:tcPr>
    </w:tblStylePr>
    <w:tblStylePr w:type="band1Vert">
      <w:tblPr/>
      <w:tcPr>
        <w:tcBorders>
          <w:top w:val="nil"/>
          <w:left w:val="nil"/>
          <w:bottom w:val="nil"/>
          <w:right w:val="nil"/>
          <w:insideH w:val="nil"/>
          <w:insideV w:val="nil"/>
        </w:tcBorders>
        <w:shd w:val="clear" w:color="auto" w:fill="CCB500" w:themeFill="accent5" w:themeFillShade="BF"/>
      </w:tcPr>
    </w:tblStylePr>
    <w:tblStylePr w:type="band1Horz">
      <w:tblPr/>
      <w:tcPr>
        <w:tcBorders>
          <w:top w:val="nil"/>
          <w:left w:val="nil"/>
          <w:bottom w:val="nil"/>
          <w:right w:val="nil"/>
          <w:insideH w:val="nil"/>
          <w:insideV w:val="nil"/>
        </w:tcBorders>
        <w:shd w:val="clear" w:color="auto" w:fill="CCB500" w:themeFill="accent5" w:themeFillShade="BF"/>
      </w:tcPr>
    </w:tblStylePr>
  </w:style>
  <w:style w:type="table" w:styleId="DarkList-Accent6">
    <w:name w:val="Dark List Accent 6"/>
    <w:basedOn w:val="TableNormal"/>
    <w:uiPriority w:val="70"/>
    <w:semiHidden/>
    <w:unhideWhenUsed/>
    <w:rsid w:val="009E6ED7"/>
    <w:rPr>
      <w:color w:val="FFFFFF" w:themeColor="background1"/>
    </w:rPr>
    <w:tblPr>
      <w:tblStyleRowBandSize w:val="1"/>
      <w:tblStyleColBandSize w:val="1"/>
    </w:tblPr>
    <w:tcPr>
      <w:shd w:val="clear" w:color="auto" w:fill="8C8279"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5403C"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69615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69615A" w:themeFill="accent6" w:themeFillShade="BF"/>
      </w:tcPr>
    </w:tblStylePr>
    <w:tblStylePr w:type="band1Vert">
      <w:tblPr/>
      <w:tcPr>
        <w:tcBorders>
          <w:top w:val="nil"/>
          <w:left w:val="nil"/>
          <w:bottom w:val="nil"/>
          <w:right w:val="nil"/>
          <w:insideH w:val="nil"/>
          <w:insideV w:val="nil"/>
        </w:tcBorders>
        <w:shd w:val="clear" w:color="auto" w:fill="69615A" w:themeFill="accent6" w:themeFillShade="BF"/>
      </w:tcPr>
    </w:tblStylePr>
    <w:tblStylePr w:type="band1Horz">
      <w:tblPr/>
      <w:tcPr>
        <w:tcBorders>
          <w:top w:val="nil"/>
          <w:left w:val="nil"/>
          <w:bottom w:val="nil"/>
          <w:right w:val="nil"/>
          <w:insideH w:val="nil"/>
          <w:insideV w:val="nil"/>
        </w:tcBorders>
        <w:shd w:val="clear" w:color="auto" w:fill="69615A" w:themeFill="accent6" w:themeFillShade="BF"/>
      </w:tcPr>
    </w:tblStylePr>
  </w:style>
  <w:style w:type="table" w:styleId="LightGrid">
    <w:name w:val="Light Grid"/>
    <w:basedOn w:val="TableNormal"/>
    <w:uiPriority w:val="62"/>
    <w:semiHidden/>
    <w:unhideWhenUsed/>
    <w:rsid w:val="009E6ED7"/>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semiHidden/>
    <w:unhideWhenUsed/>
    <w:rsid w:val="009E6ED7"/>
    <w:tblPr>
      <w:tblStyleRowBandSize w:val="1"/>
      <w:tblStyleColBandSize w:val="1"/>
      <w:tblBorders>
        <w:top w:val="single" w:sz="8" w:space="0" w:color="00B5E2" w:themeColor="accent1"/>
        <w:left w:val="single" w:sz="8" w:space="0" w:color="00B5E2" w:themeColor="accent1"/>
        <w:bottom w:val="single" w:sz="8" w:space="0" w:color="00B5E2" w:themeColor="accent1"/>
        <w:right w:val="single" w:sz="8" w:space="0" w:color="00B5E2" w:themeColor="accent1"/>
        <w:insideH w:val="single" w:sz="8" w:space="0" w:color="00B5E2" w:themeColor="accent1"/>
        <w:insideV w:val="single" w:sz="8" w:space="0" w:color="00B5E2"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B5E2" w:themeColor="accent1"/>
          <w:left w:val="single" w:sz="8" w:space="0" w:color="00B5E2" w:themeColor="accent1"/>
          <w:bottom w:val="single" w:sz="18" w:space="0" w:color="00B5E2" w:themeColor="accent1"/>
          <w:right w:val="single" w:sz="8" w:space="0" w:color="00B5E2" w:themeColor="accent1"/>
          <w:insideH w:val="nil"/>
          <w:insideV w:val="single" w:sz="8" w:space="0" w:color="00B5E2"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B5E2" w:themeColor="accent1"/>
          <w:left w:val="single" w:sz="8" w:space="0" w:color="00B5E2" w:themeColor="accent1"/>
          <w:bottom w:val="single" w:sz="8" w:space="0" w:color="00B5E2" w:themeColor="accent1"/>
          <w:right w:val="single" w:sz="8" w:space="0" w:color="00B5E2" w:themeColor="accent1"/>
          <w:insideH w:val="nil"/>
          <w:insideV w:val="single" w:sz="8" w:space="0" w:color="00B5E2"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B5E2" w:themeColor="accent1"/>
          <w:left w:val="single" w:sz="8" w:space="0" w:color="00B5E2" w:themeColor="accent1"/>
          <w:bottom w:val="single" w:sz="8" w:space="0" w:color="00B5E2" w:themeColor="accent1"/>
          <w:right w:val="single" w:sz="8" w:space="0" w:color="00B5E2" w:themeColor="accent1"/>
        </w:tcBorders>
      </w:tcPr>
    </w:tblStylePr>
    <w:tblStylePr w:type="band1Vert">
      <w:tblPr/>
      <w:tcPr>
        <w:tcBorders>
          <w:top w:val="single" w:sz="8" w:space="0" w:color="00B5E2" w:themeColor="accent1"/>
          <w:left w:val="single" w:sz="8" w:space="0" w:color="00B5E2" w:themeColor="accent1"/>
          <w:bottom w:val="single" w:sz="8" w:space="0" w:color="00B5E2" w:themeColor="accent1"/>
          <w:right w:val="single" w:sz="8" w:space="0" w:color="00B5E2" w:themeColor="accent1"/>
        </w:tcBorders>
        <w:shd w:val="clear" w:color="auto" w:fill="B8F0FF" w:themeFill="accent1" w:themeFillTint="3F"/>
      </w:tcPr>
    </w:tblStylePr>
    <w:tblStylePr w:type="band1Horz">
      <w:tblPr/>
      <w:tcPr>
        <w:tcBorders>
          <w:top w:val="single" w:sz="8" w:space="0" w:color="00B5E2" w:themeColor="accent1"/>
          <w:left w:val="single" w:sz="8" w:space="0" w:color="00B5E2" w:themeColor="accent1"/>
          <w:bottom w:val="single" w:sz="8" w:space="0" w:color="00B5E2" w:themeColor="accent1"/>
          <w:right w:val="single" w:sz="8" w:space="0" w:color="00B5E2" w:themeColor="accent1"/>
          <w:insideV w:val="single" w:sz="8" w:space="0" w:color="00B5E2" w:themeColor="accent1"/>
        </w:tcBorders>
        <w:shd w:val="clear" w:color="auto" w:fill="B8F0FF" w:themeFill="accent1" w:themeFillTint="3F"/>
      </w:tcPr>
    </w:tblStylePr>
    <w:tblStylePr w:type="band2Horz">
      <w:tblPr/>
      <w:tcPr>
        <w:tcBorders>
          <w:top w:val="single" w:sz="8" w:space="0" w:color="00B5E2" w:themeColor="accent1"/>
          <w:left w:val="single" w:sz="8" w:space="0" w:color="00B5E2" w:themeColor="accent1"/>
          <w:bottom w:val="single" w:sz="8" w:space="0" w:color="00B5E2" w:themeColor="accent1"/>
          <w:right w:val="single" w:sz="8" w:space="0" w:color="00B5E2" w:themeColor="accent1"/>
          <w:insideV w:val="single" w:sz="8" w:space="0" w:color="00B5E2" w:themeColor="accent1"/>
        </w:tcBorders>
      </w:tcPr>
    </w:tblStylePr>
  </w:style>
  <w:style w:type="table" w:styleId="LightGrid-Accent2">
    <w:name w:val="Light Grid Accent 2"/>
    <w:basedOn w:val="TableNormal"/>
    <w:uiPriority w:val="62"/>
    <w:semiHidden/>
    <w:unhideWhenUsed/>
    <w:rsid w:val="009E6ED7"/>
    <w:tblPr>
      <w:tblStyleRowBandSize w:val="1"/>
      <w:tblStyleColBandSize w:val="1"/>
      <w:tblBorders>
        <w:top w:val="single" w:sz="8" w:space="0" w:color="84BD00" w:themeColor="accent2"/>
        <w:left w:val="single" w:sz="8" w:space="0" w:color="84BD00" w:themeColor="accent2"/>
        <w:bottom w:val="single" w:sz="8" w:space="0" w:color="84BD00" w:themeColor="accent2"/>
        <w:right w:val="single" w:sz="8" w:space="0" w:color="84BD00" w:themeColor="accent2"/>
        <w:insideH w:val="single" w:sz="8" w:space="0" w:color="84BD00" w:themeColor="accent2"/>
        <w:insideV w:val="single" w:sz="8" w:space="0" w:color="84BD00"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4BD00" w:themeColor="accent2"/>
          <w:left w:val="single" w:sz="8" w:space="0" w:color="84BD00" w:themeColor="accent2"/>
          <w:bottom w:val="single" w:sz="18" w:space="0" w:color="84BD00" w:themeColor="accent2"/>
          <w:right w:val="single" w:sz="8" w:space="0" w:color="84BD00" w:themeColor="accent2"/>
          <w:insideH w:val="nil"/>
          <w:insideV w:val="single" w:sz="8" w:space="0" w:color="84BD00"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4BD00" w:themeColor="accent2"/>
          <w:left w:val="single" w:sz="8" w:space="0" w:color="84BD00" w:themeColor="accent2"/>
          <w:bottom w:val="single" w:sz="8" w:space="0" w:color="84BD00" w:themeColor="accent2"/>
          <w:right w:val="single" w:sz="8" w:space="0" w:color="84BD00" w:themeColor="accent2"/>
          <w:insideH w:val="nil"/>
          <w:insideV w:val="single" w:sz="8" w:space="0" w:color="84BD00"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4BD00" w:themeColor="accent2"/>
          <w:left w:val="single" w:sz="8" w:space="0" w:color="84BD00" w:themeColor="accent2"/>
          <w:bottom w:val="single" w:sz="8" w:space="0" w:color="84BD00" w:themeColor="accent2"/>
          <w:right w:val="single" w:sz="8" w:space="0" w:color="84BD00" w:themeColor="accent2"/>
        </w:tcBorders>
      </w:tcPr>
    </w:tblStylePr>
    <w:tblStylePr w:type="band1Vert">
      <w:tblPr/>
      <w:tcPr>
        <w:tcBorders>
          <w:top w:val="single" w:sz="8" w:space="0" w:color="84BD00" w:themeColor="accent2"/>
          <w:left w:val="single" w:sz="8" w:space="0" w:color="84BD00" w:themeColor="accent2"/>
          <w:bottom w:val="single" w:sz="8" w:space="0" w:color="84BD00" w:themeColor="accent2"/>
          <w:right w:val="single" w:sz="8" w:space="0" w:color="84BD00" w:themeColor="accent2"/>
        </w:tcBorders>
        <w:shd w:val="clear" w:color="auto" w:fill="E7FFAF" w:themeFill="accent2" w:themeFillTint="3F"/>
      </w:tcPr>
    </w:tblStylePr>
    <w:tblStylePr w:type="band1Horz">
      <w:tblPr/>
      <w:tcPr>
        <w:tcBorders>
          <w:top w:val="single" w:sz="8" w:space="0" w:color="84BD00" w:themeColor="accent2"/>
          <w:left w:val="single" w:sz="8" w:space="0" w:color="84BD00" w:themeColor="accent2"/>
          <w:bottom w:val="single" w:sz="8" w:space="0" w:color="84BD00" w:themeColor="accent2"/>
          <w:right w:val="single" w:sz="8" w:space="0" w:color="84BD00" w:themeColor="accent2"/>
          <w:insideV w:val="single" w:sz="8" w:space="0" w:color="84BD00" w:themeColor="accent2"/>
        </w:tcBorders>
        <w:shd w:val="clear" w:color="auto" w:fill="E7FFAF" w:themeFill="accent2" w:themeFillTint="3F"/>
      </w:tcPr>
    </w:tblStylePr>
    <w:tblStylePr w:type="band2Horz">
      <w:tblPr/>
      <w:tcPr>
        <w:tcBorders>
          <w:top w:val="single" w:sz="8" w:space="0" w:color="84BD00" w:themeColor="accent2"/>
          <w:left w:val="single" w:sz="8" w:space="0" w:color="84BD00" w:themeColor="accent2"/>
          <w:bottom w:val="single" w:sz="8" w:space="0" w:color="84BD00" w:themeColor="accent2"/>
          <w:right w:val="single" w:sz="8" w:space="0" w:color="84BD00" w:themeColor="accent2"/>
          <w:insideV w:val="single" w:sz="8" w:space="0" w:color="84BD00" w:themeColor="accent2"/>
        </w:tcBorders>
      </w:tcPr>
    </w:tblStylePr>
  </w:style>
  <w:style w:type="table" w:styleId="LightGrid-Accent3">
    <w:name w:val="Light Grid Accent 3"/>
    <w:basedOn w:val="TableNormal"/>
    <w:uiPriority w:val="62"/>
    <w:semiHidden/>
    <w:unhideWhenUsed/>
    <w:rsid w:val="009E6ED7"/>
    <w:tblPr>
      <w:tblStyleRowBandSize w:val="1"/>
      <w:tblStyleColBandSize w:val="1"/>
      <w:tblBorders>
        <w:top w:val="single" w:sz="8" w:space="0" w:color="F68B1F" w:themeColor="accent3"/>
        <w:left w:val="single" w:sz="8" w:space="0" w:color="F68B1F" w:themeColor="accent3"/>
        <w:bottom w:val="single" w:sz="8" w:space="0" w:color="F68B1F" w:themeColor="accent3"/>
        <w:right w:val="single" w:sz="8" w:space="0" w:color="F68B1F" w:themeColor="accent3"/>
        <w:insideH w:val="single" w:sz="8" w:space="0" w:color="F68B1F" w:themeColor="accent3"/>
        <w:insideV w:val="single" w:sz="8" w:space="0" w:color="F68B1F"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68B1F" w:themeColor="accent3"/>
          <w:left w:val="single" w:sz="8" w:space="0" w:color="F68B1F" w:themeColor="accent3"/>
          <w:bottom w:val="single" w:sz="18" w:space="0" w:color="F68B1F" w:themeColor="accent3"/>
          <w:right w:val="single" w:sz="8" w:space="0" w:color="F68B1F" w:themeColor="accent3"/>
          <w:insideH w:val="nil"/>
          <w:insideV w:val="single" w:sz="8" w:space="0" w:color="F68B1F"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68B1F" w:themeColor="accent3"/>
          <w:left w:val="single" w:sz="8" w:space="0" w:color="F68B1F" w:themeColor="accent3"/>
          <w:bottom w:val="single" w:sz="8" w:space="0" w:color="F68B1F" w:themeColor="accent3"/>
          <w:right w:val="single" w:sz="8" w:space="0" w:color="F68B1F" w:themeColor="accent3"/>
          <w:insideH w:val="nil"/>
          <w:insideV w:val="single" w:sz="8" w:space="0" w:color="F68B1F"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68B1F" w:themeColor="accent3"/>
          <w:left w:val="single" w:sz="8" w:space="0" w:color="F68B1F" w:themeColor="accent3"/>
          <w:bottom w:val="single" w:sz="8" w:space="0" w:color="F68B1F" w:themeColor="accent3"/>
          <w:right w:val="single" w:sz="8" w:space="0" w:color="F68B1F" w:themeColor="accent3"/>
        </w:tcBorders>
      </w:tcPr>
    </w:tblStylePr>
    <w:tblStylePr w:type="band1Vert">
      <w:tblPr/>
      <w:tcPr>
        <w:tcBorders>
          <w:top w:val="single" w:sz="8" w:space="0" w:color="F68B1F" w:themeColor="accent3"/>
          <w:left w:val="single" w:sz="8" w:space="0" w:color="F68B1F" w:themeColor="accent3"/>
          <w:bottom w:val="single" w:sz="8" w:space="0" w:color="F68B1F" w:themeColor="accent3"/>
          <w:right w:val="single" w:sz="8" w:space="0" w:color="F68B1F" w:themeColor="accent3"/>
        </w:tcBorders>
        <w:shd w:val="clear" w:color="auto" w:fill="FCE2C7" w:themeFill="accent3" w:themeFillTint="3F"/>
      </w:tcPr>
    </w:tblStylePr>
    <w:tblStylePr w:type="band1Horz">
      <w:tblPr/>
      <w:tcPr>
        <w:tcBorders>
          <w:top w:val="single" w:sz="8" w:space="0" w:color="F68B1F" w:themeColor="accent3"/>
          <w:left w:val="single" w:sz="8" w:space="0" w:color="F68B1F" w:themeColor="accent3"/>
          <w:bottom w:val="single" w:sz="8" w:space="0" w:color="F68B1F" w:themeColor="accent3"/>
          <w:right w:val="single" w:sz="8" w:space="0" w:color="F68B1F" w:themeColor="accent3"/>
          <w:insideV w:val="single" w:sz="8" w:space="0" w:color="F68B1F" w:themeColor="accent3"/>
        </w:tcBorders>
        <w:shd w:val="clear" w:color="auto" w:fill="FCE2C7" w:themeFill="accent3" w:themeFillTint="3F"/>
      </w:tcPr>
    </w:tblStylePr>
    <w:tblStylePr w:type="band2Horz">
      <w:tblPr/>
      <w:tcPr>
        <w:tcBorders>
          <w:top w:val="single" w:sz="8" w:space="0" w:color="F68B1F" w:themeColor="accent3"/>
          <w:left w:val="single" w:sz="8" w:space="0" w:color="F68B1F" w:themeColor="accent3"/>
          <w:bottom w:val="single" w:sz="8" w:space="0" w:color="F68B1F" w:themeColor="accent3"/>
          <w:right w:val="single" w:sz="8" w:space="0" w:color="F68B1F" w:themeColor="accent3"/>
          <w:insideV w:val="single" w:sz="8" w:space="0" w:color="F68B1F" w:themeColor="accent3"/>
        </w:tcBorders>
      </w:tcPr>
    </w:tblStylePr>
  </w:style>
  <w:style w:type="table" w:styleId="LightGrid-Accent4">
    <w:name w:val="Light Grid Accent 4"/>
    <w:basedOn w:val="TableNormal"/>
    <w:uiPriority w:val="62"/>
    <w:semiHidden/>
    <w:unhideWhenUsed/>
    <w:rsid w:val="009E6ED7"/>
    <w:tblPr>
      <w:tblStyleRowBandSize w:val="1"/>
      <w:tblStyleColBandSize w:val="1"/>
      <w:tblBorders>
        <w:top w:val="single" w:sz="8" w:space="0" w:color="9E007E" w:themeColor="accent4"/>
        <w:left w:val="single" w:sz="8" w:space="0" w:color="9E007E" w:themeColor="accent4"/>
        <w:bottom w:val="single" w:sz="8" w:space="0" w:color="9E007E" w:themeColor="accent4"/>
        <w:right w:val="single" w:sz="8" w:space="0" w:color="9E007E" w:themeColor="accent4"/>
        <w:insideH w:val="single" w:sz="8" w:space="0" w:color="9E007E" w:themeColor="accent4"/>
        <w:insideV w:val="single" w:sz="8" w:space="0" w:color="9E007E"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E007E" w:themeColor="accent4"/>
          <w:left w:val="single" w:sz="8" w:space="0" w:color="9E007E" w:themeColor="accent4"/>
          <w:bottom w:val="single" w:sz="18" w:space="0" w:color="9E007E" w:themeColor="accent4"/>
          <w:right w:val="single" w:sz="8" w:space="0" w:color="9E007E" w:themeColor="accent4"/>
          <w:insideH w:val="nil"/>
          <w:insideV w:val="single" w:sz="8" w:space="0" w:color="9E007E"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E007E" w:themeColor="accent4"/>
          <w:left w:val="single" w:sz="8" w:space="0" w:color="9E007E" w:themeColor="accent4"/>
          <w:bottom w:val="single" w:sz="8" w:space="0" w:color="9E007E" w:themeColor="accent4"/>
          <w:right w:val="single" w:sz="8" w:space="0" w:color="9E007E" w:themeColor="accent4"/>
          <w:insideH w:val="nil"/>
          <w:insideV w:val="single" w:sz="8" w:space="0" w:color="9E007E"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E007E" w:themeColor="accent4"/>
          <w:left w:val="single" w:sz="8" w:space="0" w:color="9E007E" w:themeColor="accent4"/>
          <w:bottom w:val="single" w:sz="8" w:space="0" w:color="9E007E" w:themeColor="accent4"/>
          <w:right w:val="single" w:sz="8" w:space="0" w:color="9E007E" w:themeColor="accent4"/>
        </w:tcBorders>
      </w:tcPr>
    </w:tblStylePr>
    <w:tblStylePr w:type="band1Vert">
      <w:tblPr/>
      <w:tcPr>
        <w:tcBorders>
          <w:top w:val="single" w:sz="8" w:space="0" w:color="9E007E" w:themeColor="accent4"/>
          <w:left w:val="single" w:sz="8" w:space="0" w:color="9E007E" w:themeColor="accent4"/>
          <w:bottom w:val="single" w:sz="8" w:space="0" w:color="9E007E" w:themeColor="accent4"/>
          <w:right w:val="single" w:sz="8" w:space="0" w:color="9E007E" w:themeColor="accent4"/>
        </w:tcBorders>
        <w:shd w:val="clear" w:color="auto" w:fill="FFA8ED" w:themeFill="accent4" w:themeFillTint="3F"/>
      </w:tcPr>
    </w:tblStylePr>
    <w:tblStylePr w:type="band1Horz">
      <w:tblPr/>
      <w:tcPr>
        <w:tcBorders>
          <w:top w:val="single" w:sz="8" w:space="0" w:color="9E007E" w:themeColor="accent4"/>
          <w:left w:val="single" w:sz="8" w:space="0" w:color="9E007E" w:themeColor="accent4"/>
          <w:bottom w:val="single" w:sz="8" w:space="0" w:color="9E007E" w:themeColor="accent4"/>
          <w:right w:val="single" w:sz="8" w:space="0" w:color="9E007E" w:themeColor="accent4"/>
          <w:insideV w:val="single" w:sz="8" w:space="0" w:color="9E007E" w:themeColor="accent4"/>
        </w:tcBorders>
        <w:shd w:val="clear" w:color="auto" w:fill="FFA8ED" w:themeFill="accent4" w:themeFillTint="3F"/>
      </w:tcPr>
    </w:tblStylePr>
    <w:tblStylePr w:type="band2Horz">
      <w:tblPr/>
      <w:tcPr>
        <w:tcBorders>
          <w:top w:val="single" w:sz="8" w:space="0" w:color="9E007E" w:themeColor="accent4"/>
          <w:left w:val="single" w:sz="8" w:space="0" w:color="9E007E" w:themeColor="accent4"/>
          <w:bottom w:val="single" w:sz="8" w:space="0" w:color="9E007E" w:themeColor="accent4"/>
          <w:right w:val="single" w:sz="8" w:space="0" w:color="9E007E" w:themeColor="accent4"/>
          <w:insideV w:val="single" w:sz="8" w:space="0" w:color="9E007E" w:themeColor="accent4"/>
        </w:tcBorders>
      </w:tcPr>
    </w:tblStylePr>
  </w:style>
  <w:style w:type="table" w:styleId="LightGrid-Accent5">
    <w:name w:val="Light Grid Accent 5"/>
    <w:basedOn w:val="TableNormal"/>
    <w:uiPriority w:val="62"/>
    <w:semiHidden/>
    <w:unhideWhenUsed/>
    <w:rsid w:val="009E6ED7"/>
    <w:tblPr>
      <w:tblStyleRowBandSize w:val="1"/>
      <w:tblStyleColBandSize w:val="1"/>
      <w:tblBorders>
        <w:top w:val="single" w:sz="8" w:space="0" w:color="FFE512" w:themeColor="accent5"/>
        <w:left w:val="single" w:sz="8" w:space="0" w:color="FFE512" w:themeColor="accent5"/>
        <w:bottom w:val="single" w:sz="8" w:space="0" w:color="FFE512" w:themeColor="accent5"/>
        <w:right w:val="single" w:sz="8" w:space="0" w:color="FFE512" w:themeColor="accent5"/>
        <w:insideH w:val="single" w:sz="8" w:space="0" w:color="FFE512" w:themeColor="accent5"/>
        <w:insideV w:val="single" w:sz="8" w:space="0" w:color="FFE512"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FE512" w:themeColor="accent5"/>
          <w:left w:val="single" w:sz="8" w:space="0" w:color="FFE512" w:themeColor="accent5"/>
          <w:bottom w:val="single" w:sz="18" w:space="0" w:color="FFE512" w:themeColor="accent5"/>
          <w:right w:val="single" w:sz="8" w:space="0" w:color="FFE512" w:themeColor="accent5"/>
          <w:insideH w:val="nil"/>
          <w:insideV w:val="single" w:sz="8" w:space="0" w:color="FFE512"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FE512" w:themeColor="accent5"/>
          <w:left w:val="single" w:sz="8" w:space="0" w:color="FFE512" w:themeColor="accent5"/>
          <w:bottom w:val="single" w:sz="8" w:space="0" w:color="FFE512" w:themeColor="accent5"/>
          <w:right w:val="single" w:sz="8" w:space="0" w:color="FFE512" w:themeColor="accent5"/>
          <w:insideH w:val="nil"/>
          <w:insideV w:val="single" w:sz="8" w:space="0" w:color="FFE512"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FE512" w:themeColor="accent5"/>
          <w:left w:val="single" w:sz="8" w:space="0" w:color="FFE512" w:themeColor="accent5"/>
          <w:bottom w:val="single" w:sz="8" w:space="0" w:color="FFE512" w:themeColor="accent5"/>
          <w:right w:val="single" w:sz="8" w:space="0" w:color="FFE512" w:themeColor="accent5"/>
        </w:tcBorders>
      </w:tcPr>
    </w:tblStylePr>
    <w:tblStylePr w:type="band1Vert">
      <w:tblPr/>
      <w:tcPr>
        <w:tcBorders>
          <w:top w:val="single" w:sz="8" w:space="0" w:color="FFE512" w:themeColor="accent5"/>
          <w:left w:val="single" w:sz="8" w:space="0" w:color="FFE512" w:themeColor="accent5"/>
          <w:bottom w:val="single" w:sz="8" w:space="0" w:color="FFE512" w:themeColor="accent5"/>
          <w:right w:val="single" w:sz="8" w:space="0" w:color="FFE512" w:themeColor="accent5"/>
        </w:tcBorders>
        <w:shd w:val="clear" w:color="auto" w:fill="FFF8C4" w:themeFill="accent5" w:themeFillTint="3F"/>
      </w:tcPr>
    </w:tblStylePr>
    <w:tblStylePr w:type="band1Horz">
      <w:tblPr/>
      <w:tcPr>
        <w:tcBorders>
          <w:top w:val="single" w:sz="8" w:space="0" w:color="FFE512" w:themeColor="accent5"/>
          <w:left w:val="single" w:sz="8" w:space="0" w:color="FFE512" w:themeColor="accent5"/>
          <w:bottom w:val="single" w:sz="8" w:space="0" w:color="FFE512" w:themeColor="accent5"/>
          <w:right w:val="single" w:sz="8" w:space="0" w:color="FFE512" w:themeColor="accent5"/>
          <w:insideV w:val="single" w:sz="8" w:space="0" w:color="FFE512" w:themeColor="accent5"/>
        </w:tcBorders>
        <w:shd w:val="clear" w:color="auto" w:fill="FFF8C4" w:themeFill="accent5" w:themeFillTint="3F"/>
      </w:tcPr>
    </w:tblStylePr>
    <w:tblStylePr w:type="band2Horz">
      <w:tblPr/>
      <w:tcPr>
        <w:tcBorders>
          <w:top w:val="single" w:sz="8" w:space="0" w:color="FFE512" w:themeColor="accent5"/>
          <w:left w:val="single" w:sz="8" w:space="0" w:color="FFE512" w:themeColor="accent5"/>
          <w:bottom w:val="single" w:sz="8" w:space="0" w:color="FFE512" w:themeColor="accent5"/>
          <w:right w:val="single" w:sz="8" w:space="0" w:color="FFE512" w:themeColor="accent5"/>
          <w:insideV w:val="single" w:sz="8" w:space="0" w:color="FFE512" w:themeColor="accent5"/>
        </w:tcBorders>
      </w:tcPr>
    </w:tblStylePr>
  </w:style>
  <w:style w:type="table" w:styleId="LightGrid-Accent6">
    <w:name w:val="Light Grid Accent 6"/>
    <w:basedOn w:val="TableNormal"/>
    <w:uiPriority w:val="62"/>
    <w:semiHidden/>
    <w:unhideWhenUsed/>
    <w:rsid w:val="009E6ED7"/>
    <w:tblPr>
      <w:tblStyleRowBandSize w:val="1"/>
      <w:tblStyleColBandSize w:val="1"/>
      <w:tblBorders>
        <w:top w:val="single" w:sz="8" w:space="0" w:color="8C8279" w:themeColor="accent6"/>
        <w:left w:val="single" w:sz="8" w:space="0" w:color="8C8279" w:themeColor="accent6"/>
        <w:bottom w:val="single" w:sz="8" w:space="0" w:color="8C8279" w:themeColor="accent6"/>
        <w:right w:val="single" w:sz="8" w:space="0" w:color="8C8279" w:themeColor="accent6"/>
        <w:insideH w:val="single" w:sz="8" w:space="0" w:color="8C8279" w:themeColor="accent6"/>
        <w:insideV w:val="single" w:sz="8" w:space="0" w:color="8C8279"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C8279" w:themeColor="accent6"/>
          <w:left w:val="single" w:sz="8" w:space="0" w:color="8C8279" w:themeColor="accent6"/>
          <w:bottom w:val="single" w:sz="18" w:space="0" w:color="8C8279" w:themeColor="accent6"/>
          <w:right w:val="single" w:sz="8" w:space="0" w:color="8C8279" w:themeColor="accent6"/>
          <w:insideH w:val="nil"/>
          <w:insideV w:val="single" w:sz="8" w:space="0" w:color="8C8279"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C8279" w:themeColor="accent6"/>
          <w:left w:val="single" w:sz="8" w:space="0" w:color="8C8279" w:themeColor="accent6"/>
          <w:bottom w:val="single" w:sz="8" w:space="0" w:color="8C8279" w:themeColor="accent6"/>
          <w:right w:val="single" w:sz="8" w:space="0" w:color="8C8279" w:themeColor="accent6"/>
          <w:insideH w:val="nil"/>
          <w:insideV w:val="single" w:sz="8" w:space="0" w:color="8C8279"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C8279" w:themeColor="accent6"/>
          <w:left w:val="single" w:sz="8" w:space="0" w:color="8C8279" w:themeColor="accent6"/>
          <w:bottom w:val="single" w:sz="8" w:space="0" w:color="8C8279" w:themeColor="accent6"/>
          <w:right w:val="single" w:sz="8" w:space="0" w:color="8C8279" w:themeColor="accent6"/>
        </w:tcBorders>
      </w:tcPr>
    </w:tblStylePr>
    <w:tblStylePr w:type="band1Vert">
      <w:tblPr/>
      <w:tcPr>
        <w:tcBorders>
          <w:top w:val="single" w:sz="8" w:space="0" w:color="8C8279" w:themeColor="accent6"/>
          <w:left w:val="single" w:sz="8" w:space="0" w:color="8C8279" w:themeColor="accent6"/>
          <w:bottom w:val="single" w:sz="8" w:space="0" w:color="8C8279" w:themeColor="accent6"/>
          <w:right w:val="single" w:sz="8" w:space="0" w:color="8C8279" w:themeColor="accent6"/>
        </w:tcBorders>
        <w:shd w:val="clear" w:color="auto" w:fill="E2E0DD" w:themeFill="accent6" w:themeFillTint="3F"/>
      </w:tcPr>
    </w:tblStylePr>
    <w:tblStylePr w:type="band1Horz">
      <w:tblPr/>
      <w:tcPr>
        <w:tcBorders>
          <w:top w:val="single" w:sz="8" w:space="0" w:color="8C8279" w:themeColor="accent6"/>
          <w:left w:val="single" w:sz="8" w:space="0" w:color="8C8279" w:themeColor="accent6"/>
          <w:bottom w:val="single" w:sz="8" w:space="0" w:color="8C8279" w:themeColor="accent6"/>
          <w:right w:val="single" w:sz="8" w:space="0" w:color="8C8279" w:themeColor="accent6"/>
          <w:insideV w:val="single" w:sz="8" w:space="0" w:color="8C8279" w:themeColor="accent6"/>
        </w:tcBorders>
        <w:shd w:val="clear" w:color="auto" w:fill="E2E0DD" w:themeFill="accent6" w:themeFillTint="3F"/>
      </w:tcPr>
    </w:tblStylePr>
    <w:tblStylePr w:type="band2Horz">
      <w:tblPr/>
      <w:tcPr>
        <w:tcBorders>
          <w:top w:val="single" w:sz="8" w:space="0" w:color="8C8279" w:themeColor="accent6"/>
          <w:left w:val="single" w:sz="8" w:space="0" w:color="8C8279" w:themeColor="accent6"/>
          <w:bottom w:val="single" w:sz="8" w:space="0" w:color="8C8279" w:themeColor="accent6"/>
          <w:right w:val="single" w:sz="8" w:space="0" w:color="8C8279" w:themeColor="accent6"/>
          <w:insideV w:val="single" w:sz="8" w:space="0" w:color="8C8279" w:themeColor="accent6"/>
        </w:tcBorders>
      </w:tcPr>
    </w:tblStylePr>
  </w:style>
  <w:style w:type="table" w:styleId="LightList">
    <w:name w:val="Light List"/>
    <w:basedOn w:val="TableNormal"/>
    <w:uiPriority w:val="61"/>
    <w:semiHidden/>
    <w:unhideWhenUsed/>
    <w:rsid w:val="009E6ED7"/>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semiHidden/>
    <w:unhideWhenUsed/>
    <w:rsid w:val="009E6ED7"/>
    <w:tblPr>
      <w:tblStyleRowBandSize w:val="1"/>
      <w:tblStyleColBandSize w:val="1"/>
      <w:tblBorders>
        <w:top w:val="single" w:sz="8" w:space="0" w:color="00B5E2" w:themeColor="accent1"/>
        <w:left w:val="single" w:sz="8" w:space="0" w:color="00B5E2" w:themeColor="accent1"/>
        <w:bottom w:val="single" w:sz="8" w:space="0" w:color="00B5E2" w:themeColor="accent1"/>
        <w:right w:val="single" w:sz="8" w:space="0" w:color="00B5E2" w:themeColor="accent1"/>
      </w:tblBorders>
    </w:tblPr>
    <w:tblStylePr w:type="firstRow">
      <w:pPr>
        <w:spacing w:before="0" w:after="0" w:line="240" w:lineRule="auto"/>
      </w:pPr>
      <w:rPr>
        <w:b/>
        <w:bCs/>
        <w:color w:val="FFFFFF" w:themeColor="background1"/>
      </w:rPr>
      <w:tblPr/>
      <w:tcPr>
        <w:shd w:val="clear" w:color="auto" w:fill="00B5E2" w:themeFill="accent1"/>
      </w:tcPr>
    </w:tblStylePr>
    <w:tblStylePr w:type="lastRow">
      <w:pPr>
        <w:spacing w:before="0" w:after="0" w:line="240" w:lineRule="auto"/>
      </w:pPr>
      <w:rPr>
        <w:b/>
        <w:bCs/>
      </w:rPr>
      <w:tblPr/>
      <w:tcPr>
        <w:tcBorders>
          <w:top w:val="double" w:sz="6" w:space="0" w:color="00B5E2" w:themeColor="accent1"/>
          <w:left w:val="single" w:sz="8" w:space="0" w:color="00B5E2" w:themeColor="accent1"/>
          <w:bottom w:val="single" w:sz="8" w:space="0" w:color="00B5E2" w:themeColor="accent1"/>
          <w:right w:val="single" w:sz="8" w:space="0" w:color="00B5E2" w:themeColor="accent1"/>
        </w:tcBorders>
      </w:tcPr>
    </w:tblStylePr>
    <w:tblStylePr w:type="firstCol">
      <w:rPr>
        <w:b/>
        <w:bCs/>
      </w:rPr>
    </w:tblStylePr>
    <w:tblStylePr w:type="lastCol">
      <w:rPr>
        <w:b/>
        <w:bCs/>
      </w:rPr>
    </w:tblStylePr>
    <w:tblStylePr w:type="band1Vert">
      <w:tblPr/>
      <w:tcPr>
        <w:tcBorders>
          <w:top w:val="single" w:sz="8" w:space="0" w:color="00B5E2" w:themeColor="accent1"/>
          <w:left w:val="single" w:sz="8" w:space="0" w:color="00B5E2" w:themeColor="accent1"/>
          <w:bottom w:val="single" w:sz="8" w:space="0" w:color="00B5E2" w:themeColor="accent1"/>
          <w:right w:val="single" w:sz="8" w:space="0" w:color="00B5E2" w:themeColor="accent1"/>
        </w:tcBorders>
      </w:tcPr>
    </w:tblStylePr>
    <w:tblStylePr w:type="band1Horz">
      <w:tblPr/>
      <w:tcPr>
        <w:tcBorders>
          <w:top w:val="single" w:sz="8" w:space="0" w:color="00B5E2" w:themeColor="accent1"/>
          <w:left w:val="single" w:sz="8" w:space="0" w:color="00B5E2" w:themeColor="accent1"/>
          <w:bottom w:val="single" w:sz="8" w:space="0" w:color="00B5E2" w:themeColor="accent1"/>
          <w:right w:val="single" w:sz="8" w:space="0" w:color="00B5E2" w:themeColor="accent1"/>
        </w:tcBorders>
      </w:tcPr>
    </w:tblStylePr>
  </w:style>
  <w:style w:type="table" w:styleId="LightList-Accent2">
    <w:name w:val="Light List Accent 2"/>
    <w:basedOn w:val="TableNormal"/>
    <w:uiPriority w:val="61"/>
    <w:semiHidden/>
    <w:unhideWhenUsed/>
    <w:rsid w:val="009E6ED7"/>
    <w:tblPr>
      <w:tblStyleRowBandSize w:val="1"/>
      <w:tblStyleColBandSize w:val="1"/>
      <w:tblBorders>
        <w:top w:val="single" w:sz="8" w:space="0" w:color="84BD00" w:themeColor="accent2"/>
        <w:left w:val="single" w:sz="8" w:space="0" w:color="84BD00" w:themeColor="accent2"/>
        <w:bottom w:val="single" w:sz="8" w:space="0" w:color="84BD00" w:themeColor="accent2"/>
        <w:right w:val="single" w:sz="8" w:space="0" w:color="84BD00" w:themeColor="accent2"/>
      </w:tblBorders>
    </w:tblPr>
    <w:tblStylePr w:type="firstRow">
      <w:pPr>
        <w:spacing w:before="0" w:after="0" w:line="240" w:lineRule="auto"/>
      </w:pPr>
      <w:rPr>
        <w:b/>
        <w:bCs/>
        <w:color w:val="FFFFFF" w:themeColor="background1"/>
      </w:rPr>
      <w:tblPr/>
      <w:tcPr>
        <w:shd w:val="clear" w:color="auto" w:fill="84BD00" w:themeFill="accent2"/>
      </w:tcPr>
    </w:tblStylePr>
    <w:tblStylePr w:type="lastRow">
      <w:pPr>
        <w:spacing w:before="0" w:after="0" w:line="240" w:lineRule="auto"/>
      </w:pPr>
      <w:rPr>
        <w:b/>
        <w:bCs/>
      </w:rPr>
      <w:tblPr/>
      <w:tcPr>
        <w:tcBorders>
          <w:top w:val="double" w:sz="6" w:space="0" w:color="84BD00" w:themeColor="accent2"/>
          <w:left w:val="single" w:sz="8" w:space="0" w:color="84BD00" w:themeColor="accent2"/>
          <w:bottom w:val="single" w:sz="8" w:space="0" w:color="84BD00" w:themeColor="accent2"/>
          <w:right w:val="single" w:sz="8" w:space="0" w:color="84BD00" w:themeColor="accent2"/>
        </w:tcBorders>
      </w:tcPr>
    </w:tblStylePr>
    <w:tblStylePr w:type="firstCol">
      <w:rPr>
        <w:b/>
        <w:bCs/>
      </w:rPr>
    </w:tblStylePr>
    <w:tblStylePr w:type="lastCol">
      <w:rPr>
        <w:b/>
        <w:bCs/>
      </w:rPr>
    </w:tblStylePr>
    <w:tblStylePr w:type="band1Vert">
      <w:tblPr/>
      <w:tcPr>
        <w:tcBorders>
          <w:top w:val="single" w:sz="8" w:space="0" w:color="84BD00" w:themeColor="accent2"/>
          <w:left w:val="single" w:sz="8" w:space="0" w:color="84BD00" w:themeColor="accent2"/>
          <w:bottom w:val="single" w:sz="8" w:space="0" w:color="84BD00" w:themeColor="accent2"/>
          <w:right w:val="single" w:sz="8" w:space="0" w:color="84BD00" w:themeColor="accent2"/>
        </w:tcBorders>
      </w:tcPr>
    </w:tblStylePr>
    <w:tblStylePr w:type="band1Horz">
      <w:tblPr/>
      <w:tcPr>
        <w:tcBorders>
          <w:top w:val="single" w:sz="8" w:space="0" w:color="84BD00" w:themeColor="accent2"/>
          <w:left w:val="single" w:sz="8" w:space="0" w:color="84BD00" w:themeColor="accent2"/>
          <w:bottom w:val="single" w:sz="8" w:space="0" w:color="84BD00" w:themeColor="accent2"/>
          <w:right w:val="single" w:sz="8" w:space="0" w:color="84BD00" w:themeColor="accent2"/>
        </w:tcBorders>
      </w:tcPr>
    </w:tblStylePr>
  </w:style>
  <w:style w:type="table" w:styleId="LightList-Accent3">
    <w:name w:val="Light List Accent 3"/>
    <w:basedOn w:val="TableNormal"/>
    <w:uiPriority w:val="61"/>
    <w:semiHidden/>
    <w:unhideWhenUsed/>
    <w:rsid w:val="009E6ED7"/>
    <w:tblPr>
      <w:tblStyleRowBandSize w:val="1"/>
      <w:tblStyleColBandSize w:val="1"/>
      <w:tblBorders>
        <w:top w:val="single" w:sz="8" w:space="0" w:color="F68B1F" w:themeColor="accent3"/>
        <w:left w:val="single" w:sz="8" w:space="0" w:color="F68B1F" w:themeColor="accent3"/>
        <w:bottom w:val="single" w:sz="8" w:space="0" w:color="F68B1F" w:themeColor="accent3"/>
        <w:right w:val="single" w:sz="8" w:space="0" w:color="F68B1F" w:themeColor="accent3"/>
      </w:tblBorders>
    </w:tblPr>
    <w:tblStylePr w:type="firstRow">
      <w:pPr>
        <w:spacing w:before="0" w:after="0" w:line="240" w:lineRule="auto"/>
      </w:pPr>
      <w:rPr>
        <w:b/>
        <w:bCs/>
        <w:color w:val="FFFFFF" w:themeColor="background1"/>
      </w:rPr>
      <w:tblPr/>
      <w:tcPr>
        <w:shd w:val="clear" w:color="auto" w:fill="F68B1F" w:themeFill="accent3"/>
      </w:tcPr>
    </w:tblStylePr>
    <w:tblStylePr w:type="lastRow">
      <w:pPr>
        <w:spacing w:before="0" w:after="0" w:line="240" w:lineRule="auto"/>
      </w:pPr>
      <w:rPr>
        <w:b/>
        <w:bCs/>
      </w:rPr>
      <w:tblPr/>
      <w:tcPr>
        <w:tcBorders>
          <w:top w:val="double" w:sz="6" w:space="0" w:color="F68B1F" w:themeColor="accent3"/>
          <w:left w:val="single" w:sz="8" w:space="0" w:color="F68B1F" w:themeColor="accent3"/>
          <w:bottom w:val="single" w:sz="8" w:space="0" w:color="F68B1F" w:themeColor="accent3"/>
          <w:right w:val="single" w:sz="8" w:space="0" w:color="F68B1F" w:themeColor="accent3"/>
        </w:tcBorders>
      </w:tcPr>
    </w:tblStylePr>
    <w:tblStylePr w:type="firstCol">
      <w:rPr>
        <w:b/>
        <w:bCs/>
      </w:rPr>
    </w:tblStylePr>
    <w:tblStylePr w:type="lastCol">
      <w:rPr>
        <w:b/>
        <w:bCs/>
      </w:rPr>
    </w:tblStylePr>
    <w:tblStylePr w:type="band1Vert">
      <w:tblPr/>
      <w:tcPr>
        <w:tcBorders>
          <w:top w:val="single" w:sz="8" w:space="0" w:color="F68B1F" w:themeColor="accent3"/>
          <w:left w:val="single" w:sz="8" w:space="0" w:color="F68B1F" w:themeColor="accent3"/>
          <w:bottom w:val="single" w:sz="8" w:space="0" w:color="F68B1F" w:themeColor="accent3"/>
          <w:right w:val="single" w:sz="8" w:space="0" w:color="F68B1F" w:themeColor="accent3"/>
        </w:tcBorders>
      </w:tcPr>
    </w:tblStylePr>
    <w:tblStylePr w:type="band1Horz">
      <w:tblPr/>
      <w:tcPr>
        <w:tcBorders>
          <w:top w:val="single" w:sz="8" w:space="0" w:color="F68B1F" w:themeColor="accent3"/>
          <w:left w:val="single" w:sz="8" w:space="0" w:color="F68B1F" w:themeColor="accent3"/>
          <w:bottom w:val="single" w:sz="8" w:space="0" w:color="F68B1F" w:themeColor="accent3"/>
          <w:right w:val="single" w:sz="8" w:space="0" w:color="F68B1F" w:themeColor="accent3"/>
        </w:tcBorders>
      </w:tcPr>
    </w:tblStylePr>
  </w:style>
  <w:style w:type="table" w:styleId="LightList-Accent4">
    <w:name w:val="Light List Accent 4"/>
    <w:basedOn w:val="TableNormal"/>
    <w:uiPriority w:val="61"/>
    <w:semiHidden/>
    <w:unhideWhenUsed/>
    <w:rsid w:val="009E6ED7"/>
    <w:tblPr>
      <w:tblStyleRowBandSize w:val="1"/>
      <w:tblStyleColBandSize w:val="1"/>
      <w:tblBorders>
        <w:top w:val="single" w:sz="8" w:space="0" w:color="9E007E" w:themeColor="accent4"/>
        <w:left w:val="single" w:sz="8" w:space="0" w:color="9E007E" w:themeColor="accent4"/>
        <w:bottom w:val="single" w:sz="8" w:space="0" w:color="9E007E" w:themeColor="accent4"/>
        <w:right w:val="single" w:sz="8" w:space="0" w:color="9E007E" w:themeColor="accent4"/>
      </w:tblBorders>
    </w:tblPr>
    <w:tblStylePr w:type="firstRow">
      <w:pPr>
        <w:spacing w:before="0" w:after="0" w:line="240" w:lineRule="auto"/>
      </w:pPr>
      <w:rPr>
        <w:b/>
        <w:bCs/>
        <w:color w:val="FFFFFF" w:themeColor="background1"/>
      </w:rPr>
      <w:tblPr/>
      <w:tcPr>
        <w:shd w:val="clear" w:color="auto" w:fill="9E007E" w:themeFill="accent4"/>
      </w:tcPr>
    </w:tblStylePr>
    <w:tblStylePr w:type="lastRow">
      <w:pPr>
        <w:spacing w:before="0" w:after="0" w:line="240" w:lineRule="auto"/>
      </w:pPr>
      <w:rPr>
        <w:b/>
        <w:bCs/>
      </w:rPr>
      <w:tblPr/>
      <w:tcPr>
        <w:tcBorders>
          <w:top w:val="double" w:sz="6" w:space="0" w:color="9E007E" w:themeColor="accent4"/>
          <w:left w:val="single" w:sz="8" w:space="0" w:color="9E007E" w:themeColor="accent4"/>
          <w:bottom w:val="single" w:sz="8" w:space="0" w:color="9E007E" w:themeColor="accent4"/>
          <w:right w:val="single" w:sz="8" w:space="0" w:color="9E007E" w:themeColor="accent4"/>
        </w:tcBorders>
      </w:tcPr>
    </w:tblStylePr>
    <w:tblStylePr w:type="firstCol">
      <w:rPr>
        <w:b/>
        <w:bCs/>
      </w:rPr>
    </w:tblStylePr>
    <w:tblStylePr w:type="lastCol">
      <w:rPr>
        <w:b/>
        <w:bCs/>
      </w:rPr>
    </w:tblStylePr>
    <w:tblStylePr w:type="band1Vert">
      <w:tblPr/>
      <w:tcPr>
        <w:tcBorders>
          <w:top w:val="single" w:sz="8" w:space="0" w:color="9E007E" w:themeColor="accent4"/>
          <w:left w:val="single" w:sz="8" w:space="0" w:color="9E007E" w:themeColor="accent4"/>
          <w:bottom w:val="single" w:sz="8" w:space="0" w:color="9E007E" w:themeColor="accent4"/>
          <w:right w:val="single" w:sz="8" w:space="0" w:color="9E007E" w:themeColor="accent4"/>
        </w:tcBorders>
      </w:tcPr>
    </w:tblStylePr>
    <w:tblStylePr w:type="band1Horz">
      <w:tblPr/>
      <w:tcPr>
        <w:tcBorders>
          <w:top w:val="single" w:sz="8" w:space="0" w:color="9E007E" w:themeColor="accent4"/>
          <w:left w:val="single" w:sz="8" w:space="0" w:color="9E007E" w:themeColor="accent4"/>
          <w:bottom w:val="single" w:sz="8" w:space="0" w:color="9E007E" w:themeColor="accent4"/>
          <w:right w:val="single" w:sz="8" w:space="0" w:color="9E007E" w:themeColor="accent4"/>
        </w:tcBorders>
      </w:tcPr>
    </w:tblStylePr>
  </w:style>
  <w:style w:type="table" w:styleId="LightList-Accent5">
    <w:name w:val="Light List Accent 5"/>
    <w:basedOn w:val="TableNormal"/>
    <w:uiPriority w:val="61"/>
    <w:semiHidden/>
    <w:unhideWhenUsed/>
    <w:rsid w:val="009E6ED7"/>
    <w:tblPr>
      <w:tblStyleRowBandSize w:val="1"/>
      <w:tblStyleColBandSize w:val="1"/>
      <w:tblBorders>
        <w:top w:val="single" w:sz="8" w:space="0" w:color="FFE512" w:themeColor="accent5"/>
        <w:left w:val="single" w:sz="8" w:space="0" w:color="FFE512" w:themeColor="accent5"/>
        <w:bottom w:val="single" w:sz="8" w:space="0" w:color="FFE512" w:themeColor="accent5"/>
        <w:right w:val="single" w:sz="8" w:space="0" w:color="FFE512" w:themeColor="accent5"/>
      </w:tblBorders>
    </w:tblPr>
    <w:tblStylePr w:type="firstRow">
      <w:pPr>
        <w:spacing w:before="0" w:after="0" w:line="240" w:lineRule="auto"/>
      </w:pPr>
      <w:rPr>
        <w:b/>
        <w:bCs/>
        <w:color w:val="FFFFFF" w:themeColor="background1"/>
      </w:rPr>
      <w:tblPr/>
      <w:tcPr>
        <w:shd w:val="clear" w:color="auto" w:fill="FFE512" w:themeFill="accent5"/>
      </w:tcPr>
    </w:tblStylePr>
    <w:tblStylePr w:type="lastRow">
      <w:pPr>
        <w:spacing w:before="0" w:after="0" w:line="240" w:lineRule="auto"/>
      </w:pPr>
      <w:rPr>
        <w:b/>
        <w:bCs/>
      </w:rPr>
      <w:tblPr/>
      <w:tcPr>
        <w:tcBorders>
          <w:top w:val="double" w:sz="6" w:space="0" w:color="FFE512" w:themeColor="accent5"/>
          <w:left w:val="single" w:sz="8" w:space="0" w:color="FFE512" w:themeColor="accent5"/>
          <w:bottom w:val="single" w:sz="8" w:space="0" w:color="FFE512" w:themeColor="accent5"/>
          <w:right w:val="single" w:sz="8" w:space="0" w:color="FFE512" w:themeColor="accent5"/>
        </w:tcBorders>
      </w:tcPr>
    </w:tblStylePr>
    <w:tblStylePr w:type="firstCol">
      <w:rPr>
        <w:b/>
        <w:bCs/>
      </w:rPr>
    </w:tblStylePr>
    <w:tblStylePr w:type="lastCol">
      <w:rPr>
        <w:b/>
        <w:bCs/>
      </w:rPr>
    </w:tblStylePr>
    <w:tblStylePr w:type="band1Vert">
      <w:tblPr/>
      <w:tcPr>
        <w:tcBorders>
          <w:top w:val="single" w:sz="8" w:space="0" w:color="FFE512" w:themeColor="accent5"/>
          <w:left w:val="single" w:sz="8" w:space="0" w:color="FFE512" w:themeColor="accent5"/>
          <w:bottom w:val="single" w:sz="8" w:space="0" w:color="FFE512" w:themeColor="accent5"/>
          <w:right w:val="single" w:sz="8" w:space="0" w:color="FFE512" w:themeColor="accent5"/>
        </w:tcBorders>
      </w:tcPr>
    </w:tblStylePr>
    <w:tblStylePr w:type="band1Horz">
      <w:tblPr/>
      <w:tcPr>
        <w:tcBorders>
          <w:top w:val="single" w:sz="8" w:space="0" w:color="FFE512" w:themeColor="accent5"/>
          <w:left w:val="single" w:sz="8" w:space="0" w:color="FFE512" w:themeColor="accent5"/>
          <w:bottom w:val="single" w:sz="8" w:space="0" w:color="FFE512" w:themeColor="accent5"/>
          <w:right w:val="single" w:sz="8" w:space="0" w:color="FFE512" w:themeColor="accent5"/>
        </w:tcBorders>
      </w:tcPr>
    </w:tblStylePr>
  </w:style>
  <w:style w:type="table" w:styleId="LightList-Accent6">
    <w:name w:val="Light List Accent 6"/>
    <w:basedOn w:val="TableNormal"/>
    <w:uiPriority w:val="61"/>
    <w:semiHidden/>
    <w:unhideWhenUsed/>
    <w:rsid w:val="009E6ED7"/>
    <w:tblPr>
      <w:tblStyleRowBandSize w:val="1"/>
      <w:tblStyleColBandSize w:val="1"/>
      <w:tblBorders>
        <w:top w:val="single" w:sz="8" w:space="0" w:color="8C8279" w:themeColor="accent6"/>
        <w:left w:val="single" w:sz="8" w:space="0" w:color="8C8279" w:themeColor="accent6"/>
        <w:bottom w:val="single" w:sz="8" w:space="0" w:color="8C8279" w:themeColor="accent6"/>
        <w:right w:val="single" w:sz="8" w:space="0" w:color="8C8279" w:themeColor="accent6"/>
      </w:tblBorders>
    </w:tblPr>
    <w:tblStylePr w:type="firstRow">
      <w:pPr>
        <w:spacing w:before="0" w:after="0" w:line="240" w:lineRule="auto"/>
      </w:pPr>
      <w:rPr>
        <w:b/>
        <w:bCs/>
        <w:color w:val="FFFFFF" w:themeColor="background1"/>
      </w:rPr>
      <w:tblPr/>
      <w:tcPr>
        <w:shd w:val="clear" w:color="auto" w:fill="8C8279" w:themeFill="accent6"/>
      </w:tcPr>
    </w:tblStylePr>
    <w:tblStylePr w:type="lastRow">
      <w:pPr>
        <w:spacing w:before="0" w:after="0" w:line="240" w:lineRule="auto"/>
      </w:pPr>
      <w:rPr>
        <w:b/>
        <w:bCs/>
      </w:rPr>
      <w:tblPr/>
      <w:tcPr>
        <w:tcBorders>
          <w:top w:val="double" w:sz="6" w:space="0" w:color="8C8279" w:themeColor="accent6"/>
          <w:left w:val="single" w:sz="8" w:space="0" w:color="8C8279" w:themeColor="accent6"/>
          <w:bottom w:val="single" w:sz="8" w:space="0" w:color="8C8279" w:themeColor="accent6"/>
          <w:right w:val="single" w:sz="8" w:space="0" w:color="8C8279" w:themeColor="accent6"/>
        </w:tcBorders>
      </w:tcPr>
    </w:tblStylePr>
    <w:tblStylePr w:type="firstCol">
      <w:rPr>
        <w:b/>
        <w:bCs/>
      </w:rPr>
    </w:tblStylePr>
    <w:tblStylePr w:type="lastCol">
      <w:rPr>
        <w:b/>
        <w:bCs/>
      </w:rPr>
    </w:tblStylePr>
    <w:tblStylePr w:type="band1Vert">
      <w:tblPr/>
      <w:tcPr>
        <w:tcBorders>
          <w:top w:val="single" w:sz="8" w:space="0" w:color="8C8279" w:themeColor="accent6"/>
          <w:left w:val="single" w:sz="8" w:space="0" w:color="8C8279" w:themeColor="accent6"/>
          <w:bottom w:val="single" w:sz="8" w:space="0" w:color="8C8279" w:themeColor="accent6"/>
          <w:right w:val="single" w:sz="8" w:space="0" w:color="8C8279" w:themeColor="accent6"/>
        </w:tcBorders>
      </w:tcPr>
    </w:tblStylePr>
    <w:tblStylePr w:type="band1Horz">
      <w:tblPr/>
      <w:tcPr>
        <w:tcBorders>
          <w:top w:val="single" w:sz="8" w:space="0" w:color="8C8279" w:themeColor="accent6"/>
          <w:left w:val="single" w:sz="8" w:space="0" w:color="8C8279" w:themeColor="accent6"/>
          <w:bottom w:val="single" w:sz="8" w:space="0" w:color="8C8279" w:themeColor="accent6"/>
          <w:right w:val="single" w:sz="8" w:space="0" w:color="8C8279" w:themeColor="accent6"/>
        </w:tcBorders>
      </w:tcPr>
    </w:tblStylePr>
  </w:style>
  <w:style w:type="table" w:styleId="LightShading">
    <w:name w:val="Light Shading"/>
    <w:basedOn w:val="TableNormal"/>
    <w:uiPriority w:val="60"/>
    <w:semiHidden/>
    <w:unhideWhenUsed/>
    <w:rsid w:val="009E6ED7"/>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semiHidden/>
    <w:unhideWhenUsed/>
    <w:rsid w:val="009E6ED7"/>
    <w:rPr>
      <w:color w:val="0087A9" w:themeColor="accent1" w:themeShade="BF"/>
    </w:rPr>
    <w:tblPr>
      <w:tblStyleRowBandSize w:val="1"/>
      <w:tblStyleColBandSize w:val="1"/>
      <w:tblBorders>
        <w:top w:val="single" w:sz="8" w:space="0" w:color="00B5E2" w:themeColor="accent1"/>
        <w:bottom w:val="single" w:sz="8" w:space="0" w:color="00B5E2" w:themeColor="accent1"/>
      </w:tblBorders>
    </w:tblPr>
    <w:tblStylePr w:type="firstRow">
      <w:pPr>
        <w:spacing w:before="0" w:after="0" w:line="240" w:lineRule="auto"/>
      </w:pPr>
      <w:rPr>
        <w:b/>
        <w:bCs/>
      </w:rPr>
      <w:tblPr/>
      <w:tcPr>
        <w:tcBorders>
          <w:top w:val="single" w:sz="8" w:space="0" w:color="00B5E2" w:themeColor="accent1"/>
          <w:left w:val="nil"/>
          <w:bottom w:val="single" w:sz="8" w:space="0" w:color="00B5E2" w:themeColor="accent1"/>
          <w:right w:val="nil"/>
          <w:insideH w:val="nil"/>
          <w:insideV w:val="nil"/>
        </w:tcBorders>
      </w:tcPr>
    </w:tblStylePr>
    <w:tblStylePr w:type="lastRow">
      <w:pPr>
        <w:spacing w:before="0" w:after="0" w:line="240" w:lineRule="auto"/>
      </w:pPr>
      <w:rPr>
        <w:b/>
        <w:bCs/>
      </w:rPr>
      <w:tblPr/>
      <w:tcPr>
        <w:tcBorders>
          <w:top w:val="single" w:sz="8" w:space="0" w:color="00B5E2" w:themeColor="accent1"/>
          <w:left w:val="nil"/>
          <w:bottom w:val="single" w:sz="8" w:space="0" w:color="00B5E2"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B8F0FF" w:themeFill="accent1" w:themeFillTint="3F"/>
      </w:tcPr>
    </w:tblStylePr>
    <w:tblStylePr w:type="band1Horz">
      <w:tblPr/>
      <w:tcPr>
        <w:tcBorders>
          <w:left w:val="nil"/>
          <w:right w:val="nil"/>
          <w:insideH w:val="nil"/>
          <w:insideV w:val="nil"/>
        </w:tcBorders>
        <w:shd w:val="clear" w:color="auto" w:fill="B8F0FF" w:themeFill="accent1" w:themeFillTint="3F"/>
      </w:tcPr>
    </w:tblStylePr>
  </w:style>
  <w:style w:type="table" w:styleId="LightShading-Accent2">
    <w:name w:val="Light Shading Accent 2"/>
    <w:basedOn w:val="TableNormal"/>
    <w:uiPriority w:val="60"/>
    <w:semiHidden/>
    <w:unhideWhenUsed/>
    <w:rsid w:val="009E6ED7"/>
    <w:rPr>
      <w:color w:val="628D00" w:themeColor="accent2" w:themeShade="BF"/>
    </w:rPr>
    <w:tblPr>
      <w:tblStyleRowBandSize w:val="1"/>
      <w:tblStyleColBandSize w:val="1"/>
      <w:tblBorders>
        <w:top w:val="single" w:sz="8" w:space="0" w:color="84BD00" w:themeColor="accent2"/>
        <w:bottom w:val="single" w:sz="8" w:space="0" w:color="84BD00" w:themeColor="accent2"/>
      </w:tblBorders>
    </w:tblPr>
    <w:tblStylePr w:type="firstRow">
      <w:pPr>
        <w:spacing w:before="0" w:after="0" w:line="240" w:lineRule="auto"/>
      </w:pPr>
      <w:rPr>
        <w:b/>
        <w:bCs/>
      </w:rPr>
      <w:tblPr/>
      <w:tcPr>
        <w:tcBorders>
          <w:top w:val="single" w:sz="8" w:space="0" w:color="84BD00" w:themeColor="accent2"/>
          <w:left w:val="nil"/>
          <w:bottom w:val="single" w:sz="8" w:space="0" w:color="84BD00" w:themeColor="accent2"/>
          <w:right w:val="nil"/>
          <w:insideH w:val="nil"/>
          <w:insideV w:val="nil"/>
        </w:tcBorders>
      </w:tcPr>
    </w:tblStylePr>
    <w:tblStylePr w:type="lastRow">
      <w:pPr>
        <w:spacing w:before="0" w:after="0" w:line="240" w:lineRule="auto"/>
      </w:pPr>
      <w:rPr>
        <w:b/>
        <w:bCs/>
      </w:rPr>
      <w:tblPr/>
      <w:tcPr>
        <w:tcBorders>
          <w:top w:val="single" w:sz="8" w:space="0" w:color="84BD00" w:themeColor="accent2"/>
          <w:left w:val="nil"/>
          <w:bottom w:val="single" w:sz="8" w:space="0" w:color="84BD00"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7FFAF" w:themeFill="accent2" w:themeFillTint="3F"/>
      </w:tcPr>
    </w:tblStylePr>
    <w:tblStylePr w:type="band1Horz">
      <w:tblPr/>
      <w:tcPr>
        <w:tcBorders>
          <w:left w:val="nil"/>
          <w:right w:val="nil"/>
          <w:insideH w:val="nil"/>
          <w:insideV w:val="nil"/>
        </w:tcBorders>
        <w:shd w:val="clear" w:color="auto" w:fill="E7FFAF" w:themeFill="accent2" w:themeFillTint="3F"/>
      </w:tcPr>
    </w:tblStylePr>
  </w:style>
  <w:style w:type="table" w:styleId="LightShading-Accent3">
    <w:name w:val="Light Shading Accent 3"/>
    <w:basedOn w:val="TableNormal"/>
    <w:uiPriority w:val="60"/>
    <w:semiHidden/>
    <w:unhideWhenUsed/>
    <w:rsid w:val="009E6ED7"/>
    <w:rPr>
      <w:color w:val="C76808" w:themeColor="accent3" w:themeShade="BF"/>
    </w:rPr>
    <w:tblPr>
      <w:tblStyleRowBandSize w:val="1"/>
      <w:tblStyleColBandSize w:val="1"/>
      <w:tblBorders>
        <w:top w:val="single" w:sz="8" w:space="0" w:color="F68B1F" w:themeColor="accent3"/>
        <w:bottom w:val="single" w:sz="8" w:space="0" w:color="F68B1F" w:themeColor="accent3"/>
      </w:tblBorders>
    </w:tblPr>
    <w:tblStylePr w:type="firstRow">
      <w:pPr>
        <w:spacing w:before="0" w:after="0" w:line="240" w:lineRule="auto"/>
      </w:pPr>
      <w:rPr>
        <w:b/>
        <w:bCs/>
      </w:rPr>
      <w:tblPr/>
      <w:tcPr>
        <w:tcBorders>
          <w:top w:val="single" w:sz="8" w:space="0" w:color="F68B1F" w:themeColor="accent3"/>
          <w:left w:val="nil"/>
          <w:bottom w:val="single" w:sz="8" w:space="0" w:color="F68B1F" w:themeColor="accent3"/>
          <w:right w:val="nil"/>
          <w:insideH w:val="nil"/>
          <w:insideV w:val="nil"/>
        </w:tcBorders>
      </w:tcPr>
    </w:tblStylePr>
    <w:tblStylePr w:type="lastRow">
      <w:pPr>
        <w:spacing w:before="0" w:after="0" w:line="240" w:lineRule="auto"/>
      </w:pPr>
      <w:rPr>
        <w:b/>
        <w:bCs/>
      </w:rPr>
      <w:tblPr/>
      <w:tcPr>
        <w:tcBorders>
          <w:top w:val="single" w:sz="8" w:space="0" w:color="F68B1F" w:themeColor="accent3"/>
          <w:left w:val="nil"/>
          <w:bottom w:val="single" w:sz="8" w:space="0" w:color="F68B1F"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CE2C7" w:themeFill="accent3" w:themeFillTint="3F"/>
      </w:tcPr>
    </w:tblStylePr>
    <w:tblStylePr w:type="band1Horz">
      <w:tblPr/>
      <w:tcPr>
        <w:tcBorders>
          <w:left w:val="nil"/>
          <w:right w:val="nil"/>
          <w:insideH w:val="nil"/>
          <w:insideV w:val="nil"/>
        </w:tcBorders>
        <w:shd w:val="clear" w:color="auto" w:fill="FCE2C7" w:themeFill="accent3" w:themeFillTint="3F"/>
      </w:tcPr>
    </w:tblStylePr>
  </w:style>
  <w:style w:type="table" w:styleId="LightShading-Accent4">
    <w:name w:val="Light Shading Accent 4"/>
    <w:basedOn w:val="TableNormal"/>
    <w:uiPriority w:val="60"/>
    <w:semiHidden/>
    <w:unhideWhenUsed/>
    <w:rsid w:val="009E6ED7"/>
    <w:rPr>
      <w:color w:val="76005E" w:themeColor="accent4" w:themeShade="BF"/>
    </w:rPr>
    <w:tblPr>
      <w:tblStyleRowBandSize w:val="1"/>
      <w:tblStyleColBandSize w:val="1"/>
      <w:tblBorders>
        <w:top w:val="single" w:sz="8" w:space="0" w:color="9E007E" w:themeColor="accent4"/>
        <w:bottom w:val="single" w:sz="8" w:space="0" w:color="9E007E" w:themeColor="accent4"/>
      </w:tblBorders>
    </w:tblPr>
    <w:tblStylePr w:type="firstRow">
      <w:pPr>
        <w:spacing w:before="0" w:after="0" w:line="240" w:lineRule="auto"/>
      </w:pPr>
      <w:rPr>
        <w:b/>
        <w:bCs/>
      </w:rPr>
      <w:tblPr/>
      <w:tcPr>
        <w:tcBorders>
          <w:top w:val="single" w:sz="8" w:space="0" w:color="9E007E" w:themeColor="accent4"/>
          <w:left w:val="nil"/>
          <w:bottom w:val="single" w:sz="8" w:space="0" w:color="9E007E" w:themeColor="accent4"/>
          <w:right w:val="nil"/>
          <w:insideH w:val="nil"/>
          <w:insideV w:val="nil"/>
        </w:tcBorders>
      </w:tcPr>
    </w:tblStylePr>
    <w:tblStylePr w:type="lastRow">
      <w:pPr>
        <w:spacing w:before="0" w:after="0" w:line="240" w:lineRule="auto"/>
      </w:pPr>
      <w:rPr>
        <w:b/>
        <w:bCs/>
      </w:rPr>
      <w:tblPr/>
      <w:tcPr>
        <w:tcBorders>
          <w:top w:val="single" w:sz="8" w:space="0" w:color="9E007E" w:themeColor="accent4"/>
          <w:left w:val="nil"/>
          <w:bottom w:val="single" w:sz="8" w:space="0" w:color="9E007E"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A8ED" w:themeFill="accent4" w:themeFillTint="3F"/>
      </w:tcPr>
    </w:tblStylePr>
    <w:tblStylePr w:type="band1Horz">
      <w:tblPr/>
      <w:tcPr>
        <w:tcBorders>
          <w:left w:val="nil"/>
          <w:right w:val="nil"/>
          <w:insideH w:val="nil"/>
          <w:insideV w:val="nil"/>
        </w:tcBorders>
        <w:shd w:val="clear" w:color="auto" w:fill="FFA8ED" w:themeFill="accent4" w:themeFillTint="3F"/>
      </w:tcPr>
    </w:tblStylePr>
  </w:style>
  <w:style w:type="table" w:styleId="LightShading-Accent5">
    <w:name w:val="Light Shading Accent 5"/>
    <w:basedOn w:val="TableNormal"/>
    <w:uiPriority w:val="60"/>
    <w:semiHidden/>
    <w:unhideWhenUsed/>
    <w:rsid w:val="009E6ED7"/>
    <w:rPr>
      <w:color w:val="CCB500" w:themeColor="accent5" w:themeShade="BF"/>
    </w:rPr>
    <w:tblPr>
      <w:tblStyleRowBandSize w:val="1"/>
      <w:tblStyleColBandSize w:val="1"/>
      <w:tblBorders>
        <w:top w:val="single" w:sz="8" w:space="0" w:color="FFE512" w:themeColor="accent5"/>
        <w:bottom w:val="single" w:sz="8" w:space="0" w:color="FFE512" w:themeColor="accent5"/>
      </w:tblBorders>
    </w:tblPr>
    <w:tblStylePr w:type="firstRow">
      <w:pPr>
        <w:spacing w:before="0" w:after="0" w:line="240" w:lineRule="auto"/>
      </w:pPr>
      <w:rPr>
        <w:b/>
        <w:bCs/>
      </w:rPr>
      <w:tblPr/>
      <w:tcPr>
        <w:tcBorders>
          <w:top w:val="single" w:sz="8" w:space="0" w:color="FFE512" w:themeColor="accent5"/>
          <w:left w:val="nil"/>
          <w:bottom w:val="single" w:sz="8" w:space="0" w:color="FFE512" w:themeColor="accent5"/>
          <w:right w:val="nil"/>
          <w:insideH w:val="nil"/>
          <w:insideV w:val="nil"/>
        </w:tcBorders>
      </w:tcPr>
    </w:tblStylePr>
    <w:tblStylePr w:type="lastRow">
      <w:pPr>
        <w:spacing w:before="0" w:after="0" w:line="240" w:lineRule="auto"/>
      </w:pPr>
      <w:rPr>
        <w:b/>
        <w:bCs/>
      </w:rPr>
      <w:tblPr/>
      <w:tcPr>
        <w:tcBorders>
          <w:top w:val="single" w:sz="8" w:space="0" w:color="FFE512" w:themeColor="accent5"/>
          <w:left w:val="nil"/>
          <w:bottom w:val="single" w:sz="8" w:space="0" w:color="FFE512"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F8C4" w:themeFill="accent5" w:themeFillTint="3F"/>
      </w:tcPr>
    </w:tblStylePr>
    <w:tblStylePr w:type="band1Horz">
      <w:tblPr/>
      <w:tcPr>
        <w:tcBorders>
          <w:left w:val="nil"/>
          <w:right w:val="nil"/>
          <w:insideH w:val="nil"/>
          <w:insideV w:val="nil"/>
        </w:tcBorders>
        <w:shd w:val="clear" w:color="auto" w:fill="FFF8C4" w:themeFill="accent5" w:themeFillTint="3F"/>
      </w:tcPr>
    </w:tblStylePr>
  </w:style>
  <w:style w:type="table" w:styleId="LightShading-Accent6">
    <w:name w:val="Light Shading Accent 6"/>
    <w:basedOn w:val="TableNormal"/>
    <w:uiPriority w:val="60"/>
    <w:semiHidden/>
    <w:unhideWhenUsed/>
    <w:rsid w:val="009E6ED7"/>
    <w:rPr>
      <w:color w:val="69615A" w:themeColor="accent6" w:themeShade="BF"/>
    </w:rPr>
    <w:tblPr>
      <w:tblStyleRowBandSize w:val="1"/>
      <w:tblStyleColBandSize w:val="1"/>
      <w:tblBorders>
        <w:top w:val="single" w:sz="8" w:space="0" w:color="8C8279" w:themeColor="accent6"/>
        <w:bottom w:val="single" w:sz="8" w:space="0" w:color="8C8279" w:themeColor="accent6"/>
      </w:tblBorders>
    </w:tblPr>
    <w:tblStylePr w:type="firstRow">
      <w:pPr>
        <w:spacing w:before="0" w:after="0" w:line="240" w:lineRule="auto"/>
      </w:pPr>
      <w:rPr>
        <w:b/>
        <w:bCs/>
      </w:rPr>
      <w:tblPr/>
      <w:tcPr>
        <w:tcBorders>
          <w:top w:val="single" w:sz="8" w:space="0" w:color="8C8279" w:themeColor="accent6"/>
          <w:left w:val="nil"/>
          <w:bottom w:val="single" w:sz="8" w:space="0" w:color="8C8279" w:themeColor="accent6"/>
          <w:right w:val="nil"/>
          <w:insideH w:val="nil"/>
          <w:insideV w:val="nil"/>
        </w:tcBorders>
      </w:tcPr>
    </w:tblStylePr>
    <w:tblStylePr w:type="lastRow">
      <w:pPr>
        <w:spacing w:before="0" w:after="0" w:line="240" w:lineRule="auto"/>
      </w:pPr>
      <w:rPr>
        <w:b/>
        <w:bCs/>
      </w:rPr>
      <w:tblPr/>
      <w:tcPr>
        <w:tcBorders>
          <w:top w:val="single" w:sz="8" w:space="0" w:color="8C8279" w:themeColor="accent6"/>
          <w:left w:val="nil"/>
          <w:bottom w:val="single" w:sz="8" w:space="0" w:color="8C8279"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2E0DD" w:themeFill="accent6" w:themeFillTint="3F"/>
      </w:tcPr>
    </w:tblStylePr>
    <w:tblStylePr w:type="band1Horz">
      <w:tblPr/>
      <w:tcPr>
        <w:tcBorders>
          <w:left w:val="nil"/>
          <w:right w:val="nil"/>
          <w:insideH w:val="nil"/>
          <w:insideV w:val="nil"/>
        </w:tcBorders>
        <w:shd w:val="clear" w:color="auto" w:fill="E2E0DD" w:themeFill="accent6" w:themeFillTint="3F"/>
      </w:tcPr>
    </w:tblStylePr>
  </w:style>
  <w:style w:type="table" w:styleId="MediumGrid1">
    <w:name w:val="Medium Grid 1"/>
    <w:basedOn w:val="TableNormal"/>
    <w:uiPriority w:val="67"/>
    <w:semiHidden/>
    <w:unhideWhenUsed/>
    <w:rsid w:val="009E6ED7"/>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semiHidden/>
    <w:unhideWhenUsed/>
    <w:rsid w:val="009E6ED7"/>
    <w:tblPr>
      <w:tblStyleRowBandSize w:val="1"/>
      <w:tblStyleColBandSize w:val="1"/>
      <w:tblBorders>
        <w:top w:val="single" w:sz="8" w:space="0" w:color="2AD4FF" w:themeColor="accent1" w:themeTint="BF"/>
        <w:left w:val="single" w:sz="8" w:space="0" w:color="2AD4FF" w:themeColor="accent1" w:themeTint="BF"/>
        <w:bottom w:val="single" w:sz="8" w:space="0" w:color="2AD4FF" w:themeColor="accent1" w:themeTint="BF"/>
        <w:right w:val="single" w:sz="8" w:space="0" w:color="2AD4FF" w:themeColor="accent1" w:themeTint="BF"/>
        <w:insideH w:val="single" w:sz="8" w:space="0" w:color="2AD4FF" w:themeColor="accent1" w:themeTint="BF"/>
        <w:insideV w:val="single" w:sz="8" w:space="0" w:color="2AD4FF" w:themeColor="accent1" w:themeTint="BF"/>
      </w:tblBorders>
    </w:tblPr>
    <w:tcPr>
      <w:shd w:val="clear" w:color="auto" w:fill="B8F0FF" w:themeFill="accent1" w:themeFillTint="3F"/>
    </w:tcPr>
    <w:tblStylePr w:type="firstRow">
      <w:rPr>
        <w:b/>
        <w:bCs/>
      </w:rPr>
    </w:tblStylePr>
    <w:tblStylePr w:type="lastRow">
      <w:rPr>
        <w:b/>
        <w:bCs/>
      </w:rPr>
      <w:tblPr/>
      <w:tcPr>
        <w:tcBorders>
          <w:top w:val="single" w:sz="18" w:space="0" w:color="2AD4FF" w:themeColor="accent1" w:themeTint="BF"/>
        </w:tcBorders>
      </w:tcPr>
    </w:tblStylePr>
    <w:tblStylePr w:type="firstCol">
      <w:rPr>
        <w:b/>
        <w:bCs/>
      </w:rPr>
    </w:tblStylePr>
    <w:tblStylePr w:type="lastCol">
      <w:rPr>
        <w:b/>
        <w:bCs/>
      </w:rPr>
    </w:tblStylePr>
    <w:tblStylePr w:type="band1Vert">
      <w:tblPr/>
      <w:tcPr>
        <w:shd w:val="clear" w:color="auto" w:fill="71E2FF" w:themeFill="accent1" w:themeFillTint="7F"/>
      </w:tcPr>
    </w:tblStylePr>
    <w:tblStylePr w:type="band1Horz">
      <w:tblPr/>
      <w:tcPr>
        <w:shd w:val="clear" w:color="auto" w:fill="71E2FF" w:themeFill="accent1" w:themeFillTint="7F"/>
      </w:tcPr>
    </w:tblStylePr>
  </w:style>
  <w:style w:type="table" w:styleId="MediumGrid1-Accent2">
    <w:name w:val="Medium Grid 1 Accent 2"/>
    <w:basedOn w:val="TableNormal"/>
    <w:uiPriority w:val="67"/>
    <w:semiHidden/>
    <w:unhideWhenUsed/>
    <w:rsid w:val="009E6ED7"/>
    <w:tblPr>
      <w:tblStyleRowBandSize w:val="1"/>
      <w:tblStyleColBandSize w:val="1"/>
      <w:tblBorders>
        <w:top w:val="single" w:sz="8" w:space="0" w:color="B6FF0E" w:themeColor="accent2" w:themeTint="BF"/>
        <w:left w:val="single" w:sz="8" w:space="0" w:color="B6FF0E" w:themeColor="accent2" w:themeTint="BF"/>
        <w:bottom w:val="single" w:sz="8" w:space="0" w:color="B6FF0E" w:themeColor="accent2" w:themeTint="BF"/>
        <w:right w:val="single" w:sz="8" w:space="0" w:color="B6FF0E" w:themeColor="accent2" w:themeTint="BF"/>
        <w:insideH w:val="single" w:sz="8" w:space="0" w:color="B6FF0E" w:themeColor="accent2" w:themeTint="BF"/>
        <w:insideV w:val="single" w:sz="8" w:space="0" w:color="B6FF0E" w:themeColor="accent2" w:themeTint="BF"/>
      </w:tblBorders>
    </w:tblPr>
    <w:tcPr>
      <w:shd w:val="clear" w:color="auto" w:fill="E7FFAF" w:themeFill="accent2" w:themeFillTint="3F"/>
    </w:tcPr>
    <w:tblStylePr w:type="firstRow">
      <w:rPr>
        <w:b/>
        <w:bCs/>
      </w:rPr>
    </w:tblStylePr>
    <w:tblStylePr w:type="lastRow">
      <w:rPr>
        <w:b/>
        <w:bCs/>
      </w:rPr>
      <w:tblPr/>
      <w:tcPr>
        <w:tcBorders>
          <w:top w:val="single" w:sz="18" w:space="0" w:color="B6FF0E" w:themeColor="accent2" w:themeTint="BF"/>
        </w:tcBorders>
      </w:tcPr>
    </w:tblStylePr>
    <w:tblStylePr w:type="firstCol">
      <w:rPr>
        <w:b/>
        <w:bCs/>
      </w:rPr>
    </w:tblStylePr>
    <w:tblStylePr w:type="lastCol">
      <w:rPr>
        <w:b/>
        <w:bCs/>
      </w:rPr>
    </w:tblStylePr>
    <w:tblStylePr w:type="band1Vert">
      <w:tblPr/>
      <w:tcPr>
        <w:shd w:val="clear" w:color="auto" w:fill="CEFF5F" w:themeFill="accent2" w:themeFillTint="7F"/>
      </w:tcPr>
    </w:tblStylePr>
    <w:tblStylePr w:type="band1Horz">
      <w:tblPr/>
      <w:tcPr>
        <w:shd w:val="clear" w:color="auto" w:fill="CEFF5F" w:themeFill="accent2" w:themeFillTint="7F"/>
      </w:tcPr>
    </w:tblStylePr>
  </w:style>
  <w:style w:type="table" w:styleId="MediumGrid1-Accent3">
    <w:name w:val="Medium Grid 1 Accent 3"/>
    <w:basedOn w:val="TableNormal"/>
    <w:uiPriority w:val="67"/>
    <w:semiHidden/>
    <w:unhideWhenUsed/>
    <w:rsid w:val="009E6ED7"/>
    <w:tblPr>
      <w:tblStyleRowBandSize w:val="1"/>
      <w:tblStyleColBandSize w:val="1"/>
      <w:tblBorders>
        <w:top w:val="single" w:sz="8" w:space="0" w:color="F8A757" w:themeColor="accent3" w:themeTint="BF"/>
        <w:left w:val="single" w:sz="8" w:space="0" w:color="F8A757" w:themeColor="accent3" w:themeTint="BF"/>
        <w:bottom w:val="single" w:sz="8" w:space="0" w:color="F8A757" w:themeColor="accent3" w:themeTint="BF"/>
        <w:right w:val="single" w:sz="8" w:space="0" w:color="F8A757" w:themeColor="accent3" w:themeTint="BF"/>
        <w:insideH w:val="single" w:sz="8" w:space="0" w:color="F8A757" w:themeColor="accent3" w:themeTint="BF"/>
        <w:insideV w:val="single" w:sz="8" w:space="0" w:color="F8A757" w:themeColor="accent3" w:themeTint="BF"/>
      </w:tblBorders>
    </w:tblPr>
    <w:tcPr>
      <w:shd w:val="clear" w:color="auto" w:fill="FCE2C7" w:themeFill="accent3" w:themeFillTint="3F"/>
    </w:tcPr>
    <w:tblStylePr w:type="firstRow">
      <w:rPr>
        <w:b/>
        <w:bCs/>
      </w:rPr>
    </w:tblStylePr>
    <w:tblStylePr w:type="lastRow">
      <w:rPr>
        <w:b/>
        <w:bCs/>
      </w:rPr>
      <w:tblPr/>
      <w:tcPr>
        <w:tcBorders>
          <w:top w:val="single" w:sz="18" w:space="0" w:color="F8A757" w:themeColor="accent3" w:themeTint="BF"/>
        </w:tcBorders>
      </w:tcPr>
    </w:tblStylePr>
    <w:tblStylePr w:type="firstCol">
      <w:rPr>
        <w:b/>
        <w:bCs/>
      </w:rPr>
    </w:tblStylePr>
    <w:tblStylePr w:type="lastCol">
      <w:rPr>
        <w:b/>
        <w:bCs/>
      </w:rPr>
    </w:tblStylePr>
    <w:tblStylePr w:type="band1Vert">
      <w:tblPr/>
      <w:tcPr>
        <w:shd w:val="clear" w:color="auto" w:fill="FAC58F" w:themeFill="accent3" w:themeFillTint="7F"/>
      </w:tcPr>
    </w:tblStylePr>
    <w:tblStylePr w:type="band1Horz">
      <w:tblPr/>
      <w:tcPr>
        <w:shd w:val="clear" w:color="auto" w:fill="FAC58F" w:themeFill="accent3" w:themeFillTint="7F"/>
      </w:tcPr>
    </w:tblStylePr>
  </w:style>
  <w:style w:type="table" w:styleId="MediumGrid1-Accent4">
    <w:name w:val="Medium Grid 1 Accent 4"/>
    <w:basedOn w:val="TableNormal"/>
    <w:uiPriority w:val="67"/>
    <w:semiHidden/>
    <w:unhideWhenUsed/>
    <w:rsid w:val="009E6ED7"/>
    <w:tblPr>
      <w:tblStyleRowBandSize w:val="1"/>
      <w:tblStyleColBandSize w:val="1"/>
      <w:tblBorders>
        <w:top w:val="single" w:sz="8" w:space="0" w:color="F600C4" w:themeColor="accent4" w:themeTint="BF"/>
        <w:left w:val="single" w:sz="8" w:space="0" w:color="F600C4" w:themeColor="accent4" w:themeTint="BF"/>
        <w:bottom w:val="single" w:sz="8" w:space="0" w:color="F600C4" w:themeColor="accent4" w:themeTint="BF"/>
        <w:right w:val="single" w:sz="8" w:space="0" w:color="F600C4" w:themeColor="accent4" w:themeTint="BF"/>
        <w:insideH w:val="single" w:sz="8" w:space="0" w:color="F600C4" w:themeColor="accent4" w:themeTint="BF"/>
        <w:insideV w:val="single" w:sz="8" w:space="0" w:color="F600C4" w:themeColor="accent4" w:themeTint="BF"/>
      </w:tblBorders>
    </w:tblPr>
    <w:tcPr>
      <w:shd w:val="clear" w:color="auto" w:fill="FFA8ED" w:themeFill="accent4" w:themeFillTint="3F"/>
    </w:tcPr>
    <w:tblStylePr w:type="firstRow">
      <w:rPr>
        <w:b/>
        <w:bCs/>
      </w:rPr>
    </w:tblStylePr>
    <w:tblStylePr w:type="lastRow">
      <w:rPr>
        <w:b/>
        <w:bCs/>
      </w:rPr>
      <w:tblPr/>
      <w:tcPr>
        <w:tcBorders>
          <w:top w:val="single" w:sz="18" w:space="0" w:color="F600C4" w:themeColor="accent4" w:themeTint="BF"/>
        </w:tcBorders>
      </w:tcPr>
    </w:tblStylePr>
    <w:tblStylePr w:type="firstCol">
      <w:rPr>
        <w:b/>
        <w:bCs/>
      </w:rPr>
    </w:tblStylePr>
    <w:tblStylePr w:type="lastCol">
      <w:rPr>
        <w:b/>
        <w:bCs/>
      </w:rPr>
    </w:tblStylePr>
    <w:tblStylePr w:type="band1Vert">
      <w:tblPr/>
      <w:tcPr>
        <w:shd w:val="clear" w:color="auto" w:fill="FF4FDB" w:themeFill="accent4" w:themeFillTint="7F"/>
      </w:tcPr>
    </w:tblStylePr>
    <w:tblStylePr w:type="band1Horz">
      <w:tblPr/>
      <w:tcPr>
        <w:shd w:val="clear" w:color="auto" w:fill="FF4FDB" w:themeFill="accent4" w:themeFillTint="7F"/>
      </w:tcPr>
    </w:tblStylePr>
  </w:style>
  <w:style w:type="table" w:styleId="MediumGrid1-Accent5">
    <w:name w:val="Medium Grid 1 Accent 5"/>
    <w:basedOn w:val="TableNormal"/>
    <w:uiPriority w:val="67"/>
    <w:semiHidden/>
    <w:unhideWhenUsed/>
    <w:rsid w:val="009E6ED7"/>
    <w:tblPr>
      <w:tblStyleRowBandSize w:val="1"/>
      <w:tblStyleColBandSize w:val="1"/>
      <w:tblBorders>
        <w:top w:val="single" w:sz="8" w:space="0" w:color="FFEB4D" w:themeColor="accent5" w:themeTint="BF"/>
        <w:left w:val="single" w:sz="8" w:space="0" w:color="FFEB4D" w:themeColor="accent5" w:themeTint="BF"/>
        <w:bottom w:val="single" w:sz="8" w:space="0" w:color="FFEB4D" w:themeColor="accent5" w:themeTint="BF"/>
        <w:right w:val="single" w:sz="8" w:space="0" w:color="FFEB4D" w:themeColor="accent5" w:themeTint="BF"/>
        <w:insideH w:val="single" w:sz="8" w:space="0" w:color="FFEB4D" w:themeColor="accent5" w:themeTint="BF"/>
        <w:insideV w:val="single" w:sz="8" w:space="0" w:color="FFEB4D" w:themeColor="accent5" w:themeTint="BF"/>
      </w:tblBorders>
    </w:tblPr>
    <w:tcPr>
      <w:shd w:val="clear" w:color="auto" w:fill="FFF8C4" w:themeFill="accent5" w:themeFillTint="3F"/>
    </w:tcPr>
    <w:tblStylePr w:type="firstRow">
      <w:rPr>
        <w:b/>
        <w:bCs/>
      </w:rPr>
    </w:tblStylePr>
    <w:tblStylePr w:type="lastRow">
      <w:rPr>
        <w:b/>
        <w:bCs/>
      </w:rPr>
      <w:tblPr/>
      <w:tcPr>
        <w:tcBorders>
          <w:top w:val="single" w:sz="18" w:space="0" w:color="FFEB4D" w:themeColor="accent5" w:themeTint="BF"/>
        </w:tcBorders>
      </w:tcPr>
    </w:tblStylePr>
    <w:tblStylePr w:type="firstCol">
      <w:rPr>
        <w:b/>
        <w:bCs/>
      </w:rPr>
    </w:tblStylePr>
    <w:tblStylePr w:type="lastCol">
      <w:rPr>
        <w:b/>
        <w:bCs/>
      </w:rPr>
    </w:tblStylePr>
    <w:tblStylePr w:type="band1Vert">
      <w:tblPr/>
      <w:tcPr>
        <w:shd w:val="clear" w:color="auto" w:fill="FFF288" w:themeFill="accent5" w:themeFillTint="7F"/>
      </w:tcPr>
    </w:tblStylePr>
    <w:tblStylePr w:type="band1Horz">
      <w:tblPr/>
      <w:tcPr>
        <w:shd w:val="clear" w:color="auto" w:fill="FFF288" w:themeFill="accent5" w:themeFillTint="7F"/>
      </w:tcPr>
    </w:tblStylePr>
  </w:style>
  <w:style w:type="table" w:styleId="MediumGrid1-Accent6">
    <w:name w:val="Medium Grid 1 Accent 6"/>
    <w:basedOn w:val="TableNormal"/>
    <w:uiPriority w:val="67"/>
    <w:semiHidden/>
    <w:unhideWhenUsed/>
    <w:rsid w:val="009E6ED7"/>
    <w:tblPr>
      <w:tblStyleRowBandSize w:val="1"/>
      <w:tblStyleColBandSize w:val="1"/>
      <w:tblBorders>
        <w:top w:val="single" w:sz="8" w:space="0" w:color="A8A19A" w:themeColor="accent6" w:themeTint="BF"/>
        <w:left w:val="single" w:sz="8" w:space="0" w:color="A8A19A" w:themeColor="accent6" w:themeTint="BF"/>
        <w:bottom w:val="single" w:sz="8" w:space="0" w:color="A8A19A" w:themeColor="accent6" w:themeTint="BF"/>
        <w:right w:val="single" w:sz="8" w:space="0" w:color="A8A19A" w:themeColor="accent6" w:themeTint="BF"/>
        <w:insideH w:val="single" w:sz="8" w:space="0" w:color="A8A19A" w:themeColor="accent6" w:themeTint="BF"/>
        <w:insideV w:val="single" w:sz="8" w:space="0" w:color="A8A19A" w:themeColor="accent6" w:themeTint="BF"/>
      </w:tblBorders>
    </w:tblPr>
    <w:tcPr>
      <w:shd w:val="clear" w:color="auto" w:fill="E2E0DD" w:themeFill="accent6" w:themeFillTint="3F"/>
    </w:tcPr>
    <w:tblStylePr w:type="firstRow">
      <w:rPr>
        <w:b/>
        <w:bCs/>
      </w:rPr>
    </w:tblStylePr>
    <w:tblStylePr w:type="lastRow">
      <w:rPr>
        <w:b/>
        <w:bCs/>
      </w:rPr>
      <w:tblPr/>
      <w:tcPr>
        <w:tcBorders>
          <w:top w:val="single" w:sz="18" w:space="0" w:color="A8A19A" w:themeColor="accent6" w:themeTint="BF"/>
        </w:tcBorders>
      </w:tcPr>
    </w:tblStylePr>
    <w:tblStylePr w:type="firstCol">
      <w:rPr>
        <w:b/>
        <w:bCs/>
      </w:rPr>
    </w:tblStylePr>
    <w:tblStylePr w:type="lastCol">
      <w:rPr>
        <w:b/>
        <w:bCs/>
      </w:rPr>
    </w:tblStylePr>
    <w:tblStylePr w:type="band1Vert">
      <w:tblPr/>
      <w:tcPr>
        <w:shd w:val="clear" w:color="auto" w:fill="C5C0BC" w:themeFill="accent6" w:themeFillTint="7F"/>
      </w:tcPr>
    </w:tblStylePr>
    <w:tblStylePr w:type="band1Horz">
      <w:tblPr/>
      <w:tcPr>
        <w:shd w:val="clear" w:color="auto" w:fill="C5C0BC" w:themeFill="accent6" w:themeFillTint="7F"/>
      </w:tcPr>
    </w:tblStylePr>
  </w:style>
  <w:style w:type="table" w:styleId="MediumGrid2">
    <w:name w:val="Medium Grid 2"/>
    <w:basedOn w:val="TableNormal"/>
    <w:uiPriority w:val="68"/>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00B5E2" w:themeColor="accent1"/>
        <w:left w:val="single" w:sz="8" w:space="0" w:color="00B5E2" w:themeColor="accent1"/>
        <w:bottom w:val="single" w:sz="8" w:space="0" w:color="00B5E2" w:themeColor="accent1"/>
        <w:right w:val="single" w:sz="8" w:space="0" w:color="00B5E2" w:themeColor="accent1"/>
        <w:insideH w:val="single" w:sz="8" w:space="0" w:color="00B5E2" w:themeColor="accent1"/>
        <w:insideV w:val="single" w:sz="8" w:space="0" w:color="00B5E2" w:themeColor="accent1"/>
      </w:tblBorders>
    </w:tblPr>
    <w:tcPr>
      <w:shd w:val="clear" w:color="auto" w:fill="B8F0FF" w:themeFill="accent1" w:themeFillTint="3F"/>
    </w:tcPr>
    <w:tblStylePr w:type="firstRow">
      <w:rPr>
        <w:b/>
        <w:bCs/>
        <w:color w:val="000000" w:themeColor="text1"/>
      </w:rPr>
      <w:tblPr/>
      <w:tcPr>
        <w:shd w:val="clear" w:color="auto" w:fill="E3F9FF"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6F3FF" w:themeFill="accent1" w:themeFillTint="33"/>
      </w:tcPr>
    </w:tblStylePr>
    <w:tblStylePr w:type="band1Vert">
      <w:tblPr/>
      <w:tcPr>
        <w:shd w:val="clear" w:color="auto" w:fill="71E2FF" w:themeFill="accent1" w:themeFillTint="7F"/>
      </w:tcPr>
    </w:tblStylePr>
    <w:tblStylePr w:type="band1Horz">
      <w:tblPr/>
      <w:tcPr>
        <w:tcBorders>
          <w:insideH w:val="single" w:sz="6" w:space="0" w:color="00B5E2" w:themeColor="accent1"/>
          <w:insideV w:val="single" w:sz="6" w:space="0" w:color="00B5E2" w:themeColor="accent1"/>
        </w:tcBorders>
        <w:shd w:val="clear" w:color="auto" w:fill="71E2FF"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84BD00" w:themeColor="accent2"/>
        <w:left w:val="single" w:sz="8" w:space="0" w:color="84BD00" w:themeColor="accent2"/>
        <w:bottom w:val="single" w:sz="8" w:space="0" w:color="84BD00" w:themeColor="accent2"/>
        <w:right w:val="single" w:sz="8" w:space="0" w:color="84BD00" w:themeColor="accent2"/>
        <w:insideH w:val="single" w:sz="8" w:space="0" w:color="84BD00" w:themeColor="accent2"/>
        <w:insideV w:val="single" w:sz="8" w:space="0" w:color="84BD00" w:themeColor="accent2"/>
      </w:tblBorders>
    </w:tblPr>
    <w:tcPr>
      <w:shd w:val="clear" w:color="auto" w:fill="E7FFAF" w:themeFill="accent2" w:themeFillTint="3F"/>
    </w:tcPr>
    <w:tblStylePr w:type="firstRow">
      <w:rPr>
        <w:b/>
        <w:bCs/>
        <w:color w:val="000000" w:themeColor="text1"/>
      </w:rPr>
      <w:tblPr/>
      <w:tcPr>
        <w:shd w:val="clear" w:color="auto" w:fill="F5FFDF"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BFFBE" w:themeFill="accent2" w:themeFillTint="33"/>
      </w:tcPr>
    </w:tblStylePr>
    <w:tblStylePr w:type="band1Vert">
      <w:tblPr/>
      <w:tcPr>
        <w:shd w:val="clear" w:color="auto" w:fill="CEFF5F" w:themeFill="accent2" w:themeFillTint="7F"/>
      </w:tcPr>
    </w:tblStylePr>
    <w:tblStylePr w:type="band1Horz">
      <w:tblPr/>
      <w:tcPr>
        <w:tcBorders>
          <w:insideH w:val="single" w:sz="6" w:space="0" w:color="84BD00" w:themeColor="accent2"/>
          <w:insideV w:val="single" w:sz="6" w:space="0" w:color="84BD00" w:themeColor="accent2"/>
        </w:tcBorders>
        <w:shd w:val="clear" w:color="auto" w:fill="CEFF5F"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F68B1F" w:themeColor="accent3"/>
        <w:left w:val="single" w:sz="8" w:space="0" w:color="F68B1F" w:themeColor="accent3"/>
        <w:bottom w:val="single" w:sz="8" w:space="0" w:color="F68B1F" w:themeColor="accent3"/>
        <w:right w:val="single" w:sz="8" w:space="0" w:color="F68B1F" w:themeColor="accent3"/>
        <w:insideH w:val="single" w:sz="8" w:space="0" w:color="F68B1F" w:themeColor="accent3"/>
        <w:insideV w:val="single" w:sz="8" w:space="0" w:color="F68B1F" w:themeColor="accent3"/>
      </w:tblBorders>
    </w:tblPr>
    <w:tcPr>
      <w:shd w:val="clear" w:color="auto" w:fill="FCE2C7" w:themeFill="accent3" w:themeFillTint="3F"/>
    </w:tcPr>
    <w:tblStylePr w:type="firstRow">
      <w:rPr>
        <w:b/>
        <w:bCs/>
        <w:color w:val="000000" w:themeColor="text1"/>
      </w:rPr>
      <w:tblPr/>
      <w:tcPr>
        <w:shd w:val="clear" w:color="auto" w:fill="FEF3E8"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7D2" w:themeFill="accent3" w:themeFillTint="33"/>
      </w:tcPr>
    </w:tblStylePr>
    <w:tblStylePr w:type="band1Vert">
      <w:tblPr/>
      <w:tcPr>
        <w:shd w:val="clear" w:color="auto" w:fill="FAC58F" w:themeFill="accent3" w:themeFillTint="7F"/>
      </w:tcPr>
    </w:tblStylePr>
    <w:tblStylePr w:type="band1Horz">
      <w:tblPr/>
      <w:tcPr>
        <w:tcBorders>
          <w:insideH w:val="single" w:sz="6" w:space="0" w:color="F68B1F" w:themeColor="accent3"/>
          <w:insideV w:val="single" w:sz="6" w:space="0" w:color="F68B1F" w:themeColor="accent3"/>
        </w:tcBorders>
        <w:shd w:val="clear" w:color="auto" w:fill="FAC58F"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9E007E" w:themeColor="accent4"/>
        <w:left w:val="single" w:sz="8" w:space="0" w:color="9E007E" w:themeColor="accent4"/>
        <w:bottom w:val="single" w:sz="8" w:space="0" w:color="9E007E" w:themeColor="accent4"/>
        <w:right w:val="single" w:sz="8" w:space="0" w:color="9E007E" w:themeColor="accent4"/>
        <w:insideH w:val="single" w:sz="8" w:space="0" w:color="9E007E" w:themeColor="accent4"/>
        <w:insideV w:val="single" w:sz="8" w:space="0" w:color="9E007E" w:themeColor="accent4"/>
      </w:tblBorders>
    </w:tblPr>
    <w:tcPr>
      <w:shd w:val="clear" w:color="auto" w:fill="FFA8ED" w:themeFill="accent4" w:themeFillTint="3F"/>
    </w:tcPr>
    <w:tblStylePr w:type="firstRow">
      <w:rPr>
        <w:b/>
        <w:bCs/>
        <w:color w:val="000000" w:themeColor="text1"/>
      </w:rPr>
      <w:tblPr/>
      <w:tcPr>
        <w:shd w:val="clear" w:color="auto" w:fill="FFDCF7"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FB8F0" w:themeFill="accent4" w:themeFillTint="33"/>
      </w:tcPr>
    </w:tblStylePr>
    <w:tblStylePr w:type="band1Vert">
      <w:tblPr/>
      <w:tcPr>
        <w:shd w:val="clear" w:color="auto" w:fill="FF4FDB" w:themeFill="accent4" w:themeFillTint="7F"/>
      </w:tcPr>
    </w:tblStylePr>
    <w:tblStylePr w:type="band1Horz">
      <w:tblPr/>
      <w:tcPr>
        <w:tcBorders>
          <w:insideH w:val="single" w:sz="6" w:space="0" w:color="9E007E" w:themeColor="accent4"/>
          <w:insideV w:val="single" w:sz="6" w:space="0" w:color="9E007E" w:themeColor="accent4"/>
        </w:tcBorders>
        <w:shd w:val="clear" w:color="auto" w:fill="FF4FDB"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FFE512" w:themeColor="accent5"/>
        <w:left w:val="single" w:sz="8" w:space="0" w:color="FFE512" w:themeColor="accent5"/>
        <w:bottom w:val="single" w:sz="8" w:space="0" w:color="FFE512" w:themeColor="accent5"/>
        <w:right w:val="single" w:sz="8" w:space="0" w:color="FFE512" w:themeColor="accent5"/>
        <w:insideH w:val="single" w:sz="8" w:space="0" w:color="FFE512" w:themeColor="accent5"/>
        <w:insideV w:val="single" w:sz="8" w:space="0" w:color="FFE512" w:themeColor="accent5"/>
      </w:tblBorders>
    </w:tblPr>
    <w:tcPr>
      <w:shd w:val="clear" w:color="auto" w:fill="FFF8C4" w:themeFill="accent5" w:themeFillTint="3F"/>
    </w:tcPr>
    <w:tblStylePr w:type="firstRow">
      <w:rPr>
        <w:b/>
        <w:bCs/>
        <w:color w:val="000000" w:themeColor="text1"/>
      </w:rPr>
      <w:tblPr/>
      <w:tcPr>
        <w:shd w:val="clear" w:color="auto" w:fill="FFFCE7"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FF9CF" w:themeFill="accent5" w:themeFillTint="33"/>
      </w:tcPr>
    </w:tblStylePr>
    <w:tblStylePr w:type="band1Vert">
      <w:tblPr/>
      <w:tcPr>
        <w:shd w:val="clear" w:color="auto" w:fill="FFF288" w:themeFill="accent5" w:themeFillTint="7F"/>
      </w:tcPr>
    </w:tblStylePr>
    <w:tblStylePr w:type="band1Horz">
      <w:tblPr/>
      <w:tcPr>
        <w:tcBorders>
          <w:insideH w:val="single" w:sz="6" w:space="0" w:color="FFE512" w:themeColor="accent5"/>
          <w:insideV w:val="single" w:sz="6" w:space="0" w:color="FFE512" w:themeColor="accent5"/>
        </w:tcBorders>
        <w:shd w:val="clear" w:color="auto" w:fill="FFF288"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8C8279" w:themeColor="accent6"/>
        <w:left w:val="single" w:sz="8" w:space="0" w:color="8C8279" w:themeColor="accent6"/>
        <w:bottom w:val="single" w:sz="8" w:space="0" w:color="8C8279" w:themeColor="accent6"/>
        <w:right w:val="single" w:sz="8" w:space="0" w:color="8C8279" w:themeColor="accent6"/>
        <w:insideH w:val="single" w:sz="8" w:space="0" w:color="8C8279" w:themeColor="accent6"/>
        <w:insideV w:val="single" w:sz="8" w:space="0" w:color="8C8279" w:themeColor="accent6"/>
      </w:tblBorders>
    </w:tblPr>
    <w:tcPr>
      <w:shd w:val="clear" w:color="auto" w:fill="E2E0DD" w:themeFill="accent6" w:themeFillTint="3F"/>
    </w:tcPr>
    <w:tblStylePr w:type="firstRow">
      <w:rPr>
        <w:b/>
        <w:bCs/>
        <w:color w:val="000000" w:themeColor="text1"/>
      </w:rPr>
      <w:tblPr/>
      <w:tcPr>
        <w:shd w:val="clear" w:color="auto" w:fill="F3F2F1"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8E5E4" w:themeFill="accent6" w:themeFillTint="33"/>
      </w:tcPr>
    </w:tblStylePr>
    <w:tblStylePr w:type="band1Vert">
      <w:tblPr/>
      <w:tcPr>
        <w:shd w:val="clear" w:color="auto" w:fill="C5C0BC" w:themeFill="accent6" w:themeFillTint="7F"/>
      </w:tcPr>
    </w:tblStylePr>
    <w:tblStylePr w:type="band1Horz">
      <w:tblPr/>
      <w:tcPr>
        <w:tcBorders>
          <w:insideH w:val="single" w:sz="6" w:space="0" w:color="8C8279" w:themeColor="accent6"/>
          <w:insideV w:val="single" w:sz="6" w:space="0" w:color="8C8279" w:themeColor="accent6"/>
        </w:tcBorders>
        <w:shd w:val="clear" w:color="auto" w:fill="C5C0BC"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semiHidden/>
    <w:unhideWhenUsed/>
    <w:rsid w:val="009E6ED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semiHidden/>
    <w:unhideWhenUsed/>
    <w:rsid w:val="009E6ED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B8F0FF"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B5E2"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B5E2"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B5E2"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B5E2"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71E2FF"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71E2FF" w:themeFill="accent1" w:themeFillTint="7F"/>
      </w:tcPr>
    </w:tblStylePr>
  </w:style>
  <w:style w:type="table" w:styleId="MediumGrid3-Accent2">
    <w:name w:val="Medium Grid 3 Accent 2"/>
    <w:basedOn w:val="TableNormal"/>
    <w:uiPriority w:val="69"/>
    <w:semiHidden/>
    <w:unhideWhenUsed/>
    <w:rsid w:val="009E6ED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7FFAF"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4BD00"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4BD00"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4BD00"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4BD00"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EFF5F"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EFF5F" w:themeFill="accent2" w:themeFillTint="7F"/>
      </w:tcPr>
    </w:tblStylePr>
  </w:style>
  <w:style w:type="table" w:styleId="MediumGrid3-Accent3">
    <w:name w:val="Medium Grid 3 Accent 3"/>
    <w:basedOn w:val="TableNormal"/>
    <w:uiPriority w:val="69"/>
    <w:semiHidden/>
    <w:unhideWhenUsed/>
    <w:rsid w:val="009E6ED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CE2C7"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68B1F"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68B1F"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68B1F"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68B1F"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AC58F"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AC58F" w:themeFill="accent3" w:themeFillTint="7F"/>
      </w:tcPr>
    </w:tblStylePr>
  </w:style>
  <w:style w:type="table" w:styleId="MediumGrid3-Accent4">
    <w:name w:val="Medium Grid 3 Accent 4"/>
    <w:basedOn w:val="TableNormal"/>
    <w:uiPriority w:val="69"/>
    <w:semiHidden/>
    <w:unhideWhenUsed/>
    <w:rsid w:val="009E6ED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FA8ED"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E007E"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E007E"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E007E"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E007E"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F4FDB"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F4FDB" w:themeFill="accent4" w:themeFillTint="7F"/>
      </w:tcPr>
    </w:tblStylePr>
  </w:style>
  <w:style w:type="table" w:styleId="MediumGrid3-Accent5">
    <w:name w:val="Medium Grid 3 Accent 5"/>
    <w:basedOn w:val="TableNormal"/>
    <w:uiPriority w:val="69"/>
    <w:semiHidden/>
    <w:unhideWhenUsed/>
    <w:rsid w:val="009E6ED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FF8C4"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FE512"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FE512"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FE512"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FE512"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FF288"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FF288" w:themeFill="accent5" w:themeFillTint="7F"/>
      </w:tcPr>
    </w:tblStylePr>
  </w:style>
  <w:style w:type="table" w:styleId="MediumGrid3-Accent6">
    <w:name w:val="Medium Grid 3 Accent 6"/>
    <w:basedOn w:val="TableNormal"/>
    <w:uiPriority w:val="69"/>
    <w:semiHidden/>
    <w:unhideWhenUsed/>
    <w:rsid w:val="009E6ED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2E0DD"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C8279"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C8279"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C8279"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C8279"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5C0BC"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5C0BC" w:themeFill="accent6" w:themeFillTint="7F"/>
      </w:tcPr>
    </w:tblStylePr>
  </w:style>
  <w:style w:type="table" w:styleId="MediumList1">
    <w:name w:val="Medium List 1"/>
    <w:basedOn w:val="TableNormal"/>
    <w:uiPriority w:val="65"/>
    <w:semiHidden/>
    <w:unhideWhenUsed/>
    <w:rsid w:val="009E6ED7"/>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000000"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semiHidden/>
    <w:unhideWhenUsed/>
    <w:rsid w:val="009E6ED7"/>
    <w:rPr>
      <w:color w:val="000000" w:themeColor="text1"/>
    </w:rPr>
    <w:tblPr>
      <w:tblStyleRowBandSize w:val="1"/>
      <w:tblStyleColBandSize w:val="1"/>
      <w:tblBorders>
        <w:top w:val="single" w:sz="8" w:space="0" w:color="00B5E2" w:themeColor="accent1"/>
        <w:bottom w:val="single" w:sz="8" w:space="0" w:color="00B5E2" w:themeColor="accent1"/>
      </w:tblBorders>
    </w:tblPr>
    <w:tblStylePr w:type="firstRow">
      <w:rPr>
        <w:rFonts w:asciiTheme="majorHAnsi" w:eastAsiaTheme="majorEastAsia" w:hAnsiTheme="majorHAnsi" w:cstheme="majorBidi"/>
      </w:rPr>
      <w:tblPr/>
      <w:tcPr>
        <w:tcBorders>
          <w:top w:val="nil"/>
          <w:bottom w:val="single" w:sz="8" w:space="0" w:color="00B5E2" w:themeColor="accent1"/>
        </w:tcBorders>
      </w:tcPr>
    </w:tblStylePr>
    <w:tblStylePr w:type="lastRow">
      <w:rPr>
        <w:b/>
        <w:bCs/>
        <w:color w:val="000000" w:themeColor="text2"/>
      </w:rPr>
      <w:tblPr/>
      <w:tcPr>
        <w:tcBorders>
          <w:top w:val="single" w:sz="8" w:space="0" w:color="00B5E2" w:themeColor="accent1"/>
          <w:bottom w:val="single" w:sz="8" w:space="0" w:color="00B5E2" w:themeColor="accent1"/>
        </w:tcBorders>
      </w:tcPr>
    </w:tblStylePr>
    <w:tblStylePr w:type="firstCol">
      <w:rPr>
        <w:b/>
        <w:bCs/>
      </w:rPr>
    </w:tblStylePr>
    <w:tblStylePr w:type="lastCol">
      <w:rPr>
        <w:b/>
        <w:bCs/>
      </w:rPr>
      <w:tblPr/>
      <w:tcPr>
        <w:tcBorders>
          <w:top w:val="single" w:sz="8" w:space="0" w:color="00B5E2" w:themeColor="accent1"/>
          <w:bottom w:val="single" w:sz="8" w:space="0" w:color="00B5E2" w:themeColor="accent1"/>
        </w:tcBorders>
      </w:tcPr>
    </w:tblStylePr>
    <w:tblStylePr w:type="band1Vert">
      <w:tblPr/>
      <w:tcPr>
        <w:shd w:val="clear" w:color="auto" w:fill="B8F0FF" w:themeFill="accent1" w:themeFillTint="3F"/>
      </w:tcPr>
    </w:tblStylePr>
    <w:tblStylePr w:type="band1Horz">
      <w:tblPr/>
      <w:tcPr>
        <w:shd w:val="clear" w:color="auto" w:fill="B8F0FF" w:themeFill="accent1" w:themeFillTint="3F"/>
      </w:tcPr>
    </w:tblStylePr>
  </w:style>
  <w:style w:type="table" w:styleId="MediumList1-Accent2">
    <w:name w:val="Medium List 1 Accent 2"/>
    <w:basedOn w:val="TableNormal"/>
    <w:uiPriority w:val="65"/>
    <w:semiHidden/>
    <w:unhideWhenUsed/>
    <w:rsid w:val="009E6ED7"/>
    <w:rPr>
      <w:color w:val="000000" w:themeColor="text1"/>
    </w:rPr>
    <w:tblPr>
      <w:tblStyleRowBandSize w:val="1"/>
      <w:tblStyleColBandSize w:val="1"/>
      <w:tblBorders>
        <w:top w:val="single" w:sz="8" w:space="0" w:color="84BD00" w:themeColor="accent2"/>
        <w:bottom w:val="single" w:sz="8" w:space="0" w:color="84BD00" w:themeColor="accent2"/>
      </w:tblBorders>
    </w:tblPr>
    <w:tblStylePr w:type="firstRow">
      <w:rPr>
        <w:rFonts w:asciiTheme="majorHAnsi" w:eastAsiaTheme="majorEastAsia" w:hAnsiTheme="majorHAnsi" w:cstheme="majorBidi"/>
      </w:rPr>
      <w:tblPr/>
      <w:tcPr>
        <w:tcBorders>
          <w:top w:val="nil"/>
          <w:bottom w:val="single" w:sz="8" w:space="0" w:color="84BD00" w:themeColor="accent2"/>
        </w:tcBorders>
      </w:tcPr>
    </w:tblStylePr>
    <w:tblStylePr w:type="lastRow">
      <w:rPr>
        <w:b/>
        <w:bCs/>
        <w:color w:val="000000" w:themeColor="text2"/>
      </w:rPr>
      <w:tblPr/>
      <w:tcPr>
        <w:tcBorders>
          <w:top w:val="single" w:sz="8" w:space="0" w:color="84BD00" w:themeColor="accent2"/>
          <w:bottom w:val="single" w:sz="8" w:space="0" w:color="84BD00" w:themeColor="accent2"/>
        </w:tcBorders>
      </w:tcPr>
    </w:tblStylePr>
    <w:tblStylePr w:type="firstCol">
      <w:rPr>
        <w:b/>
        <w:bCs/>
      </w:rPr>
    </w:tblStylePr>
    <w:tblStylePr w:type="lastCol">
      <w:rPr>
        <w:b/>
        <w:bCs/>
      </w:rPr>
      <w:tblPr/>
      <w:tcPr>
        <w:tcBorders>
          <w:top w:val="single" w:sz="8" w:space="0" w:color="84BD00" w:themeColor="accent2"/>
          <w:bottom w:val="single" w:sz="8" w:space="0" w:color="84BD00" w:themeColor="accent2"/>
        </w:tcBorders>
      </w:tcPr>
    </w:tblStylePr>
    <w:tblStylePr w:type="band1Vert">
      <w:tblPr/>
      <w:tcPr>
        <w:shd w:val="clear" w:color="auto" w:fill="E7FFAF" w:themeFill="accent2" w:themeFillTint="3F"/>
      </w:tcPr>
    </w:tblStylePr>
    <w:tblStylePr w:type="band1Horz">
      <w:tblPr/>
      <w:tcPr>
        <w:shd w:val="clear" w:color="auto" w:fill="E7FFAF" w:themeFill="accent2" w:themeFillTint="3F"/>
      </w:tcPr>
    </w:tblStylePr>
  </w:style>
  <w:style w:type="table" w:styleId="MediumList1-Accent3">
    <w:name w:val="Medium List 1 Accent 3"/>
    <w:basedOn w:val="TableNormal"/>
    <w:uiPriority w:val="65"/>
    <w:semiHidden/>
    <w:unhideWhenUsed/>
    <w:rsid w:val="009E6ED7"/>
    <w:rPr>
      <w:color w:val="000000" w:themeColor="text1"/>
    </w:rPr>
    <w:tblPr>
      <w:tblStyleRowBandSize w:val="1"/>
      <w:tblStyleColBandSize w:val="1"/>
      <w:tblBorders>
        <w:top w:val="single" w:sz="8" w:space="0" w:color="F68B1F" w:themeColor="accent3"/>
        <w:bottom w:val="single" w:sz="8" w:space="0" w:color="F68B1F" w:themeColor="accent3"/>
      </w:tblBorders>
    </w:tblPr>
    <w:tblStylePr w:type="firstRow">
      <w:rPr>
        <w:rFonts w:asciiTheme="majorHAnsi" w:eastAsiaTheme="majorEastAsia" w:hAnsiTheme="majorHAnsi" w:cstheme="majorBidi"/>
      </w:rPr>
      <w:tblPr/>
      <w:tcPr>
        <w:tcBorders>
          <w:top w:val="nil"/>
          <w:bottom w:val="single" w:sz="8" w:space="0" w:color="F68B1F" w:themeColor="accent3"/>
        </w:tcBorders>
      </w:tcPr>
    </w:tblStylePr>
    <w:tblStylePr w:type="lastRow">
      <w:rPr>
        <w:b/>
        <w:bCs/>
        <w:color w:val="000000" w:themeColor="text2"/>
      </w:rPr>
      <w:tblPr/>
      <w:tcPr>
        <w:tcBorders>
          <w:top w:val="single" w:sz="8" w:space="0" w:color="F68B1F" w:themeColor="accent3"/>
          <w:bottom w:val="single" w:sz="8" w:space="0" w:color="F68B1F" w:themeColor="accent3"/>
        </w:tcBorders>
      </w:tcPr>
    </w:tblStylePr>
    <w:tblStylePr w:type="firstCol">
      <w:rPr>
        <w:b/>
        <w:bCs/>
      </w:rPr>
    </w:tblStylePr>
    <w:tblStylePr w:type="lastCol">
      <w:rPr>
        <w:b/>
        <w:bCs/>
      </w:rPr>
      <w:tblPr/>
      <w:tcPr>
        <w:tcBorders>
          <w:top w:val="single" w:sz="8" w:space="0" w:color="F68B1F" w:themeColor="accent3"/>
          <w:bottom w:val="single" w:sz="8" w:space="0" w:color="F68B1F" w:themeColor="accent3"/>
        </w:tcBorders>
      </w:tcPr>
    </w:tblStylePr>
    <w:tblStylePr w:type="band1Vert">
      <w:tblPr/>
      <w:tcPr>
        <w:shd w:val="clear" w:color="auto" w:fill="FCE2C7" w:themeFill="accent3" w:themeFillTint="3F"/>
      </w:tcPr>
    </w:tblStylePr>
    <w:tblStylePr w:type="band1Horz">
      <w:tblPr/>
      <w:tcPr>
        <w:shd w:val="clear" w:color="auto" w:fill="FCE2C7" w:themeFill="accent3" w:themeFillTint="3F"/>
      </w:tcPr>
    </w:tblStylePr>
  </w:style>
  <w:style w:type="table" w:styleId="MediumList1-Accent4">
    <w:name w:val="Medium List 1 Accent 4"/>
    <w:basedOn w:val="TableNormal"/>
    <w:uiPriority w:val="65"/>
    <w:semiHidden/>
    <w:unhideWhenUsed/>
    <w:rsid w:val="009E6ED7"/>
    <w:rPr>
      <w:color w:val="000000" w:themeColor="text1"/>
    </w:rPr>
    <w:tblPr>
      <w:tblStyleRowBandSize w:val="1"/>
      <w:tblStyleColBandSize w:val="1"/>
      <w:tblBorders>
        <w:top w:val="single" w:sz="8" w:space="0" w:color="9E007E" w:themeColor="accent4"/>
        <w:bottom w:val="single" w:sz="8" w:space="0" w:color="9E007E" w:themeColor="accent4"/>
      </w:tblBorders>
    </w:tblPr>
    <w:tblStylePr w:type="firstRow">
      <w:rPr>
        <w:rFonts w:asciiTheme="majorHAnsi" w:eastAsiaTheme="majorEastAsia" w:hAnsiTheme="majorHAnsi" w:cstheme="majorBidi"/>
      </w:rPr>
      <w:tblPr/>
      <w:tcPr>
        <w:tcBorders>
          <w:top w:val="nil"/>
          <w:bottom w:val="single" w:sz="8" w:space="0" w:color="9E007E" w:themeColor="accent4"/>
        </w:tcBorders>
      </w:tcPr>
    </w:tblStylePr>
    <w:tblStylePr w:type="lastRow">
      <w:rPr>
        <w:b/>
        <w:bCs/>
        <w:color w:val="000000" w:themeColor="text2"/>
      </w:rPr>
      <w:tblPr/>
      <w:tcPr>
        <w:tcBorders>
          <w:top w:val="single" w:sz="8" w:space="0" w:color="9E007E" w:themeColor="accent4"/>
          <w:bottom w:val="single" w:sz="8" w:space="0" w:color="9E007E" w:themeColor="accent4"/>
        </w:tcBorders>
      </w:tcPr>
    </w:tblStylePr>
    <w:tblStylePr w:type="firstCol">
      <w:rPr>
        <w:b/>
        <w:bCs/>
      </w:rPr>
    </w:tblStylePr>
    <w:tblStylePr w:type="lastCol">
      <w:rPr>
        <w:b/>
        <w:bCs/>
      </w:rPr>
      <w:tblPr/>
      <w:tcPr>
        <w:tcBorders>
          <w:top w:val="single" w:sz="8" w:space="0" w:color="9E007E" w:themeColor="accent4"/>
          <w:bottom w:val="single" w:sz="8" w:space="0" w:color="9E007E" w:themeColor="accent4"/>
        </w:tcBorders>
      </w:tcPr>
    </w:tblStylePr>
    <w:tblStylePr w:type="band1Vert">
      <w:tblPr/>
      <w:tcPr>
        <w:shd w:val="clear" w:color="auto" w:fill="FFA8ED" w:themeFill="accent4" w:themeFillTint="3F"/>
      </w:tcPr>
    </w:tblStylePr>
    <w:tblStylePr w:type="band1Horz">
      <w:tblPr/>
      <w:tcPr>
        <w:shd w:val="clear" w:color="auto" w:fill="FFA8ED" w:themeFill="accent4" w:themeFillTint="3F"/>
      </w:tcPr>
    </w:tblStylePr>
  </w:style>
  <w:style w:type="table" w:styleId="MediumList1-Accent5">
    <w:name w:val="Medium List 1 Accent 5"/>
    <w:basedOn w:val="TableNormal"/>
    <w:uiPriority w:val="65"/>
    <w:semiHidden/>
    <w:unhideWhenUsed/>
    <w:rsid w:val="009E6ED7"/>
    <w:rPr>
      <w:color w:val="000000" w:themeColor="text1"/>
    </w:rPr>
    <w:tblPr>
      <w:tblStyleRowBandSize w:val="1"/>
      <w:tblStyleColBandSize w:val="1"/>
      <w:tblBorders>
        <w:top w:val="single" w:sz="8" w:space="0" w:color="FFE512" w:themeColor="accent5"/>
        <w:bottom w:val="single" w:sz="8" w:space="0" w:color="FFE512" w:themeColor="accent5"/>
      </w:tblBorders>
    </w:tblPr>
    <w:tblStylePr w:type="firstRow">
      <w:rPr>
        <w:rFonts w:asciiTheme="majorHAnsi" w:eastAsiaTheme="majorEastAsia" w:hAnsiTheme="majorHAnsi" w:cstheme="majorBidi"/>
      </w:rPr>
      <w:tblPr/>
      <w:tcPr>
        <w:tcBorders>
          <w:top w:val="nil"/>
          <w:bottom w:val="single" w:sz="8" w:space="0" w:color="FFE512" w:themeColor="accent5"/>
        </w:tcBorders>
      </w:tcPr>
    </w:tblStylePr>
    <w:tblStylePr w:type="lastRow">
      <w:rPr>
        <w:b/>
        <w:bCs/>
        <w:color w:val="000000" w:themeColor="text2"/>
      </w:rPr>
      <w:tblPr/>
      <w:tcPr>
        <w:tcBorders>
          <w:top w:val="single" w:sz="8" w:space="0" w:color="FFE512" w:themeColor="accent5"/>
          <w:bottom w:val="single" w:sz="8" w:space="0" w:color="FFE512" w:themeColor="accent5"/>
        </w:tcBorders>
      </w:tcPr>
    </w:tblStylePr>
    <w:tblStylePr w:type="firstCol">
      <w:rPr>
        <w:b/>
        <w:bCs/>
      </w:rPr>
    </w:tblStylePr>
    <w:tblStylePr w:type="lastCol">
      <w:rPr>
        <w:b/>
        <w:bCs/>
      </w:rPr>
      <w:tblPr/>
      <w:tcPr>
        <w:tcBorders>
          <w:top w:val="single" w:sz="8" w:space="0" w:color="FFE512" w:themeColor="accent5"/>
          <w:bottom w:val="single" w:sz="8" w:space="0" w:color="FFE512" w:themeColor="accent5"/>
        </w:tcBorders>
      </w:tcPr>
    </w:tblStylePr>
    <w:tblStylePr w:type="band1Vert">
      <w:tblPr/>
      <w:tcPr>
        <w:shd w:val="clear" w:color="auto" w:fill="FFF8C4" w:themeFill="accent5" w:themeFillTint="3F"/>
      </w:tcPr>
    </w:tblStylePr>
    <w:tblStylePr w:type="band1Horz">
      <w:tblPr/>
      <w:tcPr>
        <w:shd w:val="clear" w:color="auto" w:fill="FFF8C4" w:themeFill="accent5" w:themeFillTint="3F"/>
      </w:tcPr>
    </w:tblStylePr>
  </w:style>
  <w:style w:type="table" w:styleId="MediumList1-Accent6">
    <w:name w:val="Medium List 1 Accent 6"/>
    <w:basedOn w:val="TableNormal"/>
    <w:uiPriority w:val="65"/>
    <w:semiHidden/>
    <w:unhideWhenUsed/>
    <w:rsid w:val="009E6ED7"/>
    <w:rPr>
      <w:color w:val="000000" w:themeColor="text1"/>
    </w:rPr>
    <w:tblPr>
      <w:tblStyleRowBandSize w:val="1"/>
      <w:tblStyleColBandSize w:val="1"/>
      <w:tblBorders>
        <w:top w:val="single" w:sz="8" w:space="0" w:color="8C8279" w:themeColor="accent6"/>
        <w:bottom w:val="single" w:sz="8" w:space="0" w:color="8C8279" w:themeColor="accent6"/>
      </w:tblBorders>
    </w:tblPr>
    <w:tblStylePr w:type="firstRow">
      <w:rPr>
        <w:rFonts w:asciiTheme="majorHAnsi" w:eastAsiaTheme="majorEastAsia" w:hAnsiTheme="majorHAnsi" w:cstheme="majorBidi"/>
      </w:rPr>
      <w:tblPr/>
      <w:tcPr>
        <w:tcBorders>
          <w:top w:val="nil"/>
          <w:bottom w:val="single" w:sz="8" w:space="0" w:color="8C8279" w:themeColor="accent6"/>
        </w:tcBorders>
      </w:tcPr>
    </w:tblStylePr>
    <w:tblStylePr w:type="lastRow">
      <w:rPr>
        <w:b/>
        <w:bCs/>
        <w:color w:val="000000" w:themeColor="text2"/>
      </w:rPr>
      <w:tblPr/>
      <w:tcPr>
        <w:tcBorders>
          <w:top w:val="single" w:sz="8" w:space="0" w:color="8C8279" w:themeColor="accent6"/>
          <w:bottom w:val="single" w:sz="8" w:space="0" w:color="8C8279" w:themeColor="accent6"/>
        </w:tcBorders>
      </w:tcPr>
    </w:tblStylePr>
    <w:tblStylePr w:type="firstCol">
      <w:rPr>
        <w:b/>
        <w:bCs/>
      </w:rPr>
    </w:tblStylePr>
    <w:tblStylePr w:type="lastCol">
      <w:rPr>
        <w:b/>
        <w:bCs/>
      </w:rPr>
      <w:tblPr/>
      <w:tcPr>
        <w:tcBorders>
          <w:top w:val="single" w:sz="8" w:space="0" w:color="8C8279" w:themeColor="accent6"/>
          <w:bottom w:val="single" w:sz="8" w:space="0" w:color="8C8279" w:themeColor="accent6"/>
        </w:tcBorders>
      </w:tcPr>
    </w:tblStylePr>
    <w:tblStylePr w:type="band1Vert">
      <w:tblPr/>
      <w:tcPr>
        <w:shd w:val="clear" w:color="auto" w:fill="E2E0DD" w:themeFill="accent6" w:themeFillTint="3F"/>
      </w:tcPr>
    </w:tblStylePr>
    <w:tblStylePr w:type="band1Horz">
      <w:tblPr/>
      <w:tcPr>
        <w:shd w:val="clear" w:color="auto" w:fill="E2E0DD" w:themeFill="accent6" w:themeFillTint="3F"/>
      </w:tcPr>
    </w:tblStylePr>
  </w:style>
  <w:style w:type="table" w:styleId="MediumList2">
    <w:name w:val="Medium List 2"/>
    <w:basedOn w:val="TableNormal"/>
    <w:uiPriority w:val="66"/>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00B5E2" w:themeColor="accent1"/>
        <w:left w:val="single" w:sz="8" w:space="0" w:color="00B5E2" w:themeColor="accent1"/>
        <w:bottom w:val="single" w:sz="8" w:space="0" w:color="00B5E2" w:themeColor="accent1"/>
        <w:right w:val="single" w:sz="8" w:space="0" w:color="00B5E2" w:themeColor="accent1"/>
      </w:tblBorders>
    </w:tblPr>
    <w:tblStylePr w:type="firstRow">
      <w:rPr>
        <w:sz w:val="24"/>
        <w:szCs w:val="24"/>
      </w:rPr>
      <w:tblPr/>
      <w:tcPr>
        <w:tcBorders>
          <w:top w:val="nil"/>
          <w:left w:val="nil"/>
          <w:bottom w:val="single" w:sz="24" w:space="0" w:color="00B5E2" w:themeColor="accent1"/>
          <w:right w:val="nil"/>
          <w:insideH w:val="nil"/>
          <w:insideV w:val="nil"/>
        </w:tcBorders>
        <w:shd w:val="clear" w:color="auto" w:fill="FFFFFF" w:themeFill="background1"/>
      </w:tcPr>
    </w:tblStylePr>
    <w:tblStylePr w:type="lastRow">
      <w:tblPr/>
      <w:tcPr>
        <w:tcBorders>
          <w:top w:val="single" w:sz="8" w:space="0" w:color="00B5E2"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B5E2" w:themeColor="accent1"/>
          <w:insideH w:val="nil"/>
          <w:insideV w:val="nil"/>
        </w:tcBorders>
        <w:shd w:val="clear" w:color="auto" w:fill="FFFFFF" w:themeFill="background1"/>
      </w:tcPr>
    </w:tblStylePr>
    <w:tblStylePr w:type="lastCol">
      <w:tblPr/>
      <w:tcPr>
        <w:tcBorders>
          <w:top w:val="nil"/>
          <w:left w:val="single" w:sz="8" w:space="0" w:color="00B5E2"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B8F0FF" w:themeFill="accent1" w:themeFillTint="3F"/>
      </w:tcPr>
    </w:tblStylePr>
    <w:tblStylePr w:type="band1Horz">
      <w:tblPr/>
      <w:tcPr>
        <w:tcBorders>
          <w:top w:val="nil"/>
          <w:bottom w:val="nil"/>
          <w:insideH w:val="nil"/>
          <w:insideV w:val="nil"/>
        </w:tcBorders>
        <w:shd w:val="clear" w:color="auto" w:fill="B8F0FF"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84BD00" w:themeColor="accent2"/>
        <w:left w:val="single" w:sz="8" w:space="0" w:color="84BD00" w:themeColor="accent2"/>
        <w:bottom w:val="single" w:sz="8" w:space="0" w:color="84BD00" w:themeColor="accent2"/>
        <w:right w:val="single" w:sz="8" w:space="0" w:color="84BD00" w:themeColor="accent2"/>
      </w:tblBorders>
    </w:tblPr>
    <w:tblStylePr w:type="firstRow">
      <w:rPr>
        <w:sz w:val="24"/>
        <w:szCs w:val="24"/>
      </w:rPr>
      <w:tblPr/>
      <w:tcPr>
        <w:tcBorders>
          <w:top w:val="nil"/>
          <w:left w:val="nil"/>
          <w:bottom w:val="single" w:sz="24" w:space="0" w:color="84BD00" w:themeColor="accent2"/>
          <w:right w:val="nil"/>
          <w:insideH w:val="nil"/>
          <w:insideV w:val="nil"/>
        </w:tcBorders>
        <w:shd w:val="clear" w:color="auto" w:fill="FFFFFF" w:themeFill="background1"/>
      </w:tcPr>
    </w:tblStylePr>
    <w:tblStylePr w:type="lastRow">
      <w:tblPr/>
      <w:tcPr>
        <w:tcBorders>
          <w:top w:val="single" w:sz="8" w:space="0" w:color="84BD00"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4BD00" w:themeColor="accent2"/>
          <w:insideH w:val="nil"/>
          <w:insideV w:val="nil"/>
        </w:tcBorders>
        <w:shd w:val="clear" w:color="auto" w:fill="FFFFFF" w:themeFill="background1"/>
      </w:tcPr>
    </w:tblStylePr>
    <w:tblStylePr w:type="lastCol">
      <w:tblPr/>
      <w:tcPr>
        <w:tcBorders>
          <w:top w:val="nil"/>
          <w:left w:val="single" w:sz="8" w:space="0" w:color="84BD00"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7FFAF" w:themeFill="accent2" w:themeFillTint="3F"/>
      </w:tcPr>
    </w:tblStylePr>
    <w:tblStylePr w:type="band1Horz">
      <w:tblPr/>
      <w:tcPr>
        <w:tcBorders>
          <w:top w:val="nil"/>
          <w:bottom w:val="nil"/>
          <w:insideH w:val="nil"/>
          <w:insideV w:val="nil"/>
        </w:tcBorders>
        <w:shd w:val="clear" w:color="auto" w:fill="E7FFAF"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F68B1F" w:themeColor="accent3"/>
        <w:left w:val="single" w:sz="8" w:space="0" w:color="F68B1F" w:themeColor="accent3"/>
        <w:bottom w:val="single" w:sz="8" w:space="0" w:color="F68B1F" w:themeColor="accent3"/>
        <w:right w:val="single" w:sz="8" w:space="0" w:color="F68B1F" w:themeColor="accent3"/>
      </w:tblBorders>
    </w:tblPr>
    <w:tblStylePr w:type="firstRow">
      <w:rPr>
        <w:sz w:val="24"/>
        <w:szCs w:val="24"/>
      </w:rPr>
      <w:tblPr/>
      <w:tcPr>
        <w:tcBorders>
          <w:top w:val="nil"/>
          <w:left w:val="nil"/>
          <w:bottom w:val="single" w:sz="24" w:space="0" w:color="F68B1F" w:themeColor="accent3"/>
          <w:right w:val="nil"/>
          <w:insideH w:val="nil"/>
          <w:insideV w:val="nil"/>
        </w:tcBorders>
        <w:shd w:val="clear" w:color="auto" w:fill="FFFFFF" w:themeFill="background1"/>
      </w:tcPr>
    </w:tblStylePr>
    <w:tblStylePr w:type="lastRow">
      <w:tblPr/>
      <w:tcPr>
        <w:tcBorders>
          <w:top w:val="single" w:sz="8" w:space="0" w:color="F68B1F"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68B1F" w:themeColor="accent3"/>
          <w:insideH w:val="nil"/>
          <w:insideV w:val="nil"/>
        </w:tcBorders>
        <w:shd w:val="clear" w:color="auto" w:fill="FFFFFF" w:themeFill="background1"/>
      </w:tcPr>
    </w:tblStylePr>
    <w:tblStylePr w:type="lastCol">
      <w:tblPr/>
      <w:tcPr>
        <w:tcBorders>
          <w:top w:val="nil"/>
          <w:left w:val="single" w:sz="8" w:space="0" w:color="F68B1F"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CE2C7" w:themeFill="accent3" w:themeFillTint="3F"/>
      </w:tcPr>
    </w:tblStylePr>
    <w:tblStylePr w:type="band1Horz">
      <w:tblPr/>
      <w:tcPr>
        <w:tcBorders>
          <w:top w:val="nil"/>
          <w:bottom w:val="nil"/>
          <w:insideH w:val="nil"/>
          <w:insideV w:val="nil"/>
        </w:tcBorders>
        <w:shd w:val="clear" w:color="auto" w:fill="FCE2C7"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9E007E" w:themeColor="accent4"/>
        <w:left w:val="single" w:sz="8" w:space="0" w:color="9E007E" w:themeColor="accent4"/>
        <w:bottom w:val="single" w:sz="8" w:space="0" w:color="9E007E" w:themeColor="accent4"/>
        <w:right w:val="single" w:sz="8" w:space="0" w:color="9E007E" w:themeColor="accent4"/>
      </w:tblBorders>
    </w:tblPr>
    <w:tblStylePr w:type="firstRow">
      <w:rPr>
        <w:sz w:val="24"/>
        <w:szCs w:val="24"/>
      </w:rPr>
      <w:tblPr/>
      <w:tcPr>
        <w:tcBorders>
          <w:top w:val="nil"/>
          <w:left w:val="nil"/>
          <w:bottom w:val="single" w:sz="24" w:space="0" w:color="9E007E" w:themeColor="accent4"/>
          <w:right w:val="nil"/>
          <w:insideH w:val="nil"/>
          <w:insideV w:val="nil"/>
        </w:tcBorders>
        <w:shd w:val="clear" w:color="auto" w:fill="FFFFFF" w:themeFill="background1"/>
      </w:tcPr>
    </w:tblStylePr>
    <w:tblStylePr w:type="lastRow">
      <w:tblPr/>
      <w:tcPr>
        <w:tcBorders>
          <w:top w:val="single" w:sz="8" w:space="0" w:color="9E007E"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E007E" w:themeColor="accent4"/>
          <w:insideH w:val="nil"/>
          <w:insideV w:val="nil"/>
        </w:tcBorders>
        <w:shd w:val="clear" w:color="auto" w:fill="FFFFFF" w:themeFill="background1"/>
      </w:tcPr>
    </w:tblStylePr>
    <w:tblStylePr w:type="lastCol">
      <w:tblPr/>
      <w:tcPr>
        <w:tcBorders>
          <w:top w:val="nil"/>
          <w:left w:val="single" w:sz="8" w:space="0" w:color="9E007E"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FA8ED" w:themeFill="accent4" w:themeFillTint="3F"/>
      </w:tcPr>
    </w:tblStylePr>
    <w:tblStylePr w:type="band1Horz">
      <w:tblPr/>
      <w:tcPr>
        <w:tcBorders>
          <w:top w:val="nil"/>
          <w:bottom w:val="nil"/>
          <w:insideH w:val="nil"/>
          <w:insideV w:val="nil"/>
        </w:tcBorders>
        <w:shd w:val="clear" w:color="auto" w:fill="FFA8ED"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FFE512" w:themeColor="accent5"/>
        <w:left w:val="single" w:sz="8" w:space="0" w:color="FFE512" w:themeColor="accent5"/>
        <w:bottom w:val="single" w:sz="8" w:space="0" w:color="FFE512" w:themeColor="accent5"/>
        <w:right w:val="single" w:sz="8" w:space="0" w:color="FFE512" w:themeColor="accent5"/>
      </w:tblBorders>
    </w:tblPr>
    <w:tblStylePr w:type="firstRow">
      <w:rPr>
        <w:sz w:val="24"/>
        <w:szCs w:val="24"/>
      </w:rPr>
      <w:tblPr/>
      <w:tcPr>
        <w:tcBorders>
          <w:top w:val="nil"/>
          <w:left w:val="nil"/>
          <w:bottom w:val="single" w:sz="24" w:space="0" w:color="FFE512" w:themeColor="accent5"/>
          <w:right w:val="nil"/>
          <w:insideH w:val="nil"/>
          <w:insideV w:val="nil"/>
        </w:tcBorders>
        <w:shd w:val="clear" w:color="auto" w:fill="FFFFFF" w:themeFill="background1"/>
      </w:tcPr>
    </w:tblStylePr>
    <w:tblStylePr w:type="lastRow">
      <w:tblPr/>
      <w:tcPr>
        <w:tcBorders>
          <w:top w:val="single" w:sz="8" w:space="0" w:color="FFE512"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FE512" w:themeColor="accent5"/>
          <w:insideH w:val="nil"/>
          <w:insideV w:val="nil"/>
        </w:tcBorders>
        <w:shd w:val="clear" w:color="auto" w:fill="FFFFFF" w:themeFill="background1"/>
      </w:tcPr>
    </w:tblStylePr>
    <w:tblStylePr w:type="lastCol">
      <w:tblPr/>
      <w:tcPr>
        <w:tcBorders>
          <w:top w:val="nil"/>
          <w:left w:val="single" w:sz="8" w:space="0" w:color="FFE512"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FF8C4" w:themeFill="accent5" w:themeFillTint="3F"/>
      </w:tcPr>
    </w:tblStylePr>
    <w:tblStylePr w:type="band1Horz">
      <w:tblPr/>
      <w:tcPr>
        <w:tcBorders>
          <w:top w:val="nil"/>
          <w:bottom w:val="nil"/>
          <w:insideH w:val="nil"/>
          <w:insideV w:val="nil"/>
        </w:tcBorders>
        <w:shd w:val="clear" w:color="auto" w:fill="FFF8C4"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8C8279" w:themeColor="accent6"/>
        <w:left w:val="single" w:sz="8" w:space="0" w:color="8C8279" w:themeColor="accent6"/>
        <w:bottom w:val="single" w:sz="8" w:space="0" w:color="8C8279" w:themeColor="accent6"/>
        <w:right w:val="single" w:sz="8" w:space="0" w:color="8C8279" w:themeColor="accent6"/>
      </w:tblBorders>
    </w:tblPr>
    <w:tblStylePr w:type="firstRow">
      <w:rPr>
        <w:sz w:val="24"/>
        <w:szCs w:val="24"/>
      </w:rPr>
      <w:tblPr/>
      <w:tcPr>
        <w:tcBorders>
          <w:top w:val="nil"/>
          <w:left w:val="nil"/>
          <w:bottom w:val="single" w:sz="24" w:space="0" w:color="8C8279" w:themeColor="accent6"/>
          <w:right w:val="nil"/>
          <w:insideH w:val="nil"/>
          <w:insideV w:val="nil"/>
        </w:tcBorders>
        <w:shd w:val="clear" w:color="auto" w:fill="FFFFFF" w:themeFill="background1"/>
      </w:tcPr>
    </w:tblStylePr>
    <w:tblStylePr w:type="lastRow">
      <w:tblPr/>
      <w:tcPr>
        <w:tcBorders>
          <w:top w:val="single" w:sz="8" w:space="0" w:color="8C8279"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C8279" w:themeColor="accent6"/>
          <w:insideH w:val="nil"/>
          <w:insideV w:val="nil"/>
        </w:tcBorders>
        <w:shd w:val="clear" w:color="auto" w:fill="FFFFFF" w:themeFill="background1"/>
      </w:tcPr>
    </w:tblStylePr>
    <w:tblStylePr w:type="lastCol">
      <w:tblPr/>
      <w:tcPr>
        <w:tcBorders>
          <w:top w:val="nil"/>
          <w:left w:val="single" w:sz="8" w:space="0" w:color="8C8279"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2E0DD" w:themeFill="accent6" w:themeFillTint="3F"/>
      </w:tcPr>
    </w:tblStylePr>
    <w:tblStylePr w:type="band1Horz">
      <w:tblPr/>
      <w:tcPr>
        <w:tcBorders>
          <w:top w:val="nil"/>
          <w:bottom w:val="nil"/>
          <w:insideH w:val="nil"/>
          <w:insideV w:val="nil"/>
        </w:tcBorders>
        <w:shd w:val="clear" w:color="auto" w:fill="E2E0DD"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Shading1">
    <w:name w:val="Medium Shading 1"/>
    <w:basedOn w:val="TableNormal"/>
    <w:uiPriority w:val="63"/>
    <w:semiHidden/>
    <w:unhideWhenUsed/>
    <w:rsid w:val="009E6ED7"/>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semiHidden/>
    <w:unhideWhenUsed/>
    <w:rsid w:val="009E6ED7"/>
    <w:tblPr>
      <w:tblStyleRowBandSize w:val="1"/>
      <w:tblStyleColBandSize w:val="1"/>
      <w:tblBorders>
        <w:top w:val="single" w:sz="8" w:space="0" w:color="2AD4FF" w:themeColor="accent1" w:themeTint="BF"/>
        <w:left w:val="single" w:sz="8" w:space="0" w:color="2AD4FF" w:themeColor="accent1" w:themeTint="BF"/>
        <w:bottom w:val="single" w:sz="8" w:space="0" w:color="2AD4FF" w:themeColor="accent1" w:themeTint="BF"/>
        <w:right w:val="single" w:sz="8" w:space="0" w:color="2AD4FF" w:themeColor="accent1" w:themeTint="BF"/>
        <w:insideH w:val="single" w:sz="8" w:space="0" w:color="2AD4FF" w:themeColor="accent1" w:themeTint="BF"/>
      </w:tblBorders>
    </w:tblPr>
    <w:tblStylePr w:type="firstRow">
      <w:pPr>
        <w:spacing w:before="0" w:after="0" w:line="240" w:lineRule="auto"/>
      </w:pPr>
      <w:rPr>
        <w:b/>
        <w:bCs/>
        <w:color w:val="FFFFFF" w:themeColor="background1"/>
      </w:rPr>
      <w:tblPr/>
      <w:tcPr>
        <w:tcBorders>
          <w:top w:val="single" w:sz="8" w:space="0" w:color="2AD4FF" w:themeColor="accent1" w:themeTint="BF"/>
          <w:left w:val="single" w:sz="8" w:space="0" w:color="2AD4FF" w:themeColor="accent1" w:themeTint="BF"/>
          <w:bottom w:val="single" w:sz="8" w:space="0" w:color="2AD4FF" w:themeColor="accent1" w:themeTint="BF"/>
          <w:right w:val="single" w:sz="8" w:space="0" w:color="2AD4FF" w:themeColor="accent1" w:themeTint="BF"/>
          <w:insideH w:val="nil"/>
          <w:insideV w:val="nil"/>
        </w:tcBorders>
        <w:shd w:val="clear" w:color="auto" w:fill="00B5E2" w:themeFill="accent1"/>
      </w:tcPr>
    </w:tblStylePr>
    <w:tblStylePr w:type="lastRow">
      <w:pPr>
        <w:spacing w:before="0" w:after="0" w:line="240" w:lineRule="auto"/>
      </w:pPr>
      <w:rPr>
        <w:b/>
        <w:bCs/>
      </w:rPr>
      <w:tblPr/>
      <w:tcPr>
        <w:tcBorders>
          <w:top w:val="double" w:sz="6" w:space="0" w:color="2AD4FF" w:themeColor="accent1" w:themeTint="BF"/>
          <w:left w:val="single" w:sz="8" w:space="0" w:color="2AD4FF" w:themeColor="accent1" w:themeTint="BF"/>
          <w:bottom w:val="single" w:sz="8" w:space="0" w:color="2AD4FF" w:themeColor="accent1" w:themeTint="BF"/>
          <w:right w:val="single" w:sz="8" w:space="0" w:color="2AD4FF" w:themeColor="accent1" w:themeTint="BF"/>
          <w:insideH w:val="nil"/>
          <w:insideV w:val="nil"/>
        </w:tcBorders>
      </w:tcPr>
    </w:tblStylePr>
    <w:tblStylePr w:type="firstCol">
      <w:rPr>
        <w:b/>
        <w:bCs/>
      </w:rPr>
    </w:tblStylePr>
    <w:tblStylePr w:type="lastCol">
      <w:rPr>
        <w:b/>
        <w:bCs/>
      </w:rPr>
    </w:tblStylePr>
    <w:tblStylePr w:type="band1Vert">
      <w:tblPr/>
      <w:tcPr>
        <w:shd w:val="clear" w:color="auto" w:fill="B8F0FF" w:themeFill="accent1" w:themeFillTint="3F"/>
      </w:tcPr>
    </w:tblStylePr>
    <w:tblStylePr w:type="band1Horz">
      <w:tblPr/>
      <w:tcPr>
        <w:tcBorders>
          <w:insideH w:val="nil"/>
          <w:insideV w:val="nil"/>
        </w:tcBorders>
        <w:shd w:val="clear" w:color="auto" w:fill="B8F0FF"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semiHidden/>
    <w:unhideWhenUsed/>
    <w:rsid w:val="009E6ED7"/>
    <w:tblPr>
      <w:tblStyleRowBandSize w:val="1"/>
      <w:tblStyleColBandSize w:val="1"/>
      <w:tblBorders>
        <w:top w:val="single" w:sz="8" w:space="0" w:color="B6FF0E" w:themeColor="accent2" w:themeTint="BF"/>
        <w:left w:val="single" w:sz="8" w:space="0" w:color="B6FF0E" w:themeColor="accent2" w:themeTint="BF"/>
        <w:bottom w:val="single" w:sz="8" w:space="0" w:color="B6FF0E" w:themeColor="accent2" w:themeTint="BF"/>
        <w:right w:val="single" w:sz="8" w:space="0" w:color="B6FF0E" w:themeColor="accent2" w:themeTint="BF"/>
        <w:insideH w:val="single" w:sz="8" w:space="0" w:color="B6FF0E" w:themeColor="accent2" w:themeTint="BF"/>
      </w:tblBorders>
    </w:tblPr>
    <w:tblStylePr w:type="firstRow">
      <w:pPr>
        <w:spacing w:before="0" w:after="0" w:line="240" w:lineRule="auto"/>
      </w:pPr>
      <w:rPr>
        <w:b/>
        <w:bCs/>
        <w:color w:val="FFFFFF" w:themeColor="background1"/>
      </w:rPr>
      <w:tblPr/>
      <w:tcPr>
        <w:tcBorders>
          <w:top w:val="single" w:sz="8" w:space="0" w:color="B6FF0E" w:themeColor="accent2" w:themeTint="BF"/>
          <w:left w:val="single" w:sz="8" w:space="0" w:color="B6FF0E" w:themeColor="accent2" w:themeTint="BF"/>
          <w:bottom w:val="single" w:sz="8" w:space="0" w:color="B6FF0E" w:themeColor="accent2" w:themeTint="BF"/>
          <w:right w:val="single" w:sz="8" w:space="0" w:color="B6FF0E" w:themeColor="accent2" w:themeTint="BF"/>
          <w:insideH w:val="nil"/>
          <w:insideV w:val="nil"/>
        </w:tcBorders>
        <w:shd w:val="clear" w:color="auto" w:fill="84BD00" w:themeFill="accent2"/>
      </w:tcPr>
    </w:tblStylePr>
    <w:tblStylePr w:type="lastRow">
      <w:pPr>
        <w:spacing w:before="0" w:after="0" w:line="240" w:lineRule="auto"/>
      </w:pPr>
      <w:rPr>
        <w:b/>
        <w:bCs/>
      </w:rPr>
      <w:tblPr/>
      <w:tcPr>
        <w:tcBorders>
          <w:top w:val="double" w:sz="6" w:space="0" w:color="B6FF0E" w:themeColor="accent2" w:themeTint="BF"/>
          <w:left w:val="single" w:sz="8" w:space="0" w:color="B6FF0E" w:themeColor="accent2" w:themeTint="BF"/>
          <w:bottom w:val="single" w:sz="8" w:space="0" w:color="B6FF0E" w:themeColor="accent2" w:themeTint="BF"/>
          <w:right w:val="single" w:sz="8" w:space="0" w:color="B6FF0E" w:themeColor="accent2" w:themeTint="BF"/>
          <w:insideH w:val="nil"/>
          <w:insideV w:val="nil"/>
        </w:tcBorders>
      </w:tcPr>
    </w:tblStylePr>
    <w:tblStylePr w:type="firstCol">
      <w:rPr>
        <w:b/>
        <w:bCs/>
      </w:rPr>
    </w:tblStylePr>
    <w:tblStylePr w:type="lastCol">
      <w:rPr>
        <w:b/>
        <w:bCs/>
      </w:rPr>
    </w:tblStylePr>
    <w:tblStylePr w:type="band1Vert">
      <w:tblPr/>
      <w:tcPr>
        <w:shd w:val="clear" w:color="auto" w:fill="E7FFAF" w:themeFill="accent2" w:themeFillTint="3F"/>
      </w:tcPr>
    </w:tblStylePr>
    <w:tblStylePr w:type="band1Horz">
      <w:tblPr/>
      <w:tcPr>
        <w:tcBorders>
          <w:insideH w:val="nil"/>
          <w:insideV w:val="nil"/>
        </w:tcBorders>
        <w:shd w:val="clear" w:color="auto" w:fill="E7FFAF"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semiHidden/>
    <w:unhideWhenUsed/>
    <w:rsid w:val="009E6ED7"/>
    <w:tblPr>
      <w:tblStyleRowBandSize w:val="1"/>
      <w:tblStyleColBandSize w:val="1"/>
      <w:tblBorders>
        <w:top w:val="single" w:sz="8" w:space="0" w:color="F8A757" w:themeColor="accent3" w:themeTint="BF"/>
        <w:left w:val="single" w:sz="8" w:space="0" w:color="F8A757" w:themeColor="accent3" w:themeTint="BF"/>
        <w:bottom w:val="single" w:sz="8" w:space="0" w:color="F8A757" w:themeColor="accent3" w:themeTint="BF"/>
        <w:right w:val="single" w:sz="8" w:space="0" w:color="F8A757" w:themeColor="accent3" w:themeTint="BF"/>
        <w:insideH w:val="single" w:sz="8" w:space="0" w:color="F8A757" w:themeColor="accent3" w:themeTint="BF"/>
      </w:tblBorders>
    </w:tblPr>
    <w:tblStylePr w:type="firstRow">
      <w:pPr>
        <w:spacing w:before="0" w:after="0" w:line="240" w:lineRule="auto"/>
      </w:pPr>
      <w:rPr>
        <w:b/>
        <w:bCs/>
        <w:color w:val="FFFFFF" w:themeColor="background1"/>
      </w:rPr>
      <w:tblPr/>
      <w:tcPr>
        <w:tcBorders>
          <w:top w:val="single" w:sz="8" w:space="0" w:color="F8A757" w:themeColor="accent3" w:themeTint="BF"/>
          <w:left w:val="single" w:sz="8" w:space="0" w:color="F8A757" w:themeColor="accent3" w:themeTint="BF"/>
          <w:bottom w:val="single" w:sz="8" w:space="0" w:color="F8A757" w:themeColor="accent3" w:themeTint="BF"/>
          <w:right w:val="single" w:sz="8" w:space="0" w:color="F8A757" w:themeColor="accent3" w:themeTint="BF"/>
          <w:insideH w:val="nil"/>
          <w:insideV w:val="nil"/>
        </w:tcBorders>
        <w:shd w:val="clear" w:color="auto" w:fill="F68B1F" w:themeFill="accent3"/>
      </w:tcPr>
    </w:tblStylePr>
    <w:tblStylePr w:type="lastRow">
      <w:pPr>
        <w:spacing w:before="0" w:after="0" w:line="240" w:lineRule="auto"/>
      </w:pPr>
      <w:rPr>
        <w:b/>
        <w:bCs/>
      </w:rPr>
      <w:tblPr/>
      <w:tcPr>
        <w:tcBorders>
          <w:top w:val="double" w:sz="6" w:space="0" w:color="F8A757" w:themeColor="accent3" w:themeTint="BF"/>
          <w:left w:val="single" w:sz="8" w:space="0" w:color="F8A757" w:themeColor="accent3" w:themeTint="BF"/>
          <w:bottom w:val="single" w:sz="8" w:space="0" w:color="F8A757" w:themeColor="accent3" w:themeTint="BF"/>
          <w:right w:val="single" w:sz="8" w:space="0" w:color="F8A757" w:themeColor="accent3" w:themeTint="BF"/>
          <w:insideH w:val="nil"/>
          <w:insideV w:val="nil"/>
        </w:tcBorders>
      </w:tcPr>
    </w:tblStylePr>
    <w:tblStylePr w:type="firstCol">
      <w:rPr>
        <w:b/>
        <w:bCs/>
      </w:rPr>
    </w:tblStylePr>
    <w:tblStylePr w:type="lastCol">
      <w:rPr>
        <w:b/>
        <w:bCs/>
      </w:rPr>
    </w:tblStylePr>
    <w:tblStylePr w:type="band1Vert">
      <w:tblPr/>
      <w:tcPr>
        <w:shd w:val="clear" w:color="auto" w:fill="FCE2C7" w:themeFill="accent3" w:themeFillTint="3F"/>
      </w:tcPr>
    </w:tblStylePr>
    <w:tblStylePr w:type="band1Horz">
      <w:tblPr/>
      <w:tcPr>
        <w:tcBorders>
          <w:insideH w:val="nil"/>
          <w:insideV w:val="nil"/>
        </w:tcBorders>
        <w:shd w:val="clear" w:color="auto" w:fill="FCE2C7"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semiHidden/>
    <w:unhideWhenUsed/>
    <w:rsid w:val="009E6ED7"/>
    <w:tblPr>
      <w:tblStyleRowBandSize w:val="1"/>
      <w:tblStyleColBandSize w:val="1"/>
      <w:tblBorders>
        <w:top w:val="single" w:sz="8" w:space="0" w:color="F600C4" w:themeColor="accent4" w:themeTint="BF"/>
        <w:left w:val="single" w:sz="8" w:space="0" w:color="F600C4" w:themeColor="accent4" w:themeTint="BF"/>
        <w:bottom w:val="single" w:sz="8" w:space="0" w:color="F600C4" w:themeColor="accent4" w:themeTint="BF"/>
        <w:right w:val="single" w:sz="8" w:space="0" w:color="F600C4" w:themeColor="accent4" w:themeTint="BF"/>
        <w:insideH w:val="single" w:sz="8" w:space="0" w:color="F600C4" w:themeColor="accent4" w:themeTint="BF"/>
      </w:tblBorders>
    </w:tblPr>
    <w:tblStylePr w:type="firstRow">
      <w:pPr>
        <w:spacing w:before="0" w:after="0" w:line="240" w:lineRule="auto"/>
      </w:pPr>
      <w:rPr>
        <w:b/>
        <w:bCs/>
        <w:color w:val="FFFFFF" w:themeColor="background1"/>
      </w:rPr>
      <w:tblPr/>
      <w:tcPr>
        <w:tcBorders>
          <w:top w:val="single" w:sz="8" w:space="0" w:color="F600C4" w:themeColor="accent4" w:themeTint="BF"/>
          <w:left w:val="single" w:sz="8" w:space="0" w:color="F600C4" w:themeColor="accent4" w:themeTint="BF"/>
          <w:bottom w:val="single" w:sz="8" w:space="0" w:color="F600C4" w:themeColor="accent4" w:themeTint="BF"/>
          <w:right w:val="single" w:sz="8" w:space="0" w:color="F600C4" w:themeColor="accent4" w:themeTint="BF"/>
          <w:insideH w:val="nil"/>
          <w:insideV w:val="nil"/>
        </w:tcBorders>
        <w:shd w:val="clear" w:color="auto" w:fill="9E007E" w:themeFill="accent4"/>
      </w:tcPr>
    </w:tblStylePr>
    <w:tblStylePr w:type="lastRow">
      <w:pPr>
        <w:spacing w:before="0" w:after="0" w:line="240" w:lineRule="auto"/>
      </w:pPr>
      <w:rPr>
        <w:b/>
        <w:bCs/>
      </w:rPr>
      <w:tblPr/>
      <w:tcPr>
        <w:tcBorders>
          <w:top w:val="double" w:sz="6" w:space="0" w:color="F600C4" w:themeColor="accent4" w:themeTint="BF"/>
          <w:left w:val="single" w:sz="8" w:space="0" w:color="F600C4" w:themeColor="accent4" w:themeTint="BF"/>
          <w:bottom w:val="single" w:sz="8" w:space="0" w:color="F600C4" w:themeColor="accent4" w:themeTint="BF"/>
          <w:right w:val="single" w:sz="8" w:space="0" w:color="F600C4" w:themeColor="accent4" w:themeTint="BF"/>
          <w:insideH w:val="nil"/>
          <w:insideV w:val="nil"/>
        </w:tcBorders>
      </w:tcPr>
    </w:tblStylePr>
    <w:tblStylePr w:type="firstCol">
      <w:rPr>
        <w:b/>
        <w:bCs/>
      </w:rPr>
    </w:tblStylePr>
    <w:tblStylePr w:type="lastCol">
      <w:rPr>
        <w:b/>
        <w:bCs/>
      </w:rPr>
    </w:tblStylePr>
    <w:tblStylePr w:type="band1Vert">
      <w:tblPr/>
      <w:tcPr>
        <w:shd w:val="clear" w:color="auto" w:fill="FFA8ED" w:themeFill="accent4" w:themeFillTint="3F"/>
      </w:tcPr>
    </w:tblStylePr>
    <w:tblStylePr w:type="band1Horz">
      <w:tblPr/>
      <w:tcPr>
        <w:tcBorders>
          <w:insideH w:val="nil"/>
          <w:insideV w:val="nil"/>
        </w:tcBorders>
        <w:shd w:val="clear" w:color="auto" w:fill="FFA8ED"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semiHidden/>
    <w:unhideWhenUsed/>
    <w:rsid w:val="009E6ED7"/>
    <w:tblPr>
      <w:tblStyleRowBandSize w:val="1"/>
      <w:tblStyleColBandSize w:val="1"/>
      <w:tblBorders>
        <w:top w:val="single" w:sz="8" w:space="0" w:color="FFEB4D" w:themeColor="accent5" w:themeTint="BF"/>
        <w:left w:val="single" w:sz="8" w:space="0" w:color="FFEB4D" w:themeColor="accent5" w:themeTint="BF"/>
        <w:bottom w:val="single" w:sz="8" w:space="0" w:color="FFEB4D" w:themeColor="accent5" w:themeTint="BF"/>
        <w:right w:val="single" w:sz="8" w:space="0" w:color="FFEB4D" w:themeColor="accent5" w:themeTint="BF"/>
        <w:insideH w:val="single" w:sz="8" w:space="0" w:color="FFEB4D" w:themeColor="accent5" w:themeTint="BF"/>
      </w:tblBorders>
    </w:tblPr>
    <w:tblStylePr w:type="firstRow">
      <w:pPr>
        <w:spacing w:before="0" w:after="0" w:line="240" w:lineRule="auto"/>
      </w:pPr>
      <w:rPr>
        <w:b/>
        <w:bCs/>
        <w:color w:val="FFFFFF" w:themeColor="background1"/>
      </w:rPr>
      <w:tblPr/>
      <w:tcPr>
        <w:tcBorders>
          <w:top w:val="single" w:sz="8" w:space="0" w:color="FFEB4D" w:themeColor="accent5" w:themeTint="BF"/>
          <w:left w:val="single" w:sz="8" w:space="0" w:color="FFEB4D" w:themeColor="accent5" w:themeTint="BF"/>
          <w:bottom w:val="single" w:sz="8" w:space="0" w:color="FFEB4D" w:themeColor="accent5" w:themeTint="BF"/>
          <w:right w:val="single" w:sz="8" w:space="0" w:color="FFEB4D" w:themeColor="accent5" w:themeTint="BF"/>
          <w:insideH w:val="nil"/>
          <w:insideV w:val="nil"/>
        </w:tcBorders>
        <w:shd w:val="clear" w:color="auto" w:fill="FFE512" w:themeFill="accent5"/>
      </w:tcPr>
    </w:tblStylePr>
    <w:tblStylePr w:type="lastRow">
      <w:pPr>
        <w:spacing w:before="0" w:after="0" w:line="240" w:lineRule="auto"/>
      </w:pPr>
      <w:rPr>
        <w:b/>
        <w:bCs/>
      </w:rPr>
      <w:tblPr/>
      <w:tcPr>
        <w:tcBorders>
          <w:top w:val="double" w:sz="6" w:space="0" w:color="FFEB4D" w:themeColor="accent5" w:themeTint="BF"/>
          <w:left w:val="single" w:sz="8" w:space="0" w:color="FFEB4D" w:themeColor="accent5" w:themeTint="BF"/>
          <w:bottom w:val="single" w:sz="8" w:space="0" w:color="FFEB4D" w:themeColor="accent5" w:themeTint="BF"/>
          <w:right w:val="single" w:sz="8" w:space="0" w:color="FFEB4D" w:themeColor="accent5" w:themeTint="BF"/>
          <w:insideH w:val="nil"/>
          <w:insideV w:val="nil"/>
        </w:tcBorders>
      </w:tcPr>
    </w:tblStylePr>
    <w:tblStylePr w:type="firstCol">
      <w:rPr>
        <w:b/>
        <w:bCs/>
      </w:rPr>
    </w:tblStylePr>
    <w:tblStylePr w:type="lastCol">
      <w:rPr>
        <w:b/>
        <w:bCs/>
      </w:rPr>
    </w:tblStylePr>
    <w:tblStylePr w:type="band1Vert">
      <w:tblPr/>
      <w:tcPr>
        <w:shd w:val="clear" w:color="auto" w:fill="FFF8C4" w:themeFill="accent5" w:themeFillTint="3F"/>
      </w:tcPr>
    </w:tblStylePr>
    <w:tblStylePr w:type="band1Horz">
      <w:tblPr/>
      <w:tcPr>
        <w:tcBorders>
          <w:insideH w:val="nil"/>
          <w:insideV w:val="nil"/>
        </w:tcBorders>
        <w:shd w:val="clear" w:color="auto" w:fill="FFF8C4"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semiHidden/>
    <w:unhideWhenUsed/>
    <w:rsid w:val="009E6ED7"/>
    <w:tblPr>
      <w:tblStyleRowBandSize w:val="1"/>
      <w:tblStyleColBandSize w:val="1"/>
      <w:tblBorders>
        <w:top w:val="single" w:sz="8" w:space="0" w:color="A8A19A" w:themeColor="accent6" w:themeTint="BF"/>
        <w:left w:val="single" w:sz="8" w:space="0" w:color="A8A19A" w:themeColor="accent6" w:themeTint="BF"/>
        <w:bottom w:val="single" w:sz="8" w:space="0" w:color="A8A19A" w:themeColor="accent6" w:themeTint="BF"/>
        <w:right w:val="single" w:sz="8" w:space="0" w:color="A8A19A" w:themeColor="accent6" w:themeTint="BF"/>
        <w:insideH w:val="single" w:sz="8" w:space="0" w:color="A8A19A" w:themeColor="accent6" w:themeTint="BF"/>
      </w:tblBorders>
    </w:tblPr>
    <w:tblStylePr w:type="firstRow">
      <w:pPr>
        <w:spacing w:before="0" w:after="0" w:line="240" w:lineRule="auto"/>
      </w:pPr>
      <w:rPr>
        <w:b/>
        <w:bCs/>
        <w:color w:val="FFFFFF" w:themeColor="background1"/>
      </w:rPr>
      <w:tblPr/>
      <w:tcPr>
        <w:tcBorders>
          <w:top w:val="single" w:sz="8" w:space="0" w:color="A8A19A" w:themeColor="accent6" w:themeTint="BF"/>
          <w:left w:val="single" w:sz="8" w:space="0" w:color="A8A19A" w:themeColor="accent6" w:themeTint="BF"/>
          <w:bottom w:val="single" w:sz="8" w:space="0" w:color="A8A19A" w:themeColor="accent6" w:themeTint="BF"/>
          <w:right w:val="single" w:sz="8" w:space="0" w:color="A8A19A" w:themeColor="accent6" w:themeTint="BF"/>
          <w:insideH w:val="nil"/>
          <w:insideV w:val="nil"/>
        </w:tcBorders>
        <w:shd w:val="clear" w:color="auto" w:fill="8C8279" w:themeFill="accent6"/>
      </w:tcPr>
    </w:tblStylePr>
    <w:tblStylePr w:type="lastRow">
      <w:pPr>
        <w:spacing w:before="0" w:after="0" w:line="240" w:lineRule="auto"/>
      </w:pPr>
      <w:rPr>
        <w:b/>
        <w:bCs/>
      </w:rPr>
      <w:tblPr/>
      <w:tcPr>
        <w:tcBorders>
          <w:top w:val="double" w:sz="6" w:space="0" w:color="A8A19A" w:themeColor="accent6" w:themeTint="BF"/>
          <w:left w:val="single" w:sz="8" w:space="0" w:color="A8A19A" w:themeColor="accent6" w:themeTint="BF"/>
          <w:bottom w:val="single" w:sz="8" w:space="0" w:color="A8A19A" w:themeColor="accent6" w:themeTint="BF"/>
          <w:right w:val="single" w:sz="8" w:space="0" w:color="A8A19A" w:themeColor="accent6" w:themeTint="BF"/>
          <w:insideH w:val="nil"/>
          <w:insideV w:val="nil"/>
        </w:tcBorders>
      </w:tcPr>
    </w:tblStylePr>
    <w:tblStylePr w:type="firstCol">
      <w:rPr>
        <w:b/>
        <w:bCs/>
      </w:rPr>
    </w:tblStylePr>
    <w:tblStylePr w:type="lastCol">
      <w:rPr>
        <w:b/>
        <w:bCs/>
      </w:rPr>
    </w:tblStylePr>
    <w:tblStylePr w:type="band1Vert">
      <w:tblPr/>
      <w:tcPr>
        <w:shd w:val="clear" w:color="auto" w:fill="E2E0DD" w:themeFill="accent6" w:themeFillTint="3F"/>
      </w:tcPr>
    </w:tblStylePr>
    <w:tblStylePr w:type="band1Horz">
      <w:tblPr/>
      <w:tcPr>
        <w:tcBorders>
          <w:insideH w:val="nil"/>
          <w:insideV w:val="nil"/>
        </w:tcBorders>
        <w:shd w:val="clear" w:color="auto" w:fill="E2E0DD"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semiHidden/>
    <w:unhideWhenUsed/>
    <w:rsid w:val="009E6ED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semiHidden/>
    <w:unhideWhenUsed/>
    <w:rsid w:val="009E6ED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B5E2"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B5E2" w:themeFill="accent1"/>
      </w:tcPr>
    </w:tblStylePr>
    <w:tblStylePr w:type="lastCol">
      <w:rPr>
        <w:b/>
        <w:bCs/>
        <w:color w:val="FFFFFF" w:themeColor="background1"/>
      </w:rPr>
      <w:tblPr/>
      <w:tcPr>
        <w:tcBorders>
          <w:left w:val="nil"/>
          <w:right w:val="nil"/>
          <w:insideH w:val="nil"/>
          <w:insideV w:val="nil"/>
        </w:tcBorders>
        <w:shd w:val="clear" w:color="auto" w:fill="00B5E2"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semiHidden/>
    <w:unhideWhenUsed/>
    <w:rsid w:val="009E6ED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4BD00"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4BD00" w:themeFill="accent2"/>
      </w:tcPr>
    </w:tblStylePr>
    <w:tblStylePr w:type="lastCol">
      <w:rPr>
        <w:b/>
        <w:bCs/>
        <w:color w:val="FFFFFF" w:themeColor="background1"/>
      </w:rPr>
      <w:tblPr/>
      <w:tcPr>
        <w:tcBorders>
          <w:left w:val="nil"/>
          <w:right w:val="nil"/>
          <w:insideH w:val="nil"/>
          <w:insideV w:val="nil"/>
        </w:tcBorders>
        <w:shd w:val="clear" w:color="auto" w:fill="84BD00"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semiHidden/>
    <w:unhideWhenUsed/>
    <w:rsid w:val="009E6ED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68B1F"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68B1F" w:themeFill="accent3"/>
      </w:tcPr>
    </w:tblStylePr>
    <w:tblStylePr w:type="lastCol">
      <w:rPr>
        <w:b/>
        <w:bCs/>
        <w:color w:val="FFFFFF" w:themeColor="background1"/>
      </w:rPr>
      <w:tblPr/>
      <w:tcPr>
        <w:tcBorders>
          <w:left w:val="nil"/>
          <w:right w:val="nil"/>
          <w:insideH w:val="nil"/>
          <w:insideV w:val="nil"/>
        </w:tcBorders>
        <w:shd w:val="clear" w:color="auto" w:fill="F68B1F"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semiHidden/>
    <w:unhideWhenUsed/>
    <w:rsid w:val="009E6ED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E007E"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E007E" w:themeFill="accent4"/>
      </w:tcPr>
    </w:tblStylePr>
    <w:tblStylePr w:type="lastCol">
      <w:rPr>
        <w:b/>
        <w:bCs/>
        <w:color w:val="FFFFFF" w:themeColor="background1"/>
      </w:rPr>
      <w:tblPr/>
      <w:tcPr>
        <w:tcBorders>
          <w:left w:val="nil"/>
          <w:right w:val="nil"/>
          <w:insideH w:val="nil"/>
          <w:insideV w:val="nil"/>
        </w:tcBorders>
        <w:shd w:val="clear" w:color="auto" w:fill="9E007E"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semiHidden/>
    <w:unhideWhenUsed/>
    <w:rsid w:val="009E6ED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FE512"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FE512" w:themeFill="accent5"/>
      </w:tcPr>
    </w:tblStylePr>
    <w:tblStylePr w:type="lastCol">
      <w:rPr>
        <w:b/>
        <w:bCs/>
        <w:color w:val="FFFFFF" w:themeColor="background1"/>
      </w:rPr>
      <w:tblPr/>
      <w:tcPr>
        <w:tcBorders>
          <w:left w:val="nil"/>
          <w:right w:val="nil"/>
          <w:insideH w:val="nil"/>
          <w:insideV w:val="nil"/>
        </w:tcBorders>
        <w:shd w:val="clear" w:color="auto" w:fill="FFE512"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semiHidden/>
    <w:unhideWhenUsed/>
    <w:rsid w:val="009E6ED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C8279"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C8279" w:themeFill="accent6"/>
      </w:tcPr>
    </w:tblStylePr>
    <w:tblStylePr w:type="lastCol">
      <w:rPr>
        <w:b/>
        <w:bCs/>
        <w:color w:val="FFFFFF" w:themeColor="background1"/>
      </w:rPr>
      <w:tblPr/>
      <w:tcPr>
        <w:tcBorders>
          <w:left w:val="nil"/>
          <w:right w:val="nil"/>
          <w:insideH w:val="nil"/>
          <w:insideV w:val="nil"/>
        </w:tcBorders>
        <w:shd w:val="clear" w:color="auto" w:fill="8C8279"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Table3Deffects1">
    <w:name w:val="Table 3D effects 1"/>
    <w:basedOn w:val="TableNormal"/>
    <w:uiPriority w:val="99"/>
    <w:semiHidden/>
    <w:unhideWhenUsed/>
    <w:rsid w:val="009E6ED7"/>
    <w:pPr>
      <w:spacing w:line="240" w:lineRule="atLeast"/>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uiPriority w:val="99"/>
    <w:semiHidden/>
    <w:unhideWhenUsed/>
    <w:rsid w:val="009E6ED7"/>
    <w:pPr>
      <w:spacing w:line="240" w:lineRule="atLeast"/>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uiPriority w:val="99"/>
    <w:semiHidden/>
    <w:unhideWhenUsed/>
    <w:rsid w:val="009E6ED7"/>
    <w:pPr>
      <w:spacing w:line="240" w:lineRule="atLeast"/>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uiPriority w:val="99"/>
    <w:semiHidden/>
    <w:unhideWhenUsed/>
    <w:rsid w:val="009E6ED7"/>
    <w:pPr>
      <w:spacing w:line="240" w:lineRule="atLeast"/>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uiPriority w:val="99"/>
    <w:semiHidden/>
    <w:unhideWhenUsed/>
    <w:rsid w:val="009E6ED7"/>
    <w:pPr>
      <w:spacing w:line="240" w:lineRule="atLeast"/>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uiPriority w:val="99"/>
    <w:semiHidden/>
    <w:unhideWhenUsed/>
    <w:rsid w:val="009E6ED7"/>
    <w:pPr>
      <w:spacing w:line="240" w:lineRule="atLeast"/>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uiPriority w:val="99"/>
    <w:semiHidden/>
    <w:unhideWhenUsed/>
    <w:rsid w:val="009E6ED7"/>
    <w:pPr>
      <w:spacing w:line="240" w:lineRule="atLeast"/>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uiPriority w:val="99"/>
    <w:semiHidden/>
    <w:unhideWhenUsed/>
    <w:rsid w:val="009E6ED7"/>
    <w:pPr>
      <w:spacing w:line="240" w:lineRule="atLeast"/>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uiPriority w:val="99"/>
    <w:semiHidden/>
    <w:unhideWhenUsed/>
    <w:rsid w:val="009E6ED7"/>
    <w:pPr>
      <w:spacing w:line="240" w:lineRule="atLeast"/>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uiPriority w:val="99"/>
    <w:semiHidden/>
    <w:unhideWhenUsed/>
    <w:rsid w:val="009E6ED7"/>
    <w:pPr>
      <w:spacing w:line="240" w:lineRule="atLeast"/>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uiPriority w:val="99"/>
    <w:semiHidden/>
    <w:unhideWhenUsed/>
    <w:rsid w:val="009E6ED7"/>
    <w:pPr>
      <w:spacing w:line="240" w:lineRule="atLeast"/>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uiPriority w:val="99"/>
    <w:semiHidden/>
    <w:unhideWhenUsed/>
    <w:rsid w:val="009E6ED7"/>
    <w:pPr>
      <w:spacing w:line="240" w:lineRule="atLeast"/>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uiPriority w:val="99"/>
    <w:semiHidden/>
    <w:unhideWhenUsed/>
    <w:rsid w:val="009E6ED7"/>
    <w:pPr>
      <w:spacing w:line="240" w:lineRule="atLeast"/>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uiPriority w:val="99"/>
    <w:semiHidden/>
    <w:unhideWhenUsed/>
    <w:rsid w:val="009E6ED7"/>
    <w:pPr>
      <w:spacing w:line="240" w:lineRule="atLeast"/>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uiPriority w:val="99"/>
    <w:semiHidden/>
    <w:unhideWhenUsed/>
    <w:rsid w:val="009E6ED7"/>
    <w:pPr>
      <w:spacing w:line="240" w:lineRule="atLeast"/>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uiPriority w:val="99"/>
    <w:semiHidden/>
    <w:unhideWhenUsed/>
    <w:rsid w:val="009E6ED7"/>
    <w:pPr>
      <w:spacing w:line="240" w:lineRule="atLeast"/>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uiPriority w:val="99"/>
    <w:semiHidden/>
    <w:unhideWhenUsed/>
    <w:rsid w:val="009E6ED7"/>
    <w:pPr>
      <w:spacing w:line="240" w:lineRule="atLeast"/>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
    <w:name w:val="Table Grid 1"/>
    <w:basedOn w:val="TableNormal"/>
    <w:uiPriority w:val="99"/>
    <w:semiHidden/>
    <w:unhideWhenUsed/>
    <w:rsid w:val="009E6ED7"/>
    <w:pPr>
      <w:spacing w:line="240" w:lineRule="atLeast"/>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uiPriority w:val="99"/>
    <w:semiHidden/>
    <w:unhideWhenUsed/>
    <w:rsid w:val="009E6ED7"/>
    <w:pPr>
      <w:spacing w:line="240" w:lineRule="atLeast"/>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uiPriority w:val="99"/>
    <w:semiHidden/>
    <w:unhideWhenUsed/>
    <w:rsid w:val="009E6ED7"/>
    <w:pPr>
      <w:spacing w:line="240" w:lineRule="atLeast"/>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uiPriority w:val="99"/>
    <w:semiHidden/>
    <w:unhideWhenUsed/>
    <w:rsid w:val="009E6ED7"/>
    <w:pPr>
      <w:spacing w:line="240" w:lineRule="atLeast"/>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uiPriority w:val="99"/>
    <w:semiHidden/>
    <w:unhideWhenUsed/>
    <w:rsid w:val="009E6ED7"/>
    <w:pPr>
      <w:spacing w:line="240" w:lineRule="atLeast"/>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uiPriority w:val="99"/>
    <w:semiHidden/>
    <w:unhideWhenUsed/>
    <w:rsid w:val="009E6ED7"/>
    <w:pPr>
      <w:spacing w:line="240" w:lineRule="atLeast"/>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uiPriority w:val="99"/>
    <w:semiHidden/>
    <w:unhideWhenUsed/>
    <w:rsid w:val="009E6ED7"/>
    <w:pPr>
      <w:spacing w:line="240" w:lineRule="atLeast"/>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uiPriority w:val="99"/>
    <w:semiHidden/>
    <w:unhideWhenUsed/>
    <w:rsid w:val="009E6ED7"/>
    <w:pPr>
      <w:spacing w:line="240" w:lineRule="atLeast"/>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List1">
    <w:name w:val="Table List 1"/>
    <w:basedOn w:val="TableNormal"/>
    <w:uiPriority w:val="99"/>
    <w:semiHidden/>
    <w:unhideWhenUsed/>
    <w:rsid w:val="009E6ED7"/>
    <w:pPr>
      <w:spacing w:line="240" w:lineRule="atLeast"/>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uiPriority w:val="99"/>
    <w:semiHidden/>
    <w:unhideWhenUsed/>
    <w:rsid w:val="009E6ED7"/>
    <w:pPr>
      <w:spacing w:line="240" w:lineRule="atLeast"/>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uiPriority w:val="99"/>
    <w:semiHidden/>
    <w:unhideWhenUsed/>
    <w:rsid w:val="009E6ED7"/>
    <w:pPr>
      <w:spacing w:line="240" w:lineRule="atLeast"/>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uiPriority w:val="99"/>
    <w:semiHidden/>
    <w:unhideWhenUsed/>
    <w:rsid w:val="009E6ED7"/>
    <w:pPr>
      <w:spacing w:line="240" w:lineRule="atLeast"/>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uiPriority w:val="99"/>
    <w:semiHidden/>
    <w:unhideWhenUsed/>
    <w:rsid w:val="009E6ED7"/>
    <w:pPr>
      <w:spacing w:line="240" w:lineRule="atLeast"/>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uiPriority w:val="99"/>
    <w:semiHidden/>
    <w:unhideWhenUsed/>
    <w:rsid w:val="009E6ED7"/>
    <w:pPr>
      <w:spacing w:line="240" w:lineRule="atLeast"/>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uiPriority w:val="99"/>
    <w:semiHidden/>
    <w:unhideWhenUsed/>
    <w:rsid w:val="009E6ED7"/>
    <w:pPr>
      <w:spacing w:line="240" w:lineRule="atLeast"/>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uiPriority w:val="99"/>
    <w:semiHidden/>
    <w:unhideWhenUsed/>
    <w:rsid w:val="009E6ED7"/>
    <w:pPr>
      <w:spacing w:line="240" w:lineRule="atLeast"/>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eProfessional">
    <w:name w:val="Table Professional"/>
    <w:basedOn w:val="TableNormal"/>
    <w:uiPriority w:val="99"/>
    <w:semiHidden/>
    <w:unhideWhenUsed/>
    <w:rsid w:val="009E6ED7"/>
    <w:pPr>
      <w:spacing w:line="240" w:lineRule="atLeast"/>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uiPriority w:val="99"/>
    <w:semiHidden/>
    <w:unhideWhenUsed/>
    <w:rsid w:val="009E6ED7"/>
    <w:pPr>
      <w:spacing w:line="240" w:lineRule="atLeast"/>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uiPriority w:val="99"/>
    <w:semiHidden/>
    <w:unhideWhenUsed/>
    <w:rsid w:val="009E6ED7"/>
    <w:pPr>
      <w:spacing w:line="240" w:lineRule="atLeast"/>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uiPriority w:val="99"/>
    <w:semiHidden/>
    <w:unhideWhenUsed/>
    <w:rsid w:val="009E6ED7"/>
    <w:pPr>
      <w:spacing w:line="240" w:lineRule="atLeast"/>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uiPriority w:val="99"/>
    <w:semiHidden/>
    <w:unhideWhenUsed/>
    <w:rsid w:val="009E6ED7"/>
    <w:pPr>
      <w:spacing w:line="240" w:lineRule="atLeast"/>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uiPriority w:val="99"/>
    <w:semiHidden/>
    <w:unhideWhenUsed/>
    <w:rsid w:val="009E6ED7"/>
    <w:pPr>
      <w:spacing w:line="240" w:lineRule="atLeast"/>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uiPriority w:val="99"/>
    <w:semiHidden/>
    <w:unhideWhenUsed/>
    <w:rsid w:val="009E6ED7"/>
    <w:pPr>
      <w:spacing w:line="240" w:lineRule="atLeas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uiPriority w:val="99"/>
    <w:semiHidden/>
    <w:unhideWhenUsed/>
    <w:rsid w:val="009E6ED7"/>
    <w:pPr>
      <w:spacing w:line="240" w:lineRule="atLeast"/>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uiPriority w:val="99"/>
    <w:semiHidden/>
    <w:unhideWhenUsed/>
    <w:rsid w:val="009E6ED7"/>
    <w:pPr>
      <w:spacing w:line="240" w:lineRule="atLeast"/>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uiPriority w:val="99"/>
    <w:semiHidden/>
    <w:unhideWhenUsed/>
    <w:rsid w:val="009E6ED7"/>
    <w:pPr>
      <w:spacing w:line="240" w:lineRule="atLeast"/>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Header">
    <w:name w:val="header"/>
    <w:basedOn w:val="Normal"/>
    <w:link w:val="HeaderChar"/>
    <w:uiPriority w:val="99"/>
    <w:unhideWhenUsed/>
    <w:rsid w:val="007F6341"/>
    <w:pPr>
      <w:tabs>
        <w:tab w:val="center" w:pos="4513"/>
        <w:tab w:val="right" w:pos="9026"/>
      </w:tabs>
      <w:spacing w:line="240" w:lineRule="auto"/>
    </w:pPr>
    <w:rPr>
      <w:noProof/>
      <w:sz w:val="14"/>
    </w:rPr>
  </w:style>
  <w:style w:type="character" w:customStyle="1" w:styleId="HeaderChar">
    <w:name w:val="Header Char"/>
    <w:basedOn w:val="DefaultParagraphFont"/>
    <w:link w:val="Header"/>
    <w:uiPriority w:val="99"/>
    <w:rsid w:val="00F66A91"/>
    <w:rPr>
      <w:noProof/>
      <w:kern w:val="18"/>
      <w:sz w:val="14"/>
    </w:rPr>
  </w:style>
  <w:style w:type="paragraph" w:styleId="Footer">
    <w:name w:val="footer"/>
    <w:basedOn w:val="Normal"/>
    <w:link w:val="FooterChar"/>
    <w:uiPriority w:val="99"/>
    <w:unhideWhenUsed/>
    <w:rsid w:val="007F6341"/>
    <w:pPr>
      <w:tabs>
        <w:tab w:val="center" w:pos="4513"/>
        <w:tab w:val="right" w:pos="9026"/>
      </w:tabs>
      <w:spacing w:line="240" w:lineRule="auto"/>
    </w:pPr>
    <w:rPr>
      <w:noProof/>
      <w:sz w:val="14"/>
    </w:rPr>
  </w:style>
  <w:style w:type="character" w:customStyle="1" w:styleId="FooterChar">
    <w:name w:val="Footer Char"/>
    <w:basedOn w:val="DefaultParagraphFont"/>
    <w:link w:val="Footer"/>
    <w:uiPriority w:val="99"/>
    <w:rsid w:val="00F66A91"/>
    <w:rPr>
      <w:noProof/>
      <w:kern w:val="18"/>
      <w:sz w:val="14"/>
    </w:rPr>
  </w:style>
  <w:style w:type="numbering" w:customStyle="1" w:styleId="AECOMNumbering">
    <w:name w:val="AECOM Numbering"/>
    <w:basedOn w:val="NoList"/>
    <w:uiPriority w:val="99"/>
    <w:semiHidden/>
    <w:unhideWhenUsed/>
    <w:rsid w:val="00FF093C"/>
    <w:pPr>
      <w:numPr>
        <w:numId w:val="7"/>
      </w:numPr>
    </w:pPr>
  </w:style>
  <w:style w:type="numbering" w:customStyle="1" w:styleId="AECOMAppendix">
    <w:name w:val="AECOM Appendix"/>
    <w:uiPriority w:val="99"/>
    <w:semiHidden/>
    <w:unhideWhenUsed/>
    <w:rsid w:val="006A3705"/>
    <w:pPr>
      <w:numPr>
        <w:numId w:val="8"/>
      </w:numPr>
    </w:pPr>
  </w:style>
  <w:style w:type="character" w:customStyle="1" w:styleId="Heading6Char">
    <w:name w:val="Heading 6 Char"/>
    <w:basedOn w:val="DefaultParagraphFont"/>
    <w:link w:val="Heading6"/>
    <w:uiPriority w:val="9"/>
    <w:semiHidden/>
    <w:rsid w:val="00F66A91"/>
    <w:rPr>
      <w:rFonts w:asciiTheme="majorHAnsi" w:eastAsiaTheme="majorEastAsia" w:hAnsiTheme="majorHAnsi" w:cstheme="majorBidi"/>
      <w:i/>
      <w:iCs/>
      <w:color w:val="005970" w:themeColor="accent1" w:themeShade="7F"/>
      <w:kern w:val="18"/>
    </w:rPr>
  </w:style>
  <w:style w:type="character" w:customStyle="1" w:styleId="Heading7Char">
    <w:name w:val="Heading 7 Char"/>
    <w:basedOn w:val="DefaultParagraphFont"/>
    <w:link w:val="Heading7"/>
    <w:uiPriority w:val="9"/>
    <w:semiHidden/>
    <w:rsid w:val="00F66A91"/>
    <w:rPr>
      <w:rFonts w:asciiTheme="majorHAnsi" w:eastAsiaTheme="majorEastAsia" w:hAnsiTheme="majorHAnsi" w:cstheme="majorBidi"/>
      <w:i/>
      <w:iCs/>
      <w:color w:val="404040" w:themeColor="text1" w:themeTint="BF"/>
      <w:kern w:val="18"/>
    </w:rPr>
  </w:style>
  <w:style w:type="character" w:customStyle="1" w:styleId="Heading8Char">
    <w:name w:val="Heading 8 Char"/>
    <w:basedOn w:val="DefaultParagraphFont"/>
    <w:link w:val="Heading8"/>
    <w:uiPriority w:val="9"/>
    <w:semiHidden/>
    <w:rsid w:val="00F66A91"/>
    <w:rPr>
      <w:rFonts w:asciiTheme="majorHAnsi" w:eastAsiaTheme="majorEastAsia" w:hAnsiTheme="majorHAnsi" w:cstheme="majorBidi"/>
      <w:color w:val="404040" w:themeColor="text1" w:themeTint="BF"/>
      <w:kern w:val="18"/>
      <w:sz w:val="20"/>
      <w:szCs w:val="20"/>
    </w:rPr>
  </w:style>
  <w:style w:type="character" w:customStyle="1" w:styleId="Heading9Char">
    <w:name w:val="Heading 9 Char"/>
    <w:basedOn w:val="DefaultParagraphFont"/>
    <w:link w:val="Heading9"/>
    <w:uiPriority w:val="9"/>
    <w:semiHidden/>
    <w:rsid w:val="00F66A91"/>
    <w:rPr>
      <w:rFonts w:asciiTheme="majorHAnsi" w:eastAsiaTheme="majorEastAsia" w:hAnsiTheme="majorHAnsi" w:cstheme="majorBidi"/>
      <w:i/>
      <w:iCs/>
      <w:color w:val="404040" w:themeColor="text1" w:themeTint="BF"/>
      <w:kern w:val="18"/>
      <w:sz w:val="20"/>
      <w:szCs w:val="20"/>
    </w:rPr>
  </w:style>
  <w:style w:type="table" w:customStyle="1" w:styleId="Plaingrid">
    <w:name w:val="Plain grid"/>
    <w:basedOn w:val="TableNormal"/>
    <w:uiPriority w:val="99"/>
    <w:semiHidden/>
    <w:unhideWhenUsed/>
    <w:rsid w:val="00E772F5"/>
    <w:tblPr>
      <w:tblCellMar>
        <w:left w:w="0" w:type="dxa"/>
      </w:tblCellMar>
    </w:tblPr>
  </w:style>
  <w:style w:type="paragraph" w:styleId="Title">
    <w:name w:val="Title"/>
    <w:basedOn w:val="Normal"/>
    <w:next w:val="Normal"/>
    <w:link w:val="TitleChar"/>
    <w:uiPriority w:val="10"/>
    <w:semiHidden/>
    <w:unhideWhenUsed/>
    <w:rsid w:val="00AA75D4"/>
    <w:pPr>
      <w:spacing w:after="300" w:line="240" w:lineRule="auto"/>
      <w:contextualSpacing/>
    </w:pPr>
    <w:rPr>
      <w:rFonts w:asciiTheme="majorHAnsi" w:eastAsiaTheme="majorEastAsia" w:hAnsiTheme="majorHAnsi" w:cstheme="majorBidi"/>
      <w:color w:val="FFFFFF" w:themeColor="background1"/>
      <w:kern w:val="28"/>
      <w:sz w:val="48"/>
      <w:szCs w:val="52"/>
    </w:rPr>
  </w:style>
  <w:style w:type="character" w:customStyle="1" w:styleId="TitleChar">
    <w:name w:val="Title Char"/>
    <w:basedOn w:val="DefaultParagraphFont"/>
    <w:link w:val="Title"/>
    <w:uiPriority w:val="10"/>
    <w:semiHidden/>
    <w:rsid w:val="00F66A91"/>
    <w:rPr>
      <w:rFonts w:asciiTheme="majorHAnsi" w:eastAsiaTheme="majorEastAsia" w:hAnsiTheme="majorHAnsi" w:cstheme="majorBidi"/>
      <w:color w:val="FFFFFF" w:themeColor="background1"/>
      <w:kern w:val="28"/>
      <w:sz w:val="48"/>
      <w:szCs w:val="52"/>
    </w:rPr>
  </w:style>
  <w:style w:type="paragraph" w:styleId="TOCHeading">
    <w:name w:val="TOC Heading"/>
    <w:basedOn w:val="Heading1"/>
    <w:next w:val="Normal"/>
    <w:uiPriority w:val="39"/>
    <w:unhideWhenUsed/>
    <w:rsid w:val="000D13AF"/>
    <w:pPr>
      <w:spacing w:line="240" w:lineRule="atLeast"/>
      <w:ind w:left="0" w:firstLine="0"/>
      <w:outlineLvl w:val="9"/>
    </w:pPr>
    <w:rPr>
      <w:sz w:val="28"/>
    </w:rPr>
  </w:style>
  <w:style w:type="paragraph" w:styleId="Subtitle">
    <w:name w:val="Subtitle"/>
    <w:basedOn w:val="Normal"/>
    <w:next w:val="Normal"/>
    <w:link w:val="SubtitleChar"/>
    <w:uiPriority w:val="11"/>
    <w:unhideWhenUsed/>
    <w:rsid w:val="00AA75D4"/>
    <w:pPr>
      <w:numPr>
        <w:ilvl w:val="1"/>
      </w:numPr>
    </w:pPr>
    <w:rPr>
      <w:rFonts w:asciiTheme="majorHAnsi" w:eastAsiaTheme="majorEastAsia" w:hAnsiTheme="majorHAnsi" w:cstheme="majorBidi"/>
      <w:iCs/>
      <w:color w:val="FFFFFF" w:themeColor="background1"/>
      <w:sz w:val="24"/>
      <w:szCs w:val="24"/>
    </w:rPr>
  </w:style>
  <w:style w:type="character" w:customStyle="1" w:styleId="SubtitleChar">
    <w:name w:val="Subtitle Char"/>
    <w:basedOn w:val="DefaultParagraphFont"/>
    <w:link w:val="Subtitle"/>
    <w:uiPriority w:val="11"/>
    <w:rsid w:val="00F66A91"/>
    <w:rPr>
      <w:rFonts w:asciiTheme="majorHAnsi" w:eastAsiaTheme="majorEastAsia" w:hAnsiTheme="majorHAnsi" w:cstheme="majorBidi"/>
      <w:iCs/>
      <w:color w:val="FFFFFF" w:themeColor="background1"/>
      <w:kern w:val="18"/>
      <w:sz w:val="24"/>
      <w:szCs w:val="24"/>
    </w:rPr>
  </w:style>
  <w:style w:type="paragraph" w:styleId="TOC1">
    <w:name w:val="toc 1"/>
    <w:basedOn w:val="Normal"/>
    <w:next w:val="Normal"/>
    <w:autoRedefine/>
    <w:uiPriority w:val="39"/>
    <w:unhideWhenUsed/>
    <w:rsid w:val="003964F2"/>
    <w:pPr>
      <w:tabs>
        <w:tab w:val="clear" w:pos="284"/>
      </w:tabs>
      <w:spacing w:before="240" w:after="120"/>
    </w:pPr>
    <w:rPr>
      <w:rFonts w:cstheme="minorHAnsi"/>
      <w:b/>
      <w:bCs/>
      <w:sz w:val="20"/>
      <w:szCs w:val="20"/>
    </w:rPr>
  </w:style>
  <w:style w:type="paragraph" w:styleId="TOC2">
    <w:name w:val="toc 2"/>
    <w:basedOn w:val="Normal"/>
    <w:next w:val="Normal"/>
    <w:autoRedefine/>
    <w:uiPriority w:val="39"/>
    <w:unhideWhenUsed/>
    <w:rsid w:val="003964F2"/>
    <w:pPr>
      <w:tabs>
        <w:tab w:val="clear" w:pos="284"/>
      </w:tabs>
      <w:spacing w:before="120"/>
      <w:ind w:left="180"/>
    </w:pPr>
    <w:rPr>
      <w:rFonts w:cstheme="minorHAnsi"/>
      <w:i/>
      <w:iCs/>
      <w:sz w:val="20"/>
      <w:szCs w:val="20"/>
    </w:rPr>
  </w:style>
  <w:style w:type="paragraph" w:styleId="TOC3">
    <w:name w:val="toc 3"/>
    <w:basedOn w:val="Normal"/>
    <w:next w:val="Normal"/>
    <w:autoRedefine/>
    <w:uiPriority w:val="39"/>
    <w:unhideWhenUsed/>
    <w:rsid w:val="003964F2"/>
    <w:pPr>
      <w:tabs>
        <w:tab w:val="clear" w:pos="284"/>
      </w:tabs>
      <w:ind w:left="360"/>
    </w:pPr>
    <w:rPr>
      <w:rFonts w:cstheme="minorHAnsi"/>
      <w:sz w:val="20"/>
      <w:szCs w:val="20"/>
    </w:rPr>
  </w:style>
  <w:style w:type="paragraph" w:customStyle="1" w:styleId="Coverdata">
    <w:name w:val="Cover data"/>
    <w:basedOn w:val="Subtitle"/>
    <w:uiPriority w:val="1"/>
    <w:semiHidden/>
    <w:unhideWhenUsed/>
    <w:rsid w:val="00DA79BC"/>
    <w:pPr>
      <w:jc w:val="right"/>
    </w:pPr>
    <w:rPr>
      <w:sz w:val="16"/>
    </w:rPr>
  </w:style>
  <w:style w:type="paragraph" w:customStyle="1" w:styleId="Coverfooter">
    <w:name w:val="Cover footer"/>
    <w:basedOn w:val="Coverdata"/>
    <w:uiPriority w:val="1"/>
    <w:unhideWhenUsed/>
    <w:rsid w:val="00B97816"/>
    <w:pPr>
      <w:spacing w:line="200" w:lineRule="atLeast"/>
      <w:jc w:val="left"/>
    </w:pPr>
    <w:rPr>
      <w:rFonts w:asciiTheme="minorHAnsi" w:hAnsiTheme="minorHAnsi"/>
    </w:rPr>
  </w:style>
  <w:style w:type="paragraph" w:customStyle="1" w:styleId="Subtitleheading">
    <w:name w:val="Subtitle heading"/>
    <w:basedOn w:val="Subtitle"/>
    <w:uiPriority w:val="1"/>
    <w:semiHidden/>
    <w:unhideWhenUsed/>
    <w:rsid w:val="00AA75D4"/>
  </w:style>
  <w:style w:type="character" w:styleId="Strong">
    <w:name w:val="Strong"/>
    <w:basedOn w:val="DefaultParagraphFont"/>
    <w:uiPriority w:val="22"/>
    <w:semiHidden/>
    <w:unhideWhenUsed/>
    <w:rsid w:val="00542F08"/>
    <w:rPr>
      <w:b/>
      <w:bCs/>
    </w:rPr>
  </w:style>
  <w:style w:type="paragraph" w:styleId="CommentText">
    <w:name w:val="annotation text"/>
    <w:basedOn w:val="Normal"/>
    <w:link w:val="CommentTextChar"/>
    <w:uiPriority w:val="99"/>
    <w:semiHidden/>
    <w:unhideWhenUsed/>
    <w:rsid w:val="00542F08"/>
    <w:pPr>
      <w:spacing w:line="240" w:lineRule="auto"/>
    </w:pPr>
    <w:rPr>
      <w:sz w:val="20"/>
      <w:szCs w:val="20"/>
    </w:rPr>
  </w:style>
  <w:style w:type="character" w:customStyle="1" w:styleId="CommentTextChar">
    <w:name w:val="Comment Text Char"/>
    <w:basedOn w:val="DefaultParagraphFont"/>
    <w:link w:val="CommentText"/>
    <w:uiPriority w:val="99"/>
    <w:semiHidden/>
    <w:rsid w:val="00F66A91"/>
    <w:rPr>
      <w:kern w:val="18"/>
      <w:sz w:val="20"/>
      <w:szCs w:val="20"/>
    </w:rPr>
  </w:style>
  <w:style w:type="paragraph" w:styleId="CommentSubject">
    <w:name w:val="annotation subject"/>
    <w:basedOn w:val="CommentText"/>
    <w:next w:val="CommentText"/>
    <w:link w:val="CommentSubjectChar"/>
    <w:uiPriority w:val="99"/>
    <w:semiHidden/>
    <w:unhideWhenUsed/>
    <w:rsid w:val="00542F08"/>
    <w:rPr>
      <w:b/>
      <w:bCs/>
    </w:rPr>
  </w:style>
  <w:style w:type="character" w:customStyle="1" w:styleId="CommentSubjectChar">
    <w:name w:val="Comment Subject Char"/>
    <w:basedOn w:val="CommentTextChar"/>
    <w:link w:val="CommentSubject"/>
    <w:uiPriority w:val="99"/>
    <w:semiHidden/>
    <w:rsid w:val="00F66A91"/>
    <w:rPr>
      <w:b/>
      <w:bCs/>
      <w:kern w:val="18"/>
      <w:sz w:val="20"/>
      <w:szCs w:val="20"/>
    </w:rPr>
  </w:style>
  <w:style w:type="paragraph" w:customStyle="1" w:styleId="Heading">
    <w:name w:val="Heading"/>
    <w:basedOn w:val="BodyText"/>
    <w:next w:val="BodyText"/>
    <w:uiPriority w:val="1"/>
    <w:unhideWhenUsed/>
    <w:rsid w:val="008952D6"/>
    <w:pPr>
      <w:spacing w:after="120"/>
    </w:pPr>
    <w:rPr>
      <w:rFonts w:asciiTheme="majorHAnsi" w:hAnsiTheme="majorHAnsi" w:cstheme="majorHAnsi"/>
      <w:color w:val="000000" w:themeColor="text2"/>
      <w:sz w:val="24"/>
    </w:rPr>
  </w:style>
  <w:style w:type="paragraph" w:styleId="TableofFigures">
    <w:name w:val="table of figures"/>
    <w:basedOn w:val="Normal"/>
    <w:next w:val="Normal"/>
    <w:uiPriority w:val="99"/>
    <w:unhideWhenUsed/>
    <w:rsid w:val="00A34EE8"/>
    <w:pPr>
      <w:tabs>
        <w:tab w:val="clear" w:pos="284"/>
        <w:tab w:val="right" w:leader="dot" w:pos="9360"/>
      </w:tabs>
    </w:pPr>
  </w:style>
  <w:style w:type="numbering" w:customStyle="1" w:styleId="AECOMSectionnumbering">
    <w:name w:val="AECOM Section numbering"/>
    <w:uiPriority w:val="99"/>
    <w:semiHidden/>
    <w:unhideWhenUsed/>
    <w:rsid w:val="0055609F"/>
    <w:pPr>
      <w:numPr>
        <w:numId w:val="10"/>
      </w:numPr>
    </w:pPr>
  </w:style>
  <w:style w:type="paragraph" w:styleId="BalloonText">
    <w:name w:val="Balloon Text"/>
    <w:basedOn w:val="Normal"/>
    <w:link w:val="BalloonTextChar"/>
    <w:uiPriority w:val="99"/>
    <w:semiHidden/>
    <w:unhideWhenUsed/>
    <w:rsid w:val="00F97FCB"/>
    <w:pPr>
      <w:spacing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F66A91"/>
    <w:rPr>
      <w:rFonts w:ascii="Tahoma" w:hAnsi="Tahoma" w:cs="Tahoma"/>
      <w:kern w:val="18"/>
      <w:sz w:val="16"/>
      <w:szCs w:val="16"/>
    </w:rPr>
  </w:style>
  <w:style w:type="paragraph" w:styleId="Quote">
    <w:name w:val="Quote"/>
    <w:basedOn w:val="Normal"/>
    <w:next w:val="Normal"/>
    <w:link w:val="QuoteChar"/>
    <w:uiPriority w:val="22"/>
    <w:qFormat/>
    <w:rsid w:val="00854622"/>
    <w:pPr>
      <w:spacing w:after="120"/>
      <w:ind w:left="851" w:right="567"/>
    </w:pPr>
    <w:rPr>
      <w:i/>
      <w:iCs/>
      <w:color w:val="000000" w:themeColor="text1"/>
    </w:rPr>
  </w:style>
  <w:style w:type="character" w:customStyle="1" w:styleId="QuoteChar">
    <w:name w:val="Quote Char"/>
    <w:basedOn w:val="DefaultParagraphFont"/>
    <w:link w:val="Quote"/>
    <w:uiPriority w:val="20"/>
    <w:semiHidden/>
    <w:rsid w:val="00F66A91"/>
    <w:rPr>
      <w:i/>
      <w:iCs/>
      <w:color w:val="000000" w:themeColor="text1"/>
      <w:kern w:val="18"/>
    </w:rPr>
  </w:style>
  <w:style w:type="numbering" w:styleId="111111">
    <w:name w:val="Outline List 2"/>
    <w:basedOn w:val="NoList"/>
    <w:uiPriority w:val="99"/>
    <w:semiHidden/>
    <w:unhideWhenUsed/>
    <w:rsid w:val="004C255D"/>
    <w:pPr>
      <w:numPr>
        <w:numId w:val="11"/>
      </w:numPr>
    </w:pPr>
  </w:style>
  <w:style w:type="numbering" w:styleId="1ai">
    <w:name w:val="Outline List 1"/>
    <w:basedOn w:val="NoList"/>
    <w:uiPriority w:val="99"/>
    <w:semiHidden/>
    <w:unhideWhenUsed/>
    <w:rsid w:val="004C255D"/>
    <w:pPr>
      <w:numPr>
        <w:numId w:val="12"/>
      </w:numPr>
    </w:pPr>
  </w:style>
  <w:style w:type="numbering" w:styleId="ArticleSection">
    <w:name w:val="Outline List 3"/>
    <w:basedOn w:val="NoList"/>
    <w:uiPriority w:val="99"/>
    <w:semiHidden/>
    <w:unhideWhenUsed/>
    <w:rsid w:val="004C255D"/>
    <w:pPr>
      <w:numPr>
        <w:numId w:val="13"/>
      </w:numPr>
    </w:pPr>
  </w:style>
  <w:style w:type="paragraph" w:styleId="Bibliography">
    <w:name w:val="Bibliography"/>
    <w:basedOn w:val="Normal"/>
    <w:next w:val="Normal"/>
    <w:uiPriority w:val="37"/>
    <w:semiHidden/>
    <w:unhideWhenUsed/>
    <w:rsid w:val="004C255D"/>
  </w:style>
  <w:style w:type="paragraph" w:styleId="BlockText">
    <w:name w:val="Block Text"/>
    <w:basedOn w:val="Normal"/>
    <w:uiPriority w:val="99"/>
    <w:semiHidden/>
    <w:unhideWhenUsed/>
    <w:rsid w:val="004C255D"/>
    <w:pPr>
      <w:pBdr>
        <w:top w:val="single" w:sz="2" w:space="10" w:color="00B5E2" w:themeColor="accent1" w:shadow="1" w:frame="1"/>
        <w:left w:val="single" w:sz="2" w:space="10" w:color="00B5E2" w:themeColor="accent1" w:shadow="1" w:frame="1"/>
        <w:bottom w:val="single" w:sz="2" w:space="10" w:color="00B5E2" w:themeColor="accent1" w:shadow="1" w:frame="1"/>
        <w:right w:val="single" w:sz="2" w:space="10" w:color="00B5E2" w:themeColor="accent1" w:shadow="1" w:frame="1"/>
      </w:pBdr>
      <w:ind w:left="1152" w:right="1152"/>
    </w:pPr>
    <w:rPr>
      <w:rFonts w:eastAsiaTheme="minorEastAsia"/>
      <w:i/>
      <w:iCs/>
      <w:color w:val="00B5E2" w:themeColor="accent1"/>
    </w:rPr>
  </w:style>
  <w:style w:type="paragraph" w:styleId="BodyText2">
    <w:name w:val="Body Text 2"/>
    <w:basedOn w:val="Normal"/>
    <w:link w:val="BodyText2Char"/>
    <w:uiPriority w:val="99"/>
    <w:semiHidden/>
    <w:unhideWhenUsed/>
    <w:rsid w:val="004C255D"/>
    <w:pPr>
      <w:spacing w:after="120" w:line="480" w:lineRule="auto"/>
    </w:pPr>
  </w:style>
  <w:style w:type="character" w:customStyle="1" w:styleId="BodyText2Char">
    <w:name w:val="Body Text 2 Char"/>
    <w:basedOn w:val="DefaultParagraphFont"/>
    <w:link w:val="BodyText2"/>
    <w:uiPriority w:val="99"/>
    <w:semiHidden/>
    <w:rsid w:val="00F66A91"/>
    <w:rPr>
      <w:kern w:val="18"/>
    </w:rPr>
  </w:style>
  <w:style w:type="paragraph" w:styleId="BodyText3">
    <w:name w:val="Body Text 3"/>
    <w:basedOn w:val="Normal"/>
    <w:link w:val="BodyText3Char"/>
    <w:uiPriority w:val="99"/>
    <w:semiHidden/>
    <w:unhideWhenUsed/>
    <w:rsid w:val="004C255D"/>
    <w:pPr>
      <w:spacing w:after="120"/>
    </w:pPr>
    <w:rPr>
      <w:sz w:val="16"/>
      <w:szCs w:val="16"/>
    </w:rPr>
  </w:style>
  <w:style w:type="character" w:customStyle="1" w:styleId="BodyText3Char">
    <w:name w:val="Body Text 3 Char"/>
    <w:basedOn w:val="DefaultParagraphFont"/>
    <w:link w:val="BodyText3"/>
    <w:uiPriority w:val="99"/>
    <w:semiHidden/>
    <w:rsid w:val="00F66A91"/>
    <w:rPr>
      <w:kern w:val="18"/>
      <w:sz w:val="16"/>
      <w:szCs w:val="16"/>
    </w:rPr>
  </w:style>
  <w:style w:type="paragraph" w:styleId="BodyTextFirstIndent">
    <w:name w:val="Body Text First Indent"/>
    <w:basedOn w:val="BodyText"/>
    <w:link w:val="BodyTextFirstIndentChar"/>
    <w:uiPriority w:val="99"/>
    <w:semiHidden/>
    <w:unhideWhenUsed/>
    <w:rsid w:val="004C255D"/>
    <w:pPr>
      <w:spacing w:after="0"/>
      <w:ind w:firstLine="360"/>
    </w:pPr>
  </w:style>
  <w:style w:type="character" w:customStyle="1" w:styleId="BodyTextFirstIndentChar">
    <w:name w:val="Body Text First Indent Char"/>
    <w:basedOn w:val="BodyTextChar"/>
    <w:link w:val="BodyTextFirstIndent"/>
    <w:uiPriority w:val="99"/>
    <w:semiHidden/>
    <w:rsid w:val="00F66A91"/>
    <w:rPr>
      <w:kern w:val="18"/>
    </w:rPr>
  </w:style>
  <w:style w:type="paragraph" w:styleId="BodyTextIndent">
    <w:name w:val="Body Text Indent"/>
    <w:basedOn w:val="Normal"/>
    <w:link w:val="BodyTextIndentChar"/>
    <w:uiPriority w:val="99"/>
    <w:semiHidden/>
    <w:unhideWhenUsed/>
    <w:rsid w:val="004C255D"/>
    <w:pPr>
      <w:spacing w:after="120"/>
      <w:ind w:left="283"/>
    </w:pPr>
  </w:style>
  <w:style w:type="character" w:customStyle="1" w:styleId="BodyTextIndentChar">
    <w:name w:val="Body Text Indent Char"/>
    <w:basedOn w:val="DefaultParagraphFont"/>
    <w:link w:val="BodyTextIndent"/>
    <w:uiPriority w:val="99"/>
    <w:semiHidden/>
    <w:rsid w:val="00F66A91"/>
    <w:rPr>
      <w:kern w:val="18"/>
    </w:rPr>
  </w:style>
  <w:style w:type="paragraph" w:styleId="BodyTextFirstIndent2">
    <w:name w:val="Body Text First Indent 2"/>
    <w:basedOn w:val="BodyTextIndent"/>
    <w:link w:val="BodyTextFirstIndent2Char"/>
    <w:uiPriority w:val="99"/>
    <w:semiHidden/>
    <w:unhideWhenUsed/>
    <w:rsid w:val="004C255D"/>
    <w:pPr>
      <w:spacing w:after="0"/>
      <w:ind w:left="360" w:firstLine="360"/>
    </w:pPr>
  </w:style>
  <w:style w:type="character" w:customStyle="1" w:styleId="BodyTextFirstIndent2Char">
    <w:name w:val="Body Text First Indent 2 Char"/>
    <w:basedOn w:val="BodyTextIndentChar"/>
    <w:link w:val="BodyTextFirstIndent2"/>
    <w:uiPriority w:val="99"/>
    <w:semiHidden/>
    <w:rsid w:val="00F66A91"/>
    <w:rPr>
      <w:kern w:val="18"/>
    </w:rPr>
  </w:style>
  <w:style w:type="paragraph" w:styleId="BodyTextIndent2">
    <w:name w:val="Body Text Indent 2"/>
    <w:basedOn w:val="Normal"/>
    <w:link w:val="BodyTextIndent2Char"/>
    <w:uiPriority w:val="99"/>
    <w:semiHidden/>
    <w:unhideWhenUsed/>
    <w:rsid w:val="004C255D"/>
    <w:pPr>
      <w:spacing w:after="120" w:line="480" w:lineRule="auto"/>
      <w:ind w:left="283"/>
    </w:pPr>
  </w:style>
  <w:style w:type="character" w:customStyle="1" w:styleId="BodyTextIndent2Char">
    <w:name w:val="Body Text Indent 2 Char"/>
    <w:basedOn w:val="DefaultParagraphFont"/>
    <w:link w:val="BodyTextIndent2"/>
    <w:uiPriority w:val="99"/>
    <w:semiHidden/>
    <w:rsid w:val="00F66A91"/>
    <w:rPr>
      <w:kern w:val="18"/>
    </w:rPr>
  </w:style>
  <w:style w:type="paragraph" w:styleId="BodyTextIndent3">
    <w:name w:val="Body Text Indent 3"/>
    <w:basedOn w:val="Normal"/>
    <w:link w:val="BodyTextIndent3Char"/>
    <w:uiPriority w:val="99"/>
    <w:semiHidden/>
    <w:unhideWhenUsed/>
    <w:rsid w:val="004C255D"/>
    <w:pPr>
      <w:spacing w:after="120"/>
      <w:ind w:left="283"/>
    </w:pPr>
    <w:rPr>
      <w:sz w:val="16"/>
      <w:szCs w:val="16"/>
    </w:rPr>
  </w:style>
  <w:style w:type="character" w:customStyle="1" w:styleId="BodyTextIndent3Char">
    <w:name w:val="Body Text Indent 3 Char"/>
    <w:basedOn w:val="DefaultParagraphFont"/>
    <w:link w:val="BodyTextIndent3"/>
    <w:uiPriority w:val="99"/>
    <w:semiHidden/>
    <w:rsid w:val="00F66A91"/>
    <w:rPr>
      <w:kern w:val="18"/>
      <w:sz w:val="16"/>
      <w:szCs w:val="16"/>
    </w:rPr>
  </w:style>
  <w:style w:type="character" w:styleId="BookTitle">
    <w:name w:val="Book Title"/>
    <w:basedOn w:val="DefaultParagraphFont"/>
    <w:uiPriority w:val="33"/>
    <w:semiHidden/>
    <w:unhideWhenUsed/>
    <w:rsid w:val="004C255D"/>
    <w:rPr>
      <w:b/>
      <w:bCs/>
      <w:smallCaps/>
      <w:spacing w:val="5"/>
    </w:rPr>
  </w:style>
  <w:style w:type="paragraph" w:styleId="Closing">
    <w:name w:val="Closing"/>
    <w:basedOn w:val="Normal"/>
    <w:link w:val="ClosingChar"/>
    <w:uiPriority w:val="99"/>
    <w:semiHidden/>
    <w:unhideWhenUsed/>
    <w:rsid w:val="004C255D"/>
    <w:pPr>
      <w:spacing w:line="240" w:lineRule="auto"/>
      <w:ind w:left="4252"/>
    </w:pPr>
  </w:style>
  <w:style w:type="character" w:customStyle="1" w:styleId="ClosingChar">
    <w:name w:val="Closing Char"/>
    <w:basedOn w:val="DefaultParagraphFont"/>
    <w:link w:val="Closing"/>
    <w:uiPriority w:val="99"/>
    <w:semiHidden/>
    <w:rsid w:val="00F66A91"/>
    <w:rPr>
      <w:kern w:val="18"/>
    </w:rPr>
  </w:style>
  <w:style w:type="character" w:styleId="CommentReference">
    <w:name w:val="annotation reference"/>
    <w:basedOn w:val="DefaultParagraphFont"/>
    <w:uiPriority w:val="99"/>
    <w:semiHidden/>
    <w:unhideWhenUsed/>
    <w:rsid w:val="004C255D"/>
    <w:rPr>
      <w:sz w:val="16"/>
      <w:szCs w:val="16"/>
    </w:rPr>
  </w:style>
  <w:style w:type="paragraph" w:styleId="Date">
    <w:name w:val="Date"/>
    <w:basedOn w:val="Normal"/>
    <w:next w:val="Normal"/>
    <w:link w:val="DateChar"/>
    <w:uiPriority w:val="99"/>
    <w:semiHidden/>
    <w:unhideWhenUsed/>
    <w:rsid w:val="004C255D"/>
  </w:style>
  <w:style w:type="character" w:customStyle="1" w:styleId="DateChar">
    <w:name w:val="Date Char"/>
    <w:basedOn w:val="DefaultParagraphFont"/>
    <w:link w:val="Date"/>
    <w:uiPriority w:val="99"/>
    <w:semiHidden/>
    <w:rsid w:val="00F66A91"/>
    <w:rPr>
      <w:kern w:val="18"/>
    </w:rPr>
  </w:style>
  <w:style w:type="paragraph" w:styleId="DocumentMap">
    <w:name w:val="Document Map"/>
    <w:basedOn w:val="Normal"/>
    <w:link w:val="DocumentMapChar"/>
    <w:uiPriority w:val="99"/>
    <w:semiHidden/>
    <w:unhideWhenUsed/>
    <w:rsid w:val="004C255D"/>
    <w:pPr>
      <w:spacing w:line="240" w:lineRule="auto"/>
    </w:pPr>
    <w:rPr>
      <w:rFonts w:ascii="Tahoma" w:hAnsi="Tahoma" w:cs="Tahoma"/>
      <w:sz w:val="16"/>
      <w:szCs w:val="16"/>
    </w:rPr>
  </w:style>
  <w:style w:type="character" w:customStyle="1" w:styleId="DocumentMapChar">
    <w:name w:val="Document Map Char"/>
    <w:basedOn w:val="DefaultParagraphFont"/>
    <w:link w:val="DocumentMap"/>
    <w:uiPriority w:val="99"/>
    <w:semiHidden/>
    <w:rsid w:val="00F66A91"/>
    <w:rPr>
      <w:rFonts w:ascii="Tahoma" w:hAnsi="Tahoma" w:cs="Tahoma"/>
      <w:kern w:val="18"/>
      <w:sz w:val="16"/>
      <w:szCs w:val="16"/>
    </w:rPr>
  </w:style>
  <w:style w:type="paragraph" w:styleId="E-mailSignature">
    <w:name w:val="E-mail Signature"/>
    <w:basedOn w:val="Normal"/>
    <w:link w:val="E-mailSignatureChar"/>
    <w:uiPriority w:val="99"/>
    <w:semiHidden/>
    <w:unhideWhenUsed/>
    <w:rsid w:val="004C255D"/>
    <w:pPr>
      <w:spacing w:line="240" w:lineRule="auto"/>
    </w:pPr>
  </w:style>
  <w:style w:type="character" w:customStyle="1" w:styleId="E-mailSignatureChar">
    <w:name w:val="E-mail Signature Char"/>
    <w:basedOn w:val="DefaultParagraphFont"/>
    <w:link w:val="E-mailSignature"/>
    <w:uiPriority w:val="99"/>
    <w:semiHidden/>
    <w:rsid w:val="00F66A91"/>
    <w:rPr>
      <w:kern w:val="18"/>
    </w:rPr>
  </w:style>
  <w:style w:type="character" w:styleId="Emphasis">
    <w:name w:val="Emphasis"/>
    <w:basedOn w:val="DefaultParagraphFont"/>
    <w:uiPriority w:val="20"/>
    <w:semiHidden/>
    <w:unhideWhenUsed/>
    <w:rsid w:val="004C255D"/>
    <w:rPr>
      <w:i/>
      <w:iCs/>
    </w:rPr>
  </w:style>
  <w:style w:type="character" w:styleId="EndnoteReference">
    <w:name w:val="endnote reference"/>
    <w:basedOn w:val="DefaultParagraphFont"/>
    <w:uiPriority w:val="99"/>
    <w:semiHidden/>
    <w:unhideWhenUsed/>
    <w:rsid w:val="004C255D"/>
    <w:rPr>
      <w:vertAlign w:val="superscript"/>
    </w:rPr>
  </w:style>
  <w:style w:type="paragraph" w:styleId="EndnoteText">
    <w:name w:val="endnote text"/>
    <w:basedOn w:val="Normal"/>
    <w:link w:val="EndnoteTextChar"/>
    <w:uiPriority w:val="99"/>
    <w:semiHidden/>
    <w:unhideWhenUsed/>
    <w:rsid w:val="004C255D"/>
    <w:pPr>
      <w:spacing w:line="240" w:lineRule="auto"/>
    </w:pPr>
    <w:rPr>
      <w:sz w:val="20"/>
      <w:szCs w:val="20"/>
    </w:rPr>
  </w:style>
  <w:style w:type="character" w:customStyle="1" w:styleId="EndnoteTextChar">
    <w:name w:val="Endnote Text Char"/>
    <w:basedOn w:val="DefaultParagraphFont"/>
    <w:link w:val="EndnoteText"/>
    <w:uiPriority w:val="99"/>
    <w:semiHidden/>
    <w:rsid w:val="00F66A91"/>
    <w:rPr>
      <w:kern w:val="18"/>
      <w:sz w:val="20"/>
      <w:szCs w:val="20"/>
    </w:rPr>
  </w:style>
  <w:style w:type="paragraph" w:styleId="EnvelopeAddress">
    <w:name w:val="envelope address"/>
    <w:basedOn w:val="Normal"/>
    <w:uiPriority w:val="99"/>
    <w:semiHidden/>
    <w:unhideWhenUsed/>
    <w:rsid w:val="004C255D"/>
    <w:pPr>
      <w:framePr w:w="7920" w:h="1980" w:hRule="exact" w:hSpace="180" w:wrap="auto" w:hAnchor="page" w:xAlign="center" w:yAlign="bottom"/>
      <w:spacing w:line="240" w:lineRule="auto"/>
      <w:ind w:left="2880"/>
    </w:pPr>
    <w:rPr>
      <w:rFonts w:asciiTheme="majorHAnsi" w:eastAsiaTheme="majorEastAsia" w:hAnsiTheme="majorHAnsi" w:cstheme="majorBidi"/>
      <w:sz w:val="24"/>
      <w:szCs w:val="24"/>
    </w:rPr>
  </w:style>
  <w:style w:type="paragraph" w:styleId="EnvelopeReturn">
    <w:name w:val="envelope return"/>
    <w:basedOn w:val="Normal"/>
    <w:uiPriority w:val="99"/>
    <w:semiHidden/>
    <w:unhideWhenUsed/>
    <w:rsid w:val="004C255D"/>
    <w:pPr>
      <w:spacing w:line="240" w:lineRule="auto"/>
    </w:pPr>
    <w:rPr>
      <w:rFonts w:asciiTheme="majorHAnsi" w:eastAsiaTheme="majorEastAsia" w:hAnsiTheme="majorHAnsi" w:cstheme="majorBidi"/>
      <w:sz w:val="20"/>
      <w:szCs w:val="20"/>
    </w:rPr>
  </w:style>
  <w:style w:type="character" w:styleId="HTMLAcronym">
    <w:name w:val="HTML Acronym"/>
    <w:basedOn w:val="DefaultParagraphFont"/>
    <w:uiPriority w:val="99"/>
    <w:semiHidden/>
    <w:unhideWhenUsed/>
    <w:rsid w:val="004C255D"/>
  </w:style>
  <w:style w:type="paragraph" w:styleId="HTMLAddress">
    <w:name w:val="HTML Address"/>
    <w:basedOn w:val="Normal"/>
    <w:link w:val="HTMLAddressChar"/>
    <w:uiPriority w:val="99"/>
    <w:semiHidden/>
    <w:unhideWhenUsed/>
    <w:rsid w:val="004C255D"/>
    <w:pPr>
      <w:spacing w:line="240" w:lineRule="auto"/>
    </w:pPr>
    <w:rPr>
      <w:i/>
      <w:iCs/>
    </w:rPr>
  </w:style>
  <w:style w:type="character" w:customStyle="1" w:styleId="HTMLAddressChar">
    <w:name w:val="HTML Address Char"/>
    <w:basedOn w:val="DefaultParagraphFont"/>
    <w:link w:val="HTMLAddress"/>
    <w:uiPriority w:val="99"/>
    <w:semiHidden/>
    <w:rsid w:val="00F66A91"/>
    <w:rPr>
      <w:i/>
      <w:iCs/>
      <w:kern w:val="18"/>
    </w:rPr>
  </w:style>
  <w:style w:type="character" w:styleId="HTMLCite">
    <w:name w:val="HTML Cite"/>
    <w:basedOn w:val="DefaultParagraphFont"/>
    <w:uiPriority w:val="99"/>
    <w:semiHidden/>
    <w:unhideWhenUsed/>
    <w:rsid w:val="004C255D"/>
    <w:rPr>
      <w:i/>
      <w:iCs/>
    </w:rPr>
  </w:style>
  <w:style w:type="character" w:styleId="HTMLCode">
    <w:name w:val="HTML Code"/>
    <w:basedOn w:val="DefaultParagraphFont"/>
    <w:uiPriority w:val="99"/>
    <w:semiHidden/>
    <w:unhideWhenUsed/>
    <w:rsid w:val="004C255D"/>
    <w:rPr>
      <w:rFonts w:ascii="Consolas" w:hAnsi="Consolas"/>
      <w:sz w:val="20"/>
      <w:szCs w:val="20"/>
    </w:rPr>
  </w:style>
  <w:style w:type="character" w:styleId="HTMLDefinition">
    <w:name w:val="HTML Definition"/>
    <w:basedOn w:val="DefaultParagraphFont"/>
    <w:uiPriority w:val="99"/>
    <w:semiHidden/>
    <w:unhideWhenUsed/>
    <w:rsid w:val="004C255D"/>
    <w:rPr>
      <w:i/>
      <w:iCs/>
    </w:rPr>
  </w:style>
  <w:style w:type="character" w:styleId="HTMLKeyboard">
    <w:name w:val="HTML Keyboard"/>
    <w:basedOn w:val="DefaultParagraphFont"/>
    <w:uiPriority w:val="99"/>
    <w:semiHidden/>
    <w:unhideWhenUsed/>
    <w:rsid w:val="004C255D"/>
    <w:rPr>
      <w:rFonts w:ascii="Consolas" w:hAnsi="Consolas"/>
      <w:sz w:val="20"/>
      <w:szCs w:val="20"/>
    </w:rPr>
  </w:style>
  <w:style w:type="paragraph" w:styleId="HTMLPreformatted">
    <w:name w:val="HTML Preformatted"/>
    <w:basedOn w:val="Normal"/>
    <w:link w:val="HTMLPreformattedChar"/>
    <w:uiPriority w:val="99"/>
    <w:semiHidden/>
    <w:unhideWhenUsed/>
    <w:rsid w:val="004C255D"/>
    <w:pPr>
      <w:spacing w:line="240" w:lineRule="auto"/>
    </w:pPr>
    <w:rPr>
      <w:rFonts w:ascii="Consolas" w:hAnsi="Consolas"/>
      <w:sz w:val="20"/>
      <w:szCs w:val="20"/>
    </w:rPr>
  </w:style>
  <w:style w:type="character" w:customStyle="1" w:styleId="HTMLPreformattedChar">
    <w:name w:val="HTML Preformatted Char"/>
    <w:basedOn w:val="DefaultParagraphFont"/>
    <w:link w:val="HTMLPreformatted"/>
    <w:uiPriority w:val="99"/>
    <w:semiHidden/>
    <w:rsid w:val="00F66A91"/>
    <w:rPr>
      <w:rFonts w:ascii="Consolas" w:hAnsi="Consolas"/>
      <w:kern w:val="18"/>
      <w:sz w:val="20"/>
      <w:szCs w:val="20"/>
    </w:rPr>
  </w:style>
  <w:style w:type="character" w:styleId="HTMLSample">
    <w:name w:val="HTML Sample"/>
    <w:basedOn w:val="DefaultParagraphFont"/>
    <w:uiPriority w:val="99"/>
    <w:semiHidden/>
    <w:unhideWhenUsed/>
    <w:rsid w:val="004C255D"/>
    <w:rPr>
      <w:rFonts w:ascii="Consolas" w:hAnsi="Consolas"/>
      <w:sz w:val="24"/>
      <w:szCs w:val="24"/>
    </w:rPr>
  </w:style>
  <w:style w:type="character" w:styleId="HTMLTypewriter">
    <w:name w:val="HTML Typewriter"/>
    <w:basedOn w:val="DefaultParagraphFont"/>
    <w:uiPriority w:val="99"/>
    <w:semiHidden/>
    <w:unhideWhenUsed/>
    <w:rsid w:val="004C255D"/>
    <w:rPr>
      <w:rFonts w:ascii="Consolas" w:hAnsi="Consolas"/>
      <w:sz w:val="20"/>
      <w:szCs w:val="20"/>
    </w:rPr>
  </w:style>
  <w:style w:type="character" w:styleId="HTMLVariable">
    <w:name w:val="HTML Variable"/>
    <w:basedOn w:val="DefaultParagraphFont"/>
    <w:uiPriority w:val="99"/>
    <w:semiHidden/>
    <w:unhideWhenUsed/>
    <w:rsid w:val="004C255D"/>
    <w:rPr>
      <w:i/>
      <w:iCs/>
    </w:rPr>
  </w:style>
  <w:style w:type="paragraph" w:styleId="Index1">
    <w:name w:val="index 1"/>
    <w:basedOn w:val="Normal"/>
    <w:next w:val="Normal"/>
    <w:autoRedefine/>
    <w:uiPriority w:val="99"/>
    <w:semiHidden/>
    <w:unhideWhenUsed/>
    <w:rsid w:val="004C255D"/>
    <w:pPr>
      <w:tabs>
        <w:tab w:val="clear" w:pos="284"/>
      </w:tabs>
      <w:spacing w:line="240" w:lineRule="auto"/>
      <w:ind w:left="180" w:hanging="180"/>
    </w:pPr>
  </w:style>
  <w:style w:type="paragraph" w:styleId="Index2">
    <w:name w:val="index 2"/>
    <w:basedOn w:val="Normal"/>
    <w:next w:val="Normal"/>
    <w:autoRedefine/>
    <w:uiPriority w:val="99"/>
    <w:semiHidden/>
    <w:unhideWhenUsed/>
    <w:rsid w:val="004C255D"/>
    <w:pPr>
      <w:tabs>
        <w:tab w:val="clear" w:pos="284"/>
      </w:tabs>
      <w:spacing w:line="240" w:lineRule="auto"/>
      <w:ind w:left="360" w:hanging="180"/>
    </w:pPr>
  </w:style>
  <w:style w:type="paragraph" w:styleId="Index3">
    <w:name w:val="index 3"/>
    <w:basedOn w:val="Normal"/>
    <w:next w:val="Normal"/>
    <w:autoRedefine/>
    <w:uiPriority w:val="99"/>
    <w:semiHidden/>
    <w:unhideWhenUsed/>
    <w:rsid w:val="004C255D"/>
    <w:pPr>
      <w:tabs>
        <w:tab w:val="clear" w:pos="284"/>
      </w:tabs>
      <w:spacing w:line="240" w:lineRule="auto"/>
      <w:ind w:left="540" w:hanging="180"/>
    </w:pPr>
  </w:style>
  <w:style w:type="paragraph" w:styleId="Index4">
    <w:name w:val="index 4"/>
    <w:basedOn w:val="Normal"/>
    <w:next w:val="Normal"/>
    <w:autoRedefine/>
    <w:uiPriority w:val="99"/>
    <w:semiHidden/>
    <w:unhideWhenUsed/>
    <w:rsid w:val="004C255D"/>
    <w:pPr>
      <w:tabs>
        <w:tab w:val="clear" w:pos="284"/>
      </w:tabs>
      <w:spacing w:line="240" w:lineRule="auto"/>
      <w:ind w:left="720" w:hanging="180"/>
    </w:pPr>
  </w:style>
  <w:style w:type="paragraph" w:styleId="Index5">
    <w:name w:val="index 5"/>
    <w:basedOn w:val="Normal"/>
    <w:next w:val="Normal"/>
    <w:autoRedefine/>
    <w:uiPriority w:val="99"/>
    <w:semiHidden/>
    <w:unhideWhenUsed/>
    <w:rsid w:val="004C255D"/>
    <w:pPr>
      <w:tabs>
        <w:tab w:val="clear" w:pos="284"/>
      </w:tabs>
      <w:spacing w:line="240" w:lineRule="auto"/>
      <w:ind w:left="900" w:hanging="180"/>
    </w:pPr>
  </w:style>
  <w:style w:type="paragraph" w:styleId="Index6">
    <w:name w:val="index 6"/>
    <w:basedOn w:val="Normal"/>
    <w:next w:val="Normal"/>
    <w:autoRedefine/>
    <w:uiPriority w:val="99"/>
    <w:semiHidden/>
    <w:unhideWhenUsed/>
    <w:rsid w:val="004C255D"/>
    <w:pPr>
      <w:tabs>
        <w:tab w:val="clear" w:pos="284"/>
      </w:tabs>
      <w:spacing w:line="240" w:lineRule="auto"/>
      <w:ind w:left="1080" w:hanging="180"/>
    </w:pPr>
  </w:style>
  <w:style w:type="paragraph" w:styleId="Index7">
    <w:name w:val="index 7"/>
    <w:basedOn w:val="Normal"/>
    <w:next w:val="Normal"/>
    <w:autoRedefine/>
    <w:uiPriority w:val="99"/>
    <w:semiHidden/>
    <w:unhideWhenUsed/>
    <w:rsid w:val="004C255D"/>
    <w:pPr>
      <w:tabs>
        <w:tab w:val="clear" w:pos="284"/>
      </w:tabs>
      <w:spacing w:line="240" w:lineRule="auto"/>
      <w:ind w:left="1260" w:hanging="180"/>
    </w:pPr>
  </w:style>
  <w:style w:type="paragraph" w:styleId="Index8">
    <w:name w:val="index 8"/>
    <w:basedOn w:val="Normal"/>
    <w:next w:val="Normal"/>
    <w:autoRedefine/>
    <w:uiPriority w:val="99"/>
    <w:semiHidden/>
    <w:unhideWhenUsed/>
    <w:rsid w:val="004C255D"/>
    <w:pPr>
      <w:tabs>
        <w:tab w:val="clear" w:pos="284"/>
      </w:tabs>
      <w:spacing w:line="240" w:lineRule="auto"/>
      <w:ind w:left="1440" w:hanging="180"/>
    </w:pPr>
  </w:style>
  <w:style w:type="paragraph" w:styleId="Index9">
    <w:name w:val="index 9"/>
    <w:basedOn w:val="Normal"/>
    <w:next w:val="Normal"/>
    <w:autoRedefine/>
    <w:uiPriority w:val="99"/>
    <w:semiHidden/>
    <w:unhideWhenUsed/>
    <w:rsid w:val="004C255D"/>
    <w:pPr>
      <w:tabs>
        <w:tab w:val="clear" w:pos="284"/>
      </w:tabs>
      <w:spacing w:line="240" w:lineRule="auto"/>
      <w:ind w:left="1620" w:hanging="180"/>
    </w:pPr>
  </w:style>
  <w:style w:type="paragraph" w:styleId="IndexHeading">
    <w:name w:val="index heading"/>
    <w:basedOn w:val="Normal"/>
    <w:next w:val="Index1"/>
    <w:uiPriority w:val="99"/>
    <w:semiHidden/>
    <w:unhideWhenUsed/>
    <w:rsid w:val="004C255D"/>
    <w:rPr>
      <w:rFonts w:asciiTheme="majorHAnsi" w:eastAsiaTheme="majorEastAsia" w:hAnsiTheme="majorHAnsi" w:cstheme="majorBidi"/>
      <w:b/>
      <w:bCs/>
    </w:rPr>
  </w:style>
  <w:style w:type="character" w:styleId="IntenseEmphasis">
    <w:name w:val="Intense Emphasis"/>
    <w:basedOn w:val="DefaultParagraphFont"/>
    <w:uiPriority w:val="21"/>
    <w:semiHidden/>
    <w:unhideWhenUsed/>
    <w:rsid w:val="004C255D"/>
    <w:rPr>
      <w:b/>
      <w:bCs/>
      <w:i/>
      <w:iCs/>
      <w:color w:val="00B5E2" w:themeColor="accent1"/>
    </w:rPr>
  </w:style>
  <w:style w:type="paragraph" w:styleId="IntenseQuote">
    <w:name w:val="Intense Quote"/>
    <w:basedOn w:val="Normal"/>
    <w:next w:val="Normal"/>
    <w:link w:val="IntenseQuoteChar"/>
    <w:uiPriority w:val="30"/>
    <w:semiHidden/>
    <w:unhideWhenUsed/>
    <w:rsid w:val="004C255D"/>
    <w:pPr>
      <w:pBdr>
        <w:bottom w:val="single" w:sz="4" w:space="4" w:color="00B5E2" w:themeColor="accent1"/>
      </w:pBdr>
      <w:spacing w:before="200" w:after="280"/>
      <w:ind w:left="936" w:right="936"/>
    </w:pPr>
    <w:rPr>
      <w:b/>
      <w:bCs/>
      <w:i/>
      <w:iCs/>
      <w:color w:val="00B5E2" w:themeColor="accent1"/>
    </w:rPr>
  </w:style>
  <w:style w:type="character" w:customStyle="1" w:styleId="IntenseQuoteChar">
    <w:name w:val="Intense Quote Char"/>
    <w:basedOn w:val="DefaultParagraphFont"/>
    <w:link w:val="IntenseQuote"/>
    <w:uiPriority w:val="30"/>
    <w:semiHidden/>
    <w:rsid w:val="00F66A91"/>
    <w:rPr>
      <w:b/>
      <w:bCs/>
      <w:i/>
      <w:iCs/>
      <w:color w:val="00B5E2" w:themeColor="accent1"/>
      <w:kern w:val="18"/>
    </w:rPr>
  </w:style>
  <w:style w:type="character" w:styleId="IntenseReference">
    <w:name w:val="Intense Reference"/>
    <w:basedOn w:val="DefaultParagraphFont"/>
    <w:uiPriority w:val="32"/>
    <w:semiHidden/>
    <w:unhideWhenUsed/>
    <w:rsid w:val="004C255D"/>
    <w:rPr>
      <w:b/>
      <w:bCs/>
      <w:smallCaps/>
      <w:color w:val="84BD00" w:themeColor="accent2"/>
      <w:spacing w:val="5"/>
      <w:u w:val="single"/>
    </w:rPr>
  </w:style>
  <w:style w:type="character" w:styleId="LineNumber">
    <w:name w:val="line number"/>
    <w:basedOn w:val="DefaultParagraphFont"/>
    <w:uiPriority w:val="99"/>
    <w:semiHidden/>
    <w:unhideWhenUsed/>
    <w:rsid w:val="004C255D"/>
  </w:style>
  <w:style w:type="paragraph" w:styleId="List">
    <w:name w:val="List"/>
    <w:basedOn w:val="Normal"/>
    <w:uiPriority w:val="99"/>
    <w:semiHidden/>
    <w:unhideWhenUsed/>
    <w:rsid w:val="004C255D"/>
    <w:pPr>
      <w:ind w:left="283" w:hanging="283"/>
      <w:contextualSpacing/>
    </w:pPr>
  </w:style>
  <w:style w:type="paragraph" w:styleId="List2">
    <w:name w:val="List 2"/>
    <w:basedOn w:val="Normal"/>
    <w:uiPriority w:val="99"/>
    <w:semiHidden/>
    <w:unhideWhenUsed/>
    <w:rsid w:val="004C255D"/>
    <w:pPr>
      <w:ind w:left="566" w:hanging="283"/>
      <w:contextualSpacing/>
    </w:pPr>
  </w:style>
  <w:style w:type="paragraph" w:styleId="List3">
    <w:name w:val="List 3"/>
    <w:basedOn w:val="Normal"/>
    <w:uiPriority w:val="99"/>
    <w:semiHidden/>
    <w:unhideWhenUsed/>
    <w:rsid w:val="004C255D"/>
    <w:pPr>
      <w:ind w:left="849" w:hanging="283"/>
      <w:contextualSpacing/>
    </w:pPr>
  </w:style>
  <w:style w:type="paragraph" w:styleId="List4">
    <w:name w:val="List 4"/>
    <w:basedOn w:val="Normal"/>
    <w:uiPriority w:val="99"/>
    <w:semiHidden/>
    <w:unhideWhenUsed/>
    <w:rsid w:val="004C255D"/>
    <w:pPr>
      <w:ind w:left="1132" w:hanging="283"/>
      <w:contextualSpacing/>
    </w:pPr>
  </w:style>
  <w:style w:type="paragraph" w:styleId="List5">
    <w:name w:val="List 5"/>
    <w:basedOn w:val="Normal"/>
    <w:uiPriority w:val="99"/>
    <w:semiHidden/>
    <w:unhideWhenUsed/>
    <w:rsid w:val="004C255D"/>
    <w:pPr>
      <w:ind w:left="1415" w:hanging="283"/>
      <w:contextualSpacing/>
    </w:pPr>
  </w:style>
  <w:style w:type="paragraph" w:styleId="ListBullet4">
    <w:name w:val="List Bullet 4"/>
    <w:basedOn w:val="Normal"/>
    <w:uiPriority w:val="99"/>
    <w:semiHidden/>
    <w:unhideWhenUsed/>
    <w:rsid w:val="004C255D"/>
    <w:pPr>
      <w:numPr>
        <w:numId w:val="3"/>
      </w:numPr>
      <w:contextualSpacing/>
    </w:pPr>
  </w:style>
  <w:style w:type="paragraph" w:styleId="ListBullet5">
    <w:name w:val="List Bullet 5"/>
    <w:basedOn w:val="Normal"/>
    <w:uiPriority w:val="99"/>
    <w:semiHidden/>
    <w:unhideWhenUsed/>
    <w:rsid w:val="004C255D"/>
    <w:pPr>
      <w:numPr>
        <w:numId w:val="4"/>
      </w:numPr>
      <w:contextualSpacing/>
    </w:pPr>
  </w:style>
  <w:style w:type="paragraph" w:styleId="ListContinue">
    <w:name w:val="List Continue"/>
    <w:basedOn w:val="Normal"/>
    <w:uiPriority w:val="99"/>
    <w:semiHidden/>
    <w:unhideWhenUsed/>
    <w:rsid w:val="004C255D"/>
    <w:pPr>
      <w:spacing w:after="120"/>
      <w:ind w:left="283"/>
      <w:contextualSpacing/>
    </w:pPr>
  </w:style>
  <w:style w:type="paragraph" w:styleId="ListContinue2">
    <w:name w:val="List Continue 2"/>
    <w:basedOn w:val="Normal"/>
    <w:uiPriority w:val="99"/>
    <w:semiHidden/>
    <w:unhideWhenUsed/>
    <w:rsid w:val="004C255D"/>
    <w:pPr>
      <w:spacing w:after="120"/>
      <w:ind w:left="566"/>
      <w:contextualSpacing/>
    </w:pPr>
  </w:style>
  <w:style w:type="paragraph" w:styleId="ListContinue3">
    <w:name w:val="List Continue 3"/>
    <w:basedOn w:val="Normal"/>
    <w:uiPriority w:val="99"/>
    <w:semiHidden/>
    <w:unhideWhenUsed/>
    <w:rsid w:val="004C255D"/>
    <w:pPr>
      <w:spacing w:after="120"/>
      <w:ind w:left="849"/>
      <w:contextualSpacing/>
    </w:pPr>
  </w:style>
  <w:style w:type="paragraph" w:styleId="ListContinue4">
    <w:name w:val="List Continue 4"/>
    <w:basedOn w:val="Normal"/>
    <w:uiPriority w:val="99"/>
    <w:semiHidden/>
    <w:unhideWhenUsed/>
    <w:rsid w:val="004C255D"/>
    <w:pPr>
      <w:spacing w:after="120"/>
      <w:ind w:left="1132"/>
      <w:contextualSpacing/>
    </w:pPr>
  </w:style>
  <w:style w:type="paragraph" w:styleId="ListContinue5">
    <w:name w:val="List Continue 5"/>
    <w:basedOn w:val="Normal"/>
    <w:uiPriority w:val="99"/>
    <w:semiHidden/>
    <w:unhideWhenUsed/>
    <w:rsid w:val="004C255D"/>
    <w:pPr>
      <w:spacing w:after="120"/>
      <w:ind w:left="1415"/>
      <w:contextualSpacing/>
    </w:pPr>
  </w:style>
  <w:style w:type="paragraph" w:styleId="ListNumber4">
    <w:name w:val="List Number 4"/>
    <w:basedOn w:val="Normal"/>
    <w:uiPriority w:val="99"/>
    <w:semiHidden/>
    <w:unhideWhenUsed/>
    <w:rsid w:val="004C255D"/>
    <w:pPr>
      <w:numPr>
        <w:numId w:val="5"/>
      </w:numPr>
      <w:contextualSpacing/>
    </w:pPr>
  </w:style>
  <w:style w:type="paragraph" w:styleId="ListNumber5">
    <w:name w:val="List Number 5"/>
    <w:basedOn w:val="Normal"/>
    <w:uiPriority w:val="99"/>
    <w:semiHidden/>
    <w:unhideWhenUsed/>
    <w:rsid w:val="004C255D"/>
    <w:pPr>
      <w:numPr>
        <w:numId w:val="6"/>
      </w:numPr>
      <w:contextualSpacing/>
    </w:pPr>
  </w:style>
  <w:style w:type="paragraph" w:styleId="ListParagraph">
    <w:name w:val="List Paragraph"/>
    <w:basedOn w:val="Normal"/>
    <w:uiPriority w:val="34"/>
    <w:unhideWhenUsed/>
    <w:rsid w:val="004C255D"/>
    <w:pPr>
      <w:ind w:left="720"/>
      <w:contextualSpacing/>
    </w:pPr>
  </w:style>
  <w:style w:type="paragraph" w:styleId="MacroText">
    <w:name w:val="macro"/>
    <w:link w:val="MacroTextChar"/>
    <w:uiPriority w:val="99"/>
    <w:semiHidden/>
    <w:unhideWhenUsed/>
    <w:rsid w:val="004C255D"/>
    <w:pPr>
      <w:tabs>
        <w:tab w:val="left" w:pos="480"/>
        <w:tab w:val="left" w:pos="960"/>
        <w:tab w:val="left" w:pos="1440"/>
        <w:tab w:val="left" w:pos="1920"/>
        <w:tab w:val="left" w:pos="2400"/>
        <w:tab w:val="left" w:pos="2880"/>
        <w:tab w:val="left" w:pos="3360"/>
        <w:tab w:val="left" w:pos="3840"/>
        <w:tab w:val="left" w:pos="4320"/>
      </w:tabs>
      <w:spacing w:line="240" w:lineRule="atLeast"/>
    </w:pPr>
    <w:rPr>
      <w:rFonts w:ascii="Consolas" w:hAnsi="Consolas"/>
      <w:sz w:val="20"/>
      <w:szCs w:val="20"/>
    </w:rPr>
  </w:style>
  <w:style w:type="character" w:customStyle="1" w:styleId="MacroTextChar">
    <w:name w:val="Macro Text Char"/>
    <w:basedOn w:val="DefaultParagraphFont"/>
    <w:link w:val="MacroText"/>
    <w:uiPriority w:val="99"/>
    <w:semiHidden/>
    <w:rsid w:val="00F66A91"/>
    <w:rPr>
      <w:rFonts w:ascii="Consolas" w:hAnsi="Consolas"/>
      <w:sz w:val="20"/>
      <w:szCs w:val="20"/>
    </w:rPr>
  </w:style>
  <w:style w:type="paragraph" w:styleId="MessageHeader">
    <w:name w:val="Message Header"/>
    <w:basedOn w:val="Normal"/>
    <w:link w:val="MessageHeaderChar"/>
    <w:uiPriority w:val="99"/>
    <w:semiHidden/>
    <w:unhideWhenUsed/>
    <w:rsid w:val="004C255D"/>
    <w:pPr>
      <w:pBdr>
        <w:top w:val="single" w:sz="6" w:space="1" w:color="auto"/>
        <w:left w:val="single" w:sz="6" w:space="1" w:color="auto"/>
        <w:bottom w:val="single" w:sz="6" w:space="1" w:color="auto"/>
        <w:right w:val="single" w:sz="6" w:space="1" w:color="auto"/>
      </w:pBdr>
      <w:shd w:val="pct20" w:color="auto" w:fill="auto"/>
      <w:spacing w:line="240" w:lineRule="auto"/>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uiPriority w:val="99"/>
    <w:semiHidden/>
    <w:rsid w:val="00F66A91"/>
    <w:rPr>
      <w:rFonts w:asciiTheme="majorHAnsi" w:eastAsiaTheme="majorEastAsia" w:hAnsiTheme="majorHAnsi" w:cstheme="majorBidi"/>
      <w:kern w:val="18"/>
      <w:sz w:val="24"/>
      <w:szCs w:val="24"/>
      <w:shd w:val="pct20" w:color="auto" w:fill="auto"/>
    </w:rPr>
  </w:style>
  <w:style w:type="paragraph" w:styleId="NoSpacing">
    <w:name w:val="No Spacing"/>
    <w:uiPriority w:val="1"/>
    <w:semiHidden/>
    <w:unhideWhenUsed/>
    <w:rsid w:val="004C255D"/>
    <w:pPr>
      <w:tabs>
        <w:tab w:val="left" w:pos="284"/>
      </w:tabs>
    </w:pPr>
  </w:style>
  <w:style w:type="paragraph" w:styleId="NormalWeb">
    <w:name w:val="Normal (Web)"/>
    <w:basedOn w:val="Normal"/>
    <w:uiPriority w:val="99"/>
    <w:semiHidden/>
    <w:unhideWhenUsed/>
    <w:rsid w:val="004C255D"/>
    <w:rPr>
      <w:rFonts w:ascii="Times New Roman" w:hAnsi="Times New Roman" w:cs="Times New Roman"/>
      <w:sz w:val="24"/>
      <w:szCs w:val="24"/>
    </w:rPr>
  </w:style>
  <w:style w:type="paragraph" w:styleId="NormalIndent">
    <w:name w:val="Normal Indent"/>
    <w:basedOn w:val="Normal"/>
    <w:uiPriority w:val="99"/>
    <w:semiHidden/>
    <w:unhideWhenUsed/>
    <w:rsid w:val="004C255D"/>
    <w:pPr>
      <w:ind w:left="720"/>
    </w:pPr>
  </w:style>
  <w:style w:type="paragraph" w:styleId="NoteHeading">
    <w:name w:val="Note Heading"/>
    <w:basedOn w:val="Normal"/>
    <w:next w:val="Normal"/>
    <w:link w:val="NoteHeadingChar"/>
    <w:uiPriority w:val="99"/>
    <w:semiHidden/>
    <w:unhideWhenUsed/>
    <w:rsid w:val="004C255D"/>
    <w:pPr>
      <w:spacing w:line="240" w:lineRule="auto"/>
    </w:pPr>
  </w:style>
  <w:style w:type="character" w:customStyle="1" w:styleId="NoteHeadingChar">
    <w:name w:val="Note Heading Char"/>
    <w:basedOn w:val="DefaultParagraphFont"/>
    <w:link w:val="NoteHeading"/>
    <w:uiPriority w:val="99"/>
    <w:semiHidden/>
    <w:rsid w:val="00F66A91"/>
    <w:rPr>
      <w:kern w:val="18"/>
    </w:rPr>
  </w:style>
  <w:style w:type="character" w:styleId="PageNumber">
    <w:name w:val="page number"/>
    <w:basedOn w:val="DefaultParagraphFont"/>
    <w:uiPriority w:val="99"/>
    <w:semiHidden/>
    <w:unhideWhenUsed/>
    <w:rsid w:val="004C255D"/>
  </w:style>
  <w:style w:type="character" w:styleId="PlaceholderText">
    <w:name w:val="Placeholder Text"/>
    <w:basedOn w:val="DefaultParagraphFont"/>
    <w:uiPriority w:val="99"/>
    <w:unhideWhenUsed/>
    <w:rsid w:val="004C255D"/>
    <w:rPr>
      <w:color w:val="808080"/>
    </w:rPr>
  </w:style>
  <w:style w:type="paragraph" w:styleId="PlainText">
    <w:name w:val="Plain Text"/>
    <w:basedOn w:val="Normal"/>
    <w:link w:val="PlainTextChar"/>
    <w:uiPriority w:val="99"/>
    <w:semiHidden/>
    <w:unhideWhenUsed/>
    <w:rsid w:val="004C255D"/>
    <w:pPr>
      <w:spacing w:line="240" w:lineRule="auto"/>
    </w:pPr>
    <w:rPr>
      <w:rFonts w:ascii="Consolas" w:hAnsi="Consolas"/>
      <w:sz w:val="21"/>
      <w:szCs w:val="21"/>
    </w:rPr>
  </w:style>
  <w:style w:type="character" w:customStyle="1" w:styleId="PlainTextChar">
    <w:name w:val="Plain Text Char"/>
    <w:basedOn w:val="DefaultParagraphFont"/>
    <w:link w:val="PlainText"/>
    <w:uiPriority w:val="99"/>
    <w:semiHidden/>
    <w:rsid w:val="00F66A91"/>
    <w:rPr>
      <w:rFonts w:ascii="Consolas" w:hAnsi="Consolas"/>
      <w:kern w:val="18"/>
      <w:sz w:val="21"/>
      <w:szCs w:val="21"/>
    </w:rPr>
  </w:style>
  <w:style w:type="paragraph" w:styleId="Salutation">
    <w:name w:val="Salutation"/>
    <w:basedOn w:val="Normal"/>
    <w:next w:val="Normal"/>
    <w:link w:val="SalutationChar"/>
    <w:uiPriority w:val="99"/>
    <w:semiHidden/>
    <w:unhideWhenUsed/>
    <w:rsid w:val="004C255D"/>
  </w:style>
  <w:style w:type="character" w:customStyle="1" w:styleId="SalutationChar">
    <w:name w:val="Salutation Char"/>
    <w:basedOn w:val="DefaultParagraphFont"/>
    <w:link w:val="Salutation"/>
    <w:uiPriority w:val="99"/>
    <w:semiHidden/>
    <w:rsid w:val="00F66A91"/>
    <w:rPr>
      <w:kern w:val="18"/>
    </w:rPr>
  </w:style>
  <w:style w:type="paragraph" w:styleId="Signature">
    <w:name w:val="Signature"/>
    <w:basedOn w:val="Normal"/>
    <w:link w:val="SignatureChar"/>
    <w:uiPriority w:val="99"/>
    <w:semiHidden/>
    <w:unhideWhenUsed/>
    <w:rsid w:val="004C255D"/>
    <w:pPr>
      <w:spacing w:line="240" w:lineRule="auto"/>
      <w:ind w:left="4252"/>
    </w:pPr>
  </w:style>
  <w:style w:type="character" w:customStyle="1" w:styleId="SignatureChar">
    <w:name w:val="Signature Char"/>
    <w:basedOn w:val="DefaultParagraphFont"/>
    <w:link w:val="Signature"/>
    <w:uiPriority w:val="99"/>
    <w:semiHidden/>
    <w:rsid w:val="00F66A91"/>
    <w:rPr>
      <w:kern w:val="18"/>
    </w:rPr>
  </w:style>
  <w:style w:type="character" w:styleId="SubtleEmphasis">
    <w:name w:val="Subtle Emphasis"/>
    <w:basedOn w:val="DefaultParagraphFont"/>
    <w:uiPriority w:val="19"/>
    <w:semiHidden/>
    <w:unhideWhenUsed/>
    <w:rsid w:val="004C255D"/>
    <w:rPr>
      <w:i/>
      <w:iCs/>
      <w:color w:val="808080" w:themeColor="text1" w:themeTint="7F"/>
    </w:rPr>
  </w:style>
  <w:style w:type="character" w:styleId="SubtleReference">
    <w:name w:val="Subtle Reference"/>
    <w:basedOn w:val="DefaultParagraphFont"/>
    <w:uiPriority w:val="31"/>
    <w:semiHidden/>
    <w:unhideWhenUsed/>
    <w:rsid w:val="004C255D"/>
    <w:rPr>
      <w:smallCaps/>
      <w:color w:val="84BD00" w:themeColor="accent2"/>
      <w:u w:val="single"/>
    </w:rPr>
  </w:style>
  <w:style w:type="paragraph" w:styleId="TableofAuthorities">
    <w:name w:val="table of authorities"/>
    <w:basedOn w:val="Normal"/>
    <w:next w:val="Normal"/>
    <w:uiPriority w:val="99"/>
    <w:semiHidden/>
    <w:unhideWhenUsed/>
    <w:rsid w:val="004C255D"/>
    <w:pPr>
      <w:tabs>
        <w:tab w:val="clear" w:pos="284"/>
      </w:tabs>
      <w:ind w:left="180" w:hanging="180"/>
    </w:pPr>
  </w:style>
  <w:style w:type="paragraph" w:styleId="TOAHeading">
    <w:name w:val="toa heading"/>
    <w:basedOn w:val="Normal"/>
    <w:next w:val="Normal"/>
    <w:uiPriority w:val="99"/>
    <w:semiHidden/>
    <w:unhideWhenUsed/>
    <w:rsid w:val="004C255D"/>
    <w:pPr>
      <w:spacing w:before="120"/>
    </w:pPr>
    <w:rPr>
      <w:rFonts w:asciiTheme="majorHAnsi" w:eastAsiaTheme="majorEastAsia" w:hAnsiTheme="majorHAnsi" w:cstheme="majorBidi"/>
      <w:b/>
      <w:bCs/>
      <w:sz w:val="24"/>
      <w:szCs w:val="24"/>
    </w:rPr>
  </w:style>
  <w:style w:type="paragraph" w:styleId="TOC4">
    <w:name w:val="toc 4"/>
    <w:basedOn w:val="Normal"/>
    <w:next w:val="Normal"/>
    <w:autoRedefine/>
    <w:uiPriority w:val="39"/>
    <w:unhideWhenUsed/>
    <w:rsid w:val="003964F2"/>
    <w:pPr>
      <w:tabs>
        <w:tab w:val="clear" w:pos="284"/>
      </w:tabs>
      <w:ind w:left="540"/>
    </w:pPr>
    <w:rPr>
      <w:rFonts w:cstheme="minorHAnsi"/>
      <w:sz w:val="20"/>
      <w:szCs w:val="20"/>
    </w:rPr>
  </w:style>
  <w:style w:type="paragraph" w:styleId="TOC5">
    <w:name w:val="toc 5"/>
    <w:basedOn w:val="Normal"/>
    <w:next w:val="Normal"/>
    <w:autoRedefine/>
    <w:uiPriority w:val="39"/>
    <w:unhideWhenUsed/>
    <w:rsid w:val="004C255D"/>
    <w:pPr>
      <w:tabs>
        <w:tab w:val="clear" w:pos="284"/>
      </w:tabs>
      <w:ind w:left="720"/>
    </w:pPr>
    <w:rPr>
      <w:rFonts w:cstheme="minorHAnsi"/>
      <w:sz w:val="20"/>
      <w:szCs w:val="20"/>
    </w:rPr>
  </w:style>
  <w:style w:type="paragraph" w:styleId="TOC6">
    <w:name w:val="toc 6"/>
    <w:basedOn w:val="Normal"/>
    <w:next w:val="Normal"/>
    <w:autoRedefine/>
    <w:uiPriority w:val="39"/>
    <w:unhideWhenUsed/>
    <w:rsid w:val="004C255D"/>
    <w:pPr>
      <w:tabs>
        <w:tab w:val="clear" w:pos="284"/>
      </w:tabs>
      <w:ind w:left="900"/>
    </w:pPr>
    <w:rPr>
      <w:rFonts w:cstheme="minorHAnsi"/>
      <w:sz w:val="20"/>
      <w:szCs w:val="20"/>
    </w:rPr>
  </w:style>
  <w:style w:type="paragraph" w:styleId="TOC7">
    <w:name w:val="toc 7"/>
    <w:basedOn w:val="Normal"/>
    <w:next w:val="Normal"/>
    <w:autoRedefine/>
    <w:uiPriority w:val="39"/>
    <w:unhideWhenUsed/>
    <w:rsid w:val="004C255D"/>
    <w:pPr>
      <w:tabs>
        <w:tab w:val="clear" w:pos="284"/>
      </w:tabs>
      <w:ind w:left="1080"/>
    </w:pPr>
    <w:rPr>
      <w:rFonts w:cstheme="minorHAnsi"/>
      <w:sz w:val="20"/>
      <w:szCs w:val="20"/>
    </w:rPr>
  </w:style>
  <w:style w:type="paragraph" w:styleId="TOC8">
    <w:name w:val="toc 8"/>
    <w:basedOn w:val="Normal"/>
    <w:next w:val="Normal"/>
    <w:autoRedefine/>
    <w:uiPriority w:val="39"/>
    <w:unhideWhenUsed/>
    <w:rsid w:val="004C255D"/>
    <w:pPr>
      <w:tabs>
        <w:tab w:val="clear" w:pos="284"/>
      </w:tabs>
      <w:ind w:left="1260"/>
    </w:pPr>
    <w:rPr>
      <w:rFonts w:cstheme="minorHAnsi"/>
      <w:sz w:val="20"/>
      <w:szCs w:val="20"/>
    </w:rPr>
  </w:style>
  <w:style w:type="paragraph" w:styleId="TOC9">
    <w:name w:val="toc 9"/>
    <w:basedOn w:val="Normal"/>
    <w:next w:val="Normal"/>
    <w:autoRedefine/>
    <w:uiPriority w:val="39"/>
    <w:unhideWhenUsed/>
    <w:rsid w:val="004C255D"/>
    <w:pPr>
      <w:tabs>
        <w:tab w:val="clear" w:pos="284"/>
      </w:tabs>
      <w:ind w:left="1440"/>
    </w:pPr>
    <w:rPr>
      <w:rFonts w:cstheme="minorHAnsi"/>
      <w:sz w:val="20"/>
      <w:szCs w:val="20"/>
    </w:rPr>
  </w:style>
  <w:style w:type="paragraph" w:customStyle="1" w:styleId="CVHeading">
    <w:name w:val="CV Heading"/>
    <w:basedOn w:val="BodyText"/>
    <w:uiPriority w:val="24"/>
    <w:qFormat/>
    <w:rsid w:val="004C255D"/>
    <w:rPr>
      <w:rFonts w:asciiTheme="majorHAnsi" w:hAnsiTheme="majorHAnsi"/>
      <w:b/>
      <w:sz w:val="24"/>
    </w:rPr>
  </w:style>
  <w:style w:type="paragraph" w:customStyle="1" w:styleId="CVIntroduction">
    <w:name w:val="CV Introduction"/>
    <w:basedOn w:val="BodyText"/>
    <w:uiPriority w:val="23"/>
    <w:qFormat/>
    <w:rsid w:val="004C255D"/>
    <w:pPr>
      <w:pBdr>
        <w:top w:val="single" w:sz="4" w:space="6" w:color="auto"/>
        <w:bottom w:val="single" w:sz="4" w:space="6" w:color="auto"/>
      </w:pBdr>
    </w:pPr>
    <w:rPr>
      <w:sz w:val="28"/>
    </w:rPr>
  </w:style>
  <w:style w:type="paragraph" w:customStyle="1" w:styleId="CVTitle">
    <w:name w:val="CV Title"/>
    <w:basedOn w:val="Normal"/>
    <w:uiPriority w:val="1"/>
    <w:semiHidden/>
    <w:unhideWhenUsed/>
    <w:rsid w:val="004C255D"/>
    <w:pPr>
      <w:tabs>
        <w:tab w:val="clear" w:pos="284"/>
      </w:tabs>
    </w:pPr>
    <w:rPr>
      <w:rFonts w:asciiTheme="majorHAnsi" w:hAnsiTheme="majorHAnsi"/>
      <w:color w:val="000000" w:themeColor="text1"/>
      <w:sz w:val="32"/>
    </w:rPr>
  </w:style>
  <w:style w:type="table" w:customStyle="1" w:styleId="Tablenoborders">
    <w:name w:val="Table no borders"/>
    <w:basedOn w:val="TableNormal"/>
    <w:uiPriority w:val="99"/>
    <w:semiHidden/>
    <w:unhideWhenUsed/>
    <w:rsid w:val="00C314D3"/>
    <w:tblPr>
      <w:tblCellMar>
        <w:left w:w="0" w:type="dxa"/>
        <w:right w:w="0" w:type="dxa"/>
      </w:tblCellMar>
    </w:tblPr>
  </w:style>
  <w:style w:type="numbering" w:customStyle="1" w:styleId="AECOMTableBullets">
    <w:name w:val="AECOM Table Bullets"/>
    <w:uiPriority w:val="99"/>
    <w:semiHidden/>
    <w:unhideWhenUsed/>
    <w:rsid w:val="002740A7"/>
    <w:pPr>
      <w:numPr>
        <w:numId w:val="16"/>
      </w:numPr>
    </w:pPr>
  </w:style>
  <w:style w:type="numbering" w:customStyle="1" w:styleId="AECOMTableNumbering">
    <w:name w:val="AECOM Table Numbering"/>
    <w:uiPriority w:val="99"/>
    <w:semiHidden/>
    <w:unhideWhenUsed/>
    <w:rsid w:val="002740A7"/>
    <w:pPr>
      <w:numPr>
        <w:numId w:val="17"/>
      </w:numPr>
    </w:pPr>
  </w:style>
  <w:style w:type="paragraph" w:customStyle="1" w:styleId="TableListBullet">
    <w:name w:val="Table List Bullet"/>
    <w:basedOn w:val="Normal"/>
    <w:uiPriority w:val="16"/>
    <w:qFormat/>
    <w:rsid w:val="002740A7"/>
    <w:pPr>
      <w:numPr>
        <w:numId w:val="19"/>
      </w:numPr>
      <w:tabs>
        <w:tab w:val="clear" w:pos="284"/>
      </w:tabs>
      <w:spacing w:after="40" w:line="240" w:lineRule="auto"/>
    </w:pPr>
    <w:rPr>
      <w:sz w:val="16"/>
    </w:rPr>
  </w:style>
  <w:style w:type="paragraph" w:customStyle="1" w:styleId="TableListBullet2">
    <w:name w:val="Table List Bullet 2"/>
    <w:basedOn w:val="Normal"/>
    <w:uiPriority w:val="17"/>
    <w:qFormat/>
    <w:rsid w:val="002740A7"/>
    <w:pPr>
      <w:numPr>
        <w:ilvl w:val="1"/>
        <w:numId w:val="19"/>
      </w:numPr>
      <w:tabs>
        <w:tab w:val="clear" w:pos="284"/>
      </w:tabs>
      <w:spacing w:after="40" w:line="240" w:lineRule="auto"/>
    </w:pPr>
    <w:rPr>
      <w:sz w:val="16"/>
    </w:rPr>
  </w:style>
  <w:style w:type="paragraph" w:customStyle="1" w:styleId="TableListBullet3">
    <w:name w:val="Table List Bullet 3"/>
    <w:basedOn w:val="Normal"/>
    <w:uiPriority w:val="18"/>
    <w:qFormat/>
    <w:rsid w:val="002740A7"/>
    <w:pPr>
      <w:numPr>
        <w:ilvl w:val="2"/>
        <w:numId w:val="19"/>
      </w:numPr>
      <w:tabs>
        <w:tab w:val="clear" w:pos="284"/>
      </w:tabs>
      <w:spacing w:after="40" w:line="240" w:lineRule="auto"/>
    </w:pPr>
    <w:rPr>
      <w:sz w:val="16"/>
    </w:rPr>
  </w:style>
  <w:style w:type="paragraph" w:customStyle="1" w:styleId="TableListNumber">
    <w:name w:val="Table List Number"/>
    <w:basedOn w:val="BodyText"/>
    <w:uiPriority w:val="19"/>
    <w:qFormat/>
    <w:rsid w:val="002740A7"/>
    <w:pPr>
      <w:numPr>
        <w:numId w:val="18"/>
      </w:numPr>
      <w:spacing w:after="40" w:line="240" w:lineRule="auto"/>
    </w:pPr>
    <w:rPr>
      <w:sz w:val="16"/>
    </w:rPr>
  </w:style>
  <w:style w:type="paragraph" w:customStyle="1" w:styleId="TableListNumber2">
    <w:name w:val="Table List Number 2"/>
    <w:basedOn w:val="Normal"/>
    <w:uiPriority w:val="20"/>
    <w:qFormat/>
    <w:rsid w:val="002740A7"/>
    <w:pPr>
      <w:numPr>
        <w:ilvl w:val="1"/>
        <w:numId w:val="18"/>
      </w:numPr>
      <w:tabs>
        <w:tab w:val="clear" w:pos="284"/>
      </w:tabs>
      <w:spacing w:after="40" w:line="240" w:lineRule="auto"/>
    </w:pPr>
    <w:rPr>
      <w:sz w:val="16"/>
    </w:rPr>
  </w:style>
  <w:style w:type="paragraph" w:customStyle="1" w:styleId="TableListNumber3">
    <w:name w:val="Table List Number 3"/>
    <w:basedOn w:val="Normal"/>
    <w:uiPriority w:val="21"/>
    <w:qFormat/>
    <w:rsid w:val="002740A7"/>
    <w:pPr>
      <w:numPr>
        <w:ilvl w:val="2"/>
        <w:numId w:val="18"/>
      </w:numPr>
      <w:tabs>
        <w:tab w:val="clear" w:pos="284"/>
      </w:tabs>
      <w:spacing w:after="40" w:line="240" w:lineRule="auto"/>
    </w:pPr>
    <w:rPr>
      <w:sz w:val="16"/>
    </w:rPr>
  </w:style>
  <w:style w:type="paragraph" w:customStyle="1" w:styleId="Tabletext">
    <w:name w:val="Table text"/>
    <w:basedOn w:val="BodyText"/>
    <w:uiPriority w:val="15"/>
    <w:qFormat/>
    <w:rsid w:val="00AA045B"/>
    <w:pPr>
      <w:spacing w:before="40" w:after="40" w:line="240" w:lineRule="auto"/>
    </w:pPr>
    <w:rPr>
      <w:sz w:val="16"/>
    </w:rPr>
  </w:style>
  <w:style w:type="paragraph" w:customStyle="1" w:styleId="Callout">
    <w:name w:val="Callout"/>
    <w:basedOn w:val="BodyText"/>
    <w:uiPriority w:val="1"/>
    <w:semiHidden/>
    <w:unhideWhenUsed/>
    <w:rsid w:val="00F352C7"/>
    <w:pPr>
      <w:spacing w:after="60"/>
    </w:pPr>
  </w:style>
  <w:style w:type="paragraph" w:customStyle="1" w:styleId="SQL">
    <w:name w:val="SQL"/>
    <w:uiPriority w:val="1"/>
    <w:semiHidden/>
    <w:unhideWhenUsed/>
    <w:rsid w:val="004D4675"/>
    <w:pPr>
      <w:spacing w:after="120" w:line="240" w:lineRule="atLeast"/>
    </w:pPr>
    <w:rPr>
      <w:sz w:val="16"/>
      <w:lang w:val="en-CA"/>
    </w:rPr>
  </w:style>
  <w:style w:type="table" w:customStyle="1" w:styleId="AECOMcolouredtable">
    <w:name w:val="AECOM coloured table"/>
    <w:basedOn w:val="TableNormal"/>
    <w:uiPriority w:val="99"/>
    <w:semiHidden/>
    <w:unhideWhenUsed/>
    <w:rsid w:val="00890ADA"/>
    <w:tblPr>
      <w:tblStyleRowBandSize w:val="1"/>
    </w:tblPr>
    <w:tblStylePr w:type="firstRow">
      <w:rPr>
        <w:b/>
        <w:color w:val="FFFFFF" w:themeColor="background1"/>
      </w:rPr>
      <w:tblPr/>
      <w:tcPr>
        <w:tcBorders>
          <w:bottom w:val="single" w:sz="12" w:space="0" w:color="FFFFFF" w:themeColor="background1"/>
          <w:insideV w:val="single" w:sz="4" w:space="0" w:color="FFFFFF" w:themeColor="background1"/>
        </w:tcBorders>
        <w:shd w:val="clear" w:color="auto" w:fill="00B5E2" w:themeFill="accent1"/>
      </w:tcPr>
    </w:tblStylePr>
    <w:tblStylePr w:type="firstCol">
      <w:rPr>
        <w:b/>
        <w:color w:val="FFFFFF" w:themeColor="background1"/>
      </w:rPr>
      <w:tblPr/>
      <w:tcPr>
        <w:tcBorders>
          <w:right w:val="single" w:sz="12" w:space="0" w:color="FFFFFF" w:themeColor="background1"/>
        </w:tcBorders>
        <w:shd w:val="clear" w:color="auto" w:fill="00B5E2" w:themeFill="accent1"/>
      </w:tcPr>
    </w:tblStylePr>
    <w:tblStylePr w:type="band1Horz">
      <w:tblPr/>
      <w:tcPr>
        <w:shd w:val="clear" w:color="auto" w:fill="C6F3FF" w:themeFill="accent1" w:themeFillTint="33"/>
      </w:tcPr>
    </w:tblStylePr>
    <w:tblStylePr w:type="band2Horz">
      <w:tblPr/>
      <w:tcPr>
        <w:shd w:val="clear" w:color="auto" w:fill="8DE8FF" w:themeFill="accent1" w:themeFillTint="66"/>
      </w:tcPr>
    </w:tblStylePr>
  </w:style>
  <w:style w:type="paragraph" w:customStyle="1" w:styleId="Appendixheading2">
    <w:name w:val="Appendix heading 2"/>
    <w:basedOn w:val="Heading2"/>
    <w:uiPriority w:val="8"/>
    <w:qFormat/>
    <w:rsid w:val="003934D8"/>
    <w:pPr>
      <w:ind w:left="851" w:hanging="851"/>
    </w:pPr>
    <w:rPr>
      <w:rFonts w:cstheme="majorHAnsi"/>
      <w:szCs w:val="36"/>
    </w:rPr>
  </w:style>
  <w:style w:type="paragraph" w:customStyle="1" w:styleId="Numberedtext">
    <w:name w:val="Numbered text"/>
    <w:basedOn w:val="BodyText"/>
    <w:uiPriority w:val="2"/>
    <w:qFormat/>
    <w:rsid w:val="00B908E0"/>
    <w:pPr>
      <w:numPr>
        <w:ilvl w:val="1"/>
        <w:numId w:val="9"/>
      </w:numPr>
    </w:pPr>
    <w:rPr>
      <w:b/>
      <w:color w:val="00B5E2" w:themeColor="accent1"/>
      <w:sz w:val="24"/>
    </w:rPr>
  </w:style>
  <w:style w:type="table" w:customStyle="1" w:styleId="CompassTable">
    <w:name w:val="Compass Table"/>
    <w:basedOn w:val="TableGrid"/>
    <w:uiPriority w:val="99"/>
    <w:rsid w:val="0048315A"/>
    <w:rPr>
      <w:sz w:val="22"/>
      <w:szCs w:val="22"/>
      <w:lang w:val="en-US"/>
    </w:rPr>
    <w:tblPr>
      <w:tblStyleRowBandSize w:val="1"/>
      <w:tblBorders>
        <w:top w:val="single" w:sz="4" w:space="0" w:color="3379BD"/>
        <w:left w:val="single" w:sz="4" w:space="0" w:color="3379BD"/>
        <w:bottom w:val="single" w:sz="4" w:space="0" w:color="3379BD"/>
        <w:right w:val="single" w:sz="4" w:space="0" w:color="3379BD"/>
        <w:insideH w:val="single" w:sz="4" w:space="0" w:color="3379BD"/>
        <w:insideV w:val="single" w:sz="4" w:space="0" w:color="3379BD"/>
      </w:tblBorders>
      <w:tblCellMar>
        <w:top w:w="0" w:type="dxa"/>
        <w:left w:w="108" w:type="dxa"/>
        <w:bottom w:w="0" w:type="dxa"/>
        <w:right w:w="108" w:type="dxa"/>
      </w:tblCellMar>
    </w:tblPr>
    <w:tcPr>
      <w:vAlign w:val="center"/>
    </w:tcPr>
    <w:tblStylePr w:type="firstRow">
      <w:rPr>
        <w:rFonts w:ascii="Calibri" w:hAnsi="Calibri"/>
        <w:b/>
        <w:color w:val="FFFFFF"/>
        <w:sz w:val="22"/>
      </w:rPr>
      <w:tblPr/>
      <w:trPr>
        <w:cantSplit/>
        <w:tblHeader/>
      </w:trPr>
      <w:tcPr>
        <w:shd w:val="clear" w:color="auto" w:fill="233972"/>
      </w:tcPr>
    </w:tblStylePr>
    <w:tblStylePr w:type="lastRow">
      <w:rPr>
        <w:rFonts w:ascii="Calibri" w:hAnsi="Calibri"/>
        <w:color w:val="000000"/>
        <w:sz w:val="20"/>
      </w:rPr>
    </w:tblStylePr>
    <w:tblStylePr w:type="band1Horz">
      <w:rPr>
        <w:rFonts w:ascii="Calibri" w:hAnsi="Calibri"/>
        <w:color w:val="000000"/>
        <w:sz w:val="20"/>
      </w:rPr>
      <w:tblPr/>
      <w:tcPr>
        <w:tcBorders>
          <w:top w:val="single" w:sz="4" w:space="0" w:color="3379BD"/>
          <w:left w:val="single" w:sz="4" w:space="0" w:color="3379BD"/>
          <w:bottom w:val="single" w:sz="4" w:space="0" w:color="3379BD"/>
          <w:right w:val="single" w:sz="4" w:space="0" w:color="3379BD"/>
          <w:insideH w:val="single" w:sz="4" w:space="0" w:color="3379BD"/>
          <w:insideV w:val="single" w:sz="4" w:space="0" w:color="3379BD"/>
        </w:tcBorders>
        <w:shd w:val="clear" w:color="auto" w:fill="DFE3E5"/>
      </w:tcPr>
    </w:tblStylePr>
    <w:tblStylePr w:type="band2Horz">
      <w:rPr>
        <w:rFonts w:ascii="Calibri" w:hAnsi="Calibri"/>
        <w:color w:val="000000"/>
        <w:sz w:val="20"/>
      </w:rPr>
    </w:tblStylePr>
  </w:style>
  <w:style w:type="table" w:customStyle="1" w:styleId="CompassTable1">
    <w:name w:val="Compass Table1"/>
    <w:basedOn w:val="TableGrid"/>
    <w:uiPriority w:val="99"/>
    <w:rsid w:val="0048315A"/>
    <w:rPr>
      <w:sz w:val="22"/>
      <w:szCs w:val="22"/>
      <w:lang w:val="en-US"/>
    </w:rPr>
    <w:tblPr>
      <w:tblStyleRowBandSize w:val="1"/>
      <w:tblBorders>
        <w:top w:val="single" w:sz="4" w:space="0" w:color="3379BD"/>
        <w:left w:val="single" w:sz="4" w:space="0" w:color="3379BD"/>
        <w:bottom w:val="single" w:sz="4" w:space="0" w:color="3379BD"/>
        <w:right w:val="single" w:sz="4" w:space="0" w:color="3379BD"/>
        <w:insideH w:val="single" w:sz="4" w:space="0" w:color="3379BD"/>
        <w:insideV w:val="single" w:sz="4" w:space="0" w:color="3379BD"/>
      </w:tblBorders>
      <w:tblCellMar>
        <w:top w:w="0" w:type="dxa"/>
        <w:left w:w="108" w:type="dxa"/>
        <w:bottom w:w="0" w:type="dxa"/>
        <w:right w:w="108" w:type="dxa"/>
      </w:tblCellMar>
    </w:tblPr>
    <w:tcPr>
      <w:vAlign w:val="center"/>
    </w:tcPr>
    <w:tblStylePr w:type="firstRow">
      <w:rPr>
        <w:rFonts w:ascii="Calibri" w:hAnsi="Calibri"/>
        <w:b/>
        <w:color w:val="FFFFFF"/>
        <w:sz w:val="22"/>
      </w:rPr>
      <w:tblPr/>
      <w:trPr>
        <w:cantSplit/>
        <w:tblHeader/>
      </w:trPr>
      <w:tcPr>
        <w:shd w:val="clear" w:color="auto" w:fill="233972"/>
      </w:tcPr>
    </w:tblStylePr>
    <w:tblStylePr w:type="lastRow">
      <w:rPr>
        <w:rFonts w:ascii="Calibri" w:hAnsi="Calibri"/>
        <w:color w:val="000000"/>
        <w:sz w:val="20"/>
      </w:rPr>
    </w:tblStylePr>
    <w:tblStylePr w:type="band1Horz">
      <w:rPr>
        <w:rFonts w:ascii="Calibri" w:hAnsi="Calibri"/>
        <w:color w:val="000000"/>
        <w:sz w:val="20"/>
      </w:rPr>
      <w:tblPr/>
      <w:tcPr>
        <w:tcBorders>
          <w:top w:val="single" w:sz="4" w:space="0" w:color="3379BD"/>
          <w:left w:val="single" w:sz="4" w:space="0" w:color="3379BD"/>
          <w:bottom w:val="single" w:sz="4" w:space="0" w:color="3379BD"/>
          <w:right w:val="single" w:sz="4" w:space="0" w:color="3379BD"/>
          <w:insideH w:val="single" w:sz="4" w:space="0" w:color="3379BD"/>
          <w:insideV w:val="single" w:sz="4" w:space="0" w:color="3379BD"/>
        </w:tcBorders>
        <w:shd w:val="clear" w:color="auto" w:fill="DFE3E5"/>
      </w:tcPr>
    </w:tblStylePr>
    <w:tblStylePr w:type="band2Horz">
      <w:rPr>
        <w:rFonts w:ascii="Calibri" w:hAnsi="Calibri"/>
        <w:color w:val="000000"/>
        <w:sz w:val="20"/>
      </w:rPr>
    </w:tblStylePr>
  </w:style>
  <w:style w:type="paragraph" w:customStyle="1" w:styleId="2Body-Text">
    <w:name w:val="2 Body-Text"/>
    <w:basedOn w:val="Normal"/>
    <w:link w:val="2Body-TextChar"/>
    <w:qFormat/>
    <w:rsid w:val="00161A02"/>
    <w:pPr>
      <w:tabs>
        <w:tab w:val="clear" w:pos="284"/>
      </w:tabs>
      <w:spacing w:before="120" w:after="120" w:line="240" w:lineRule="auto"/>
    </w:pPr>
    <w:rPr>
      <w:rFonts w:eastAsia="Times New Roman"/>
      <w:kern w:val="0"/>
      <w:sz w:val="22"/>
      <w:szCs w:val="26"/>
    </w:rPr>
  </w:style>
  <w:style w:type="character" w:customStyle="1" w:styleId="2Body-TextChar">
    <w:name w:val="2 Body-Text Char"/>
    <w:basedOn w:val="DefaultParagraphFont"/>
    <w:link w:val="2Body-Text"/>
    <w:rsid w:val="00161A02"/>
    <w:rPr>
      <w:rFonts w:eastAsia="Times New Roman"/>
      <w:sz w:val="22"/>
      <w:szCs w:val="26"/>
      <w:lang w:val="en-US"/>
    </w:rPr>
  </w:style>
  <w:style w:type="table" w:customStyle="1" w:styleId="CompassTable2">
    <w:name w:val="Compass Table2"/>
    <w:basedOn w:val="TableGrid"/>
    <w:uiPriority w:val="99"/>
    <w:rsid w:val="00161A02"/>
    <w:rPr>
      <w:sz w:val="22"/>
      <w:szCs w:val="22"/>
      <w:lang w:val="en-US"/>
    </w:rPr>
    <w:tblPr>
      <w:tblStyleRowBandSize w:val="1"/>
      <w:tblBorders>
        <w:top w:val="single" w:sz="4" w:space="0" w:color="3379BD"/>
        <w:left w:val="single" w:sz="4" w:space="0" w:color="3379BD"/>
        <w:bottom w:val="single" w:sz="4" w:space="0" w:color="3379BD"/>
        <w:right w:val="single" w:sz="4" w:space="0" w:color="3379BD"/>
        <w:insideH w:val="single" w:sz="4" w:space="0" w:color="3379BD"/>
        <w:insideV w:val="single" w:sz="4" w:space="0" w:color="3379BD"/>
      </w:tblBorders>
      <w:tblCellMar>
        <w:top w:w="0" w:type="dxa"/>
        <w:left w:w="108" w:type="dxa"/>
        <w:bottom w:w="0" w:type="dxa"/>
        <w:right w:w="108" w:type="dxa"/>
      </w:tblCellMar>
    </w:tblPr>
    <w:tcPr>
      <w:vAlign w:val="center"/>
    </w:tcPr>
    <w:tblStylePr w:type="firstRow">
      <w:rPr>
        <w:rFonts w:ascii="Calibri" w:hAnsi="Calibri"/>
        <w:b/>
        <w:color w:val="FFFFFF"/>
        <w:sz w:val="22"/>
      </w:rPr>
      <w:tblPr/>
      <w:trPr>
        <w:cantSplit/>
        <w:tblHeader/>
      </w:trPr>
      <w:tcPr>
        <w:shd w:val="clear" w:color="auto" w:fill="233972"/>
      </w:tcPr>
    </w:tblStylePr>
    <w:tblStylePr w:type="lastRow">
      <w:rPr>
        <w:rFonts w:ascii="Calibri" w:hAnsi="Calibri"/>
        <w:color w:val="000000"/>
        <w:sz w:val="20"/>
      </w:rPr>
    </w:tblStylePr>
    <w:tblStylePr w:type="band1Horz">
      <w:rPr>
        <w:rFonts w:ascii="Calibri" w:hAnsi="Calibri"/>
        <w:color w:val="000000"/>
        <w:sz w:val="20"/>
      </w:rPr>
      <w:tblPr/>
      <w:tcPr>
        <w:tcBorders>
          <w:top w:val="single" w:sz="4" w:space="0" w:color="3379BD"/>
          <w:left w:val="single" w:sz="4" w:space="0" w:color="3379BD"/>
          <w:bottom w:val="single" w:sz="4" w:space="0" w:color="3379BD"/>
          <w:right w:val="single" w:sz="4" w:space="0" w:color="3379BD"/>
          <w:insideH w:val="single" w:sz="4" w:space="0" w:color="3379BD"/>
          <w:insideV w:val="single" w:sz="4" w:space="0" w:color="3379BD"/>
        </w:tcBorders>
        <w:shd w:val="clear" w:color="auto" w:fill="DFE3E5"/>
      </w:tcPr>
    </w:tblStylePr>
    <w:tblStylePr w:type="band2Horz">
      <w:rPr>
        <w:rFonts w:ascii="Calibri" w:hAnsi="Calibri"/>
        <w:color w:val="000000"/>
        <w:sz w:val="20"/>
      </w:rPr>
    </w:tblStylePr>
  </w:style>
  <w:style w:type="table" w:customStyle="1" w:styleId="CompassTable3">
    <w:name w:val="Compass Table3"/>
    <w:basedOn w:val="TableGrid"/>
    <w:uiPriority w:val="99"/>
    <w:rsid w:val="00161A02"/>
    <w:rPr>
      <w:sz w:val="22"/>
      <w:szCs w:val="22"/>
      <w:lang w:val="en-US"/>
    </w:rPr>
    <w:tblPr>
      <w:tblStyleRowBandSize w:val="1"/>
      <w:tblBorders>
        <w:top w:val="single" w:sz="4" w:space="0" w:color="3379BD"/>
        <w:left w:val="single" w:sz="4" w:space="0" w:color="3379BD"/>
        <w:bottom w:val="single" w:sz="4" w:space="0" w:color="3379BD"/>
        <w:right w:val="single" w:sz="4" w:space="0" w:color="3379BD"/>
        <w:insideH w:val="single" w:sz="4" w:space="0" w:color="3379BD"/>
        <w:insideV w:val="single" w:sz="4" w:space="0" w:color="3379BD"/>
      </w:tblBorders>
      <w:tblCellMar>
        <w:top w:w="0" w:type="dxa"/>
        <w:left w:w="108" w:type="dxa"/>
        <w:bottom w:w="0" w:type="dxa"/>
        <w:right w:w="108" w:type="dxa"/>
      </w:tblCellMar>
    </w:tblPr>
    <w:tcPr>
      <w:vAlign w:val="center"/>
    </w:tcPr>
    <w:tblStylePr w:type="firstRow">
      <w:rPr>
        <w:rFonts w:ascii="Calibri" w:hAnsi="Calibri"/>
        <w:b/>
        <w:color w:val="FFFFFF"/>
        <w:sz w:val="22"/>
      </w:rPr>
      <w:tblPr/>
      <w:trPr>
        <w:cantSplit/>
        <w:tblHeader/>
      </w:trPr>
      <w:tcPr>
        <w:shd w:val="clear" w:color="auto" w:fill="233972"/>
      </w:tcPr>
    </w:tblStylePr>
    <w:tblStylePr w:type="lastRow">
      <w:rPr>
        <w:rFonts w:ascii="Calibri" w:hAnsi="Calibri"/>
        <w:color w:val="000000"/>
        <w:sz w:val="20"/>
      </w:rPr>
    </w:tblStylePr>
    <w:tblStylePr w:type="band1Horz">
      <w:rPr>
        <w:rFonts w:ascii="Calibri" w:hAnsi="Calibri"/>
        <w:color w:val="000000"/>
        <w:sz w:val="20"/>
      </w:rPr>
      <w:tblPr/>
      <w:tcPr>
        <w:tcBorders>
          <w:top w:val="single" w:sz="4" w:space="0" w:color="3379BD"/>
          <w:left w:val="single" w:sz="4" w:space="0" w:color="3379BD"/>
          <w:bottom w:val="single" w:sz="4" w:space="0" w:color="3379BD"/>
          <w:right w:val="single" w:sz="4" w:space="0" w:color="3379BD"/>
          <w:insideH w:val="single" w:sz="4" w:space="0" w:color="3379BD"/>
          <w:insideV w:val="single" w:sz="4" w:space="0" w:color="3379BD"/>
        </w:tcBorders>
        <w:shd w:val="clear" w:color="auto" w:fill="DFE3E5"/>
      </w:tcPr>
    </w:tblStylePr>
    <w:tblStylePr w:type="band2Horz">
      <w:rPr>
        <w:rFonts w:ascii="Calibri" w:hAnsi="Calibri"/>
        <w:color w:val="000000"/>
        <w:sz w:val="20"/>
      </w:rPr>
    </w:tblStylePr>
  </w:style>
  <w:style w:type="table" w:customStyle="1" w:styleId="CompassTable4">
    <w:name w:val="Compass Table4"/>
    <w:basedOn w:val="TableGrid"/>
    <w:uiPriority w:val="99"/>
    <w:rsid w:val="00A315D3"/>
    <w:rPr>
      <w:sz w:val="22"/>
      <w:szCs w:val="22"/>
      <w:lang w:val="en-US"/>
    </w:rPr>
    <w:tblPr>
      <w:tblStyleRowBandSize w:val="1"/>
      <w:tblBorders>
        <w:top w:val="single" w:sz="4" w:space="0" w:color="3379BD"/>
        <w:left w:val="single" w:sz="4" w:space="0" w:color="3379BD"/>
        <w:bottom w:val="single" w:sz="4" w:space="0" w:color="3379BD"/>
        <w:right w:val="single" w:sz="4" w:space="0" w:color="3379BD"/>
        <w:insideH w:val="single" w:sz="4" w:space="0" w:color="3379BD"/>
        <w:insideV w:val="single" w:sz="4" w:space="0" w:color="3379BD"/>
      </w:tblBorders>
      <w:tblCellMar>
        <w:top w:w="0" w:type="dxa"/>
        <w:left w:w="108" w:type="dxa"/>
        <w:bottom w:w="0" w:type="dxa"/>
        <w:right w:w="108" w:type="dxa"/>
      </w:tblCellMar>
    </w:tblPr>
    <w:tcPr>
      <w:vAlign w:val="center"/>
    </w:tcPr>
    <w:tblStylePr w:type="firstRow">
      <w:rPr>
        <w:rFonts w:ascii="Calibri" w:hAnsi="Calibri"/>
        <w:b/>
        <w:color w:val="FFFFFF"/>
        <w:sz w:val="22"/>
      </w:rPr>
      <w:tblPr/>
      <w:trPr>
        <w:cantSplit/>
        <w:tblHeader/>
      </w:trPr>
      <w:tcPr>
        <w:shd w:val="clear" w:color="auto" w:fill="233972"/>
      </w:tcPr>
    </w:tblStylePr>
    <w:tblStylePr w:type="lastRow">
      <w:rPr>
        <w:rFonts w:ascii="Calibri" w:hAnsi="Calibri"/>
        <w:color w:val="000000"/>
        <w:sz w:val="20"/>
      </w:rPr>
    </w:tblStylePr>
    <w:tblStylePr w:type="band1Horz">
      <w:rPr>
        <w:rFonts w:ascii="Calibri" w:hAnsi="Calibri"/>
        <w:color w:val="000000"/>
        <w:sz w:val="20"/>
      </w:rPr>
      <w:tblPr/>
      <w:tcPr>
        <w:tcBorders>
          <w:top w:val="single" w:sz="4" w:space="0" w:color="3379BD"/>
          <w:left w:val="single" w:sz="4" w:space="0" w:color="3379BD"/>
          <w:bottom w:val="single" w:sz="4" w:space="0" w:color="3379BD"/>
          <w:right w:val="single" w:sz="4" w:space="0" w:color="3379BD"/>
          <w:insideH w:val="single" w:sz="4" w:space="0" w:color="3379BD"/>
          <w:insideV w:val="single" w:sz="4" w:space="0" w:color="3379BD"/>
        </w:tcBorders>
        <w:shd w:val="clear" w:color="auto" w:fill="DFE3E5"/>
      </w:tcPr>
    </w:tblStylePr>
    <w:tblStylePr w:type="band2Horz">
      <w:rPr>
        <w:rFonts w:ascii="Calibri" w:hAnsi="Calibri"/>
        <w:color w:val="000000"/>
        <w:sz w:val="20"/>
      </w:rPr>
    </w:tblStylePr>
  </w:style>
  <w:style w:type="table" w:customStyle="1" w:styleId="CompassTable5">
    <w:name w:val="Compass Table5"/>
    <w:basedOn w:val="TableGrid"/>
    <w:uiPriority w:val="99"/>
    <w:rsid w:val="00A315D3"/>
    <w:rPr>
      <w:sz w:val="22"/>
      <w:szCs w:val="22"/>
      <w:lang w:val="en-US"/>
    </w:rPr>
    <w:tblPr>
      <w:tblStyleRowBandSize w:val="1"/>
      <w:tblBorders>
        <w:top w:val="single" w:sz="4" w:space="0" w:color="3379BD"/>
        <w:left w:val="single" w:sz="4" w:space="0" w:color="3379BD"/>
        <w:bottom w:val="single" w:sz="4" w:space="0" w:color="3379BD"/>
        <w:right w:val="single" w:sz="4" w:space="0" w:color="3379BD"/>
        <w:insideH w:val="single" w:sz="4" w:space="0" w:color="3379BD"/>
        <w:insideV w:val="single" w:sz="4" w:space="0" w:color="3379BD"/>
      </w:tblBorders>
      <w:tblCellMar>
        <w:top w:w="0" w:type="dxa"/>
        <w:left w:w="108" w:type="dxa"/>
        <w:bottom w:w="0" w:type="dxa"/>
        <w:right w:w="108" w:type="dxa"/>
      </w:tblCellMar>
    </w:tblPr>
    <w:tcPr>
      <w:vAlign w:val="center"/>
    </w:tcPr>
    <w:tblStylePr w:type="firstRow">
      <w:rPr>
        <w:rFonts w:ascii="Calibri" w:hAnsi="Calibri"/>
        <w:b/>
        <w:color w:val="FFFFFF"/>
        <w:sz w:val="22"/>
      </w:rPr>
      <w:tblPr/>
      <w:trPr>
        <w:cantSplit/>
        <w:tblHeader/>
      </w:trPr>
      <w:tcPr>
        <w:shd w:val="clear" w:color="auto" w:fill="233972"/>
      </w:tcPr>
    </w:tblStylePr>
    <w:tblStylePr w:type="lastRow">
      <w:rPr>
        <w:rFonts w:ascii="Calibri" w:hAnsi="Calibri"/>
        <w:color w:val="000000"/>
        <w:sz w:val="20"/>
      </w:rPr>
    </w:tblStylePr>
    <w:tblStylePr w:type="band1Horz">
      <w:rPr>
        <w:rFonts w:ascii="Calibri" w:hAnsi="Calibri"/>
        <w:color w:val="000000"/>
        <w:sz w:val="20"/>
      </w:rPr>
      <w:tblPr/>
      <w:tcPr>
        <w:tcBorders>
          <w:top w:val="single" w:sz="4" w:space="0" w:color="3379BD"/>
          <w:left w:val="single" w:sz="4" w:space="0" w:color="3379BD"/>
          <w:bottom w:val="single" w:sz="4" w:space="0" w:color="3379BD"/>
          <w:right w:val="single" w:sz="4" w:space="0" w:color="3379BD"/>
          <w:insideH w:val="single" w:sz="4" w:space="0" w:color="3379BD"/>
          <w:insideV w:val="single" w:sz="4" w:space="0" w:color="3379BD"/>
        </w:tcBorders>
        <w:shd w:val="clear" w:color="auto" w:fill="DFE3E5"/>
      </w:tcPr>
    </w:tblStylePr>
    <w:tblStylePr w:type="band2Horz">
      <w:rPr>
        <w:rFonts w:ascii="Calibri" w:hAnsi="Calibri"/>
        <w:color w:val="000000"/>
        <w:sz w:val="20"/>
      </w:rPr>
    </w:tblStylePr>
  </w:style>
  <w:style w:type="paragraph" w:styleId="Revision">
    <w:name w:val="Revision"/>
    <w:hidden/>
    <w:uiPriority w:val="99"/>
    <w:semiHidden/>
    <w:rsid w:val="00E54194"/>
    <w:rPr>
      <w:kern w:val="18"/>
      <w:lang w:val="en-US"/>
    </w:rPr>
  </w:style>
  <w:style w:type="paragraph" w:customStyle="1" w:styleId="3TableText">
    <w:name w:val="3 Table Text"/>
    <w:basedOn w:val="Normal"/>
    <w:rsid w:val="005269D3"/>
    <w:pPr>
      <w:tabs>
        <w:tab w:val="clear" w:pos="284"/>
      </w:tabs>
      <w:spacing w:before="20" w:after="20" w:line="240" w:lineRule="auto"/>
    </w:pPr>
    <w:rPr>
      <w:rFonts w:eastAsia="Times New Roman"/>
      <w:kern w:val="0"/>
      <w:sz w:val="20"/>
      <w:szCs w:val="24"/>
    </w:rPr>
  </w:style>
  <w:style w:type="paragraph" w:customStyle="1" w:styleId="3TableHeading">
    <w:name w:val="3 Table Heading"/>
    <w:basedOn w:val="3TableText"/>
    <w:rsid w:val="005269D3"/>
    <w:pPr>
      <w:spacing w:before="60" w:after="60"/>
      <w:jc w:val="center"/>
    </w:pPr>
    <w:rPr>
      <w:b/>
      <w:color w:val="FFFFFF"/>
    </w:rPr>
  </w:style>
  <w:style w:type="table" w:customStyle="1" w:styleId="FEMATable">
    <w:name w:val="FEMA Table"/>
    <w:basedOn w:val="TableNormal"/>
    <w:uiPriority w:val="99"/>
    <w:rsid w:val="0023430C"/>
    <w:rPr>
      <w:sz w:val="20"/>
      <w:szCs w:val="22"/>
      <w:lang w:val="en-US"/>
    </w:rPr>
    <w:tblPr>
      <w:tblStyleRowBandSize w:val="1"/>
      <w:tblBorders>
        <w:top w:val="single" w:sz="4" w:space="0" w:color="3381BD"/>
        <w:left w:val="single" w:sz="4" w:space="0" w:color="3381BD"/>
        <w:bottom w:val="single" w:sz="4" w:space="0" w:color="3381BD"/>
        <w:right w:val="single" w:sz="4" w:space="0" w:color="3381BD"/>
        <w:insideH w:val="single" w:sz="4" w:space="0" w:color="3381BD"/>
        <w:insideV w:val="single" w:sz="4" w:space="0" w:color="3381BD"/>
      </w:tblBorders>
    </w:tblPr>
    <w:tcPr>
      <w:shd w:val="clear" w:color="auto" w:fill="auto"/>
    </w:tcPr>
    <w:tblStylePr w:type="firstRow">
      <w:pPr>
        <w:jc w:val="center"/>
      </w:pPr>
      <w:rPr>
        <w:rFonts w:ascii="Calibri" w:hAnsi="Calibri"/>
        <w:b/>
        <w:sz w:val="20"/>
      </w:rPr>
      <w:tblPr/>
      <w:tcPr>
        <w:shd w:val="clear" w:color="auto" w:fill="233972"/>
        <w:vAlign w:val="bottom"/>
      </w:tcPr>
    </w:tblStylePr>
    <w:tblStylePr w:type="band1Horz">
      <w:tblPr/>
      <w:tcPr>
        <w:shd w:val="clear" w:color="auto" w:fill="E9F2F9"/>
      </w:tcPr>
    </w:tblStylePr>
  </w:style>
  <w:style w:type="paragraph" w:customStyle="1" w:styleId="3TextBoxBullets">
    <w:name w:val="3 TextBox Bullets"/>
    <w:basedOn w:val="Normal"/>
    <w:rsid w:val="006B4EA6"/>
    <w:pPr>
      <w:numPr>
        <w:numId w:val="29"/>
      </w:numPr>
      <w:tabs>
        <w:tab w:val="clear" w:pos="284"/>
        <w:tab w:val="left" w:pos="216"/>
      </w:tabs>
      <w:spacing w:after="100" w:line="240" w:lineRule="auto"/>
      <w:ind w:left="216" w:hanging="216"/>
      <w:contextualSpacing/>
    </w:pPr>
    <w:rPr>
      <w:rFonts w:eastAsia="Times New Roman"/>
      <w:kern w:val="0"/>
      <w:sz w:val="20"/>
      <w:szCs w:val="24"/>
    </w:rPr>
  </w:style>
  <w:style w:type="character" w:customStyle="1" w:styleId="UnresolvedMention1">
    <w:name w:val="Unresolved Mention1"/>
    <w:basedOn w:val="DefaultParagraphFont"/>
    <w:uiPriority w:val="99"/>
    <w:semiHidden/>
    <w:unhideWhenUsed/>
    <w:rsid w:val="000E392F"/>
    <w:rPr>
      <w:color w:val="605E5C"/>
      <w:shd w:val="clear" w:color="auto" w:fill="E1DFDD"/>
    </w:rPr>
  </w:style>
  <w:style w:type="paragraph" w:customStyle="1" w:styleId="2SubheadingLevel2">
    <w:name w:val="2 Subheading Level 2"/>
    <w:basedOn w:val="Normal"/>
    <w:next w:val="2Body-Text"/>
    <w:qFormat/>
    <w:rsid w:val="00901BD9"/>
    <w:pPr>
      <w:tabs>
        <w:tab w:val="clear" w:pos="284"/>
      </w:tabs>
      <w:spacing w:before="200" w:after="200" w:line="240" w:lineRule="auto"/>
    </w:pPr>
    <w:rPr>
      <w:rFonts w:asciiTheme="majorHAnsi" w:eastAsia="Times New Roman" w:hAnsiTheme="majorHAnsi" w:cs="Times New Roman"/>
      <w:b/>
      <w:caps/>
      <w:color w:val="F68B1F" w:themeColor="accent3"/>
      <w:kern w:val="0"/>
      <w:sz w:val="22"/>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18"/>
        <w:szCs w:val="18"/>
        <w:lang w:val="en-GB" w:eastAsia="en-US" w:bidi="ar-SA"/>
      </w:rPr>
    </w:rPrDefault>
    <w:pPrDefault/>
  </w:docDefaults>
  <w:latentStyles w:defLockedState="0" w:defUIPriority="99" w:defSemiHidden="1" w:defUnhideWhenUsed="1" w:defQFormat="0" w:count="267">
    <w:lsdException w:name="Normal" w:semiHidden="0" w:uiPriority="1" w:unhideWhenUsed="0" w:qFormat="1"/>
    <w:lsdException w:name="heading 1" w:semiHidden="0" w:uiPriority="0" w:unhideWhenUsed="0" w:qFormat="1"/>
    <w:lsdException w:name="heading 2" w:uiPriority="0" w:unhideWhenUsed="0" w:qFormat="1"/>
    <w:lsdException w:name="heading 3" w:uiPriority="5" w:unhideWhenUsed="0" w:qFormat="1"/>
    <w:lsdException w:name="heading 4" w:uiPriority="6" w:unhideWhenUsed="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unhideWhenUsed="0" w:qFormat="1"/>
    <w:lsdException w:name="List Bullet" w:uiPriority="9" w:unhideWhenUsed="0" w:qFormat="1"/>
    <w:lsdException w:name="List Number" w:uiPriority="11" w:unhideWhenUsed="0" w:qFormat="1"/>
    <w:lsdException w:name="List Bullet 2" w:uiPriority="10" w:unhideWhenUsed="0" w:qFormat="1"/>
    <w:lsdException w:name="List Bullet 3" w:uiPriority="11" w:unhideWhenUsed="0" w:qFormat="1"/>
    <w:lsdException w:name="List Number 2" w:uiPriority="12" w:unhideWhenUsed="0" w:qFormat="1"/>
    <w:lsdException w:name="List Number 3" w:uiPriority="13" w:unhideWhenUsed="0" w:qFormat="1"/>
    <w:lsdException w:name="Title" w:semiHidden="0" w:uiPriority="10" w:unhideWhenUsed="0"/>
    <w:lsdException w:name="Default Paragraph Font" w:uiPriority="1"/>
    <w:lsdException w:name="Body Text" w:semiHidden="0" w:uiPriority="0" w:unhideWhenUsed="0" w:qFormat="1"/>
    <w:lsdException w:name="Subtitle" w:semiHidden="0" w:uiPriority="11" w:unhideWhenUsed="0"/>
    <w:lsdException w:name="Hyperlink" w:uiPriority="27" w:unhideWhenUsed="0" w:qFormat="1"/>
    <w:lsdException w:name="FollowedHyperlink" w:uiPriority="28" w:unhideWhenUsed="0" w:qFormat="1"/>
    <w:lsdException w:name="Strong" w:semiHidden="0" w:uiPriority="22" w:unhideWhenUsed="0"/>
    <w:lsdException w:name="Emphasis" w:semiHidden="0" w:uiPriority="20" w:unhideWhenUsed="0"/>
    <w:lsdException w:name="Table Grid" w:uiPriority="0"/>
    <w:lsdException w:name="No Spacing" w:uiPriority="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lsdException w:name="Quote" w:semiHidden="0" w:uiPriority="22" w:unhideWhenUsed="0" w:qFormat="1"/>
    <w:lsdException w:name="Intense Quote" w:semiHidden="0" w:uiPriority="3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lsdException w:name="Intense Emphasis" w:semiHidden="0" w:uiPriority="21" w:unhideWhenUsed="0"/>
    <w:lsdException w:name="Subtle Reference" w:semiHidden="0" w:uiPriority="31" w:unhideWhenUsed="0"/>
    <w:lsdException w:name="Intense Reference" w:semiHidden="0" w:uiPriority="32"/>
    <w:lsdException w:name="Book Title" w:semiHidden="0" w:uiPriority="33"/>
    <w:lsdException w:name="Bibliography" w:uiPriority="37"/>
    <w:lsdException w:name="TOC Heading" w:uiPriority="39"/>
  </w:latentStyles>
  <w:style w:type="paragraph" w:default="1" w:styleId="Normal">
    <w:name w:val="Normal"/>
    <w:uiPriority w:val="1"/>
    <w:qFormat/>
    <w:rsid w:val="00B55307"/>
    <w:pPr>
      <w:tabs>
        <w:tab w:val="left" w:pos="284"/>
      </w:tabs>
      <w:spacing w:line="240" w:lineRule="atLeast"/>
    </w:pPr>
    <w:rPr>
      <w:kern w:val="18"/>
      <w:lang w:val="en-US"/>
    </w:rPr>
  </w:style>
  <w:style w:type="paragraph" w:styleId="Heading1">
    <w:name w:val="heading 1"/>
    <w:basedOn w:val="Normal"/>
    <w:next w:val="BodyText"/>
    <w:link w:val="Heading1Char"/>
    <w:autoRedefine/>
    <w:qFormat/>
    <w:rsid w:val="00CA2219"/>
    <w:pPr>
      <w:keepNext/>
      <w:keepLines/>
      <w:tabs>
        <w:tab w:val="clear" w:pos="284"/>
      </w:tabs>
      <w:spacing w:before="360" w:after="120" w:line="240" w:lineRule="auto"/>
      <w:ind w:left="567" w:hanging="567"/>
      <w:outlineLvl w:val="0"/>
    </w:pPr>
    <w:rPr>
      <w:rFonts w:asciiTheme="majorHAnsi" w:eastAsiaTheme="majorEastAsia" w:hAnsiTheme="majorHAnsi" w:cstheme="majorBidi"/>
      <w:b/>
      <w:bCs/>
      <w:color w:val="00B5E2" w:themeColor="accent1"/>
      <w:sz w:val="32"/>
      <w:szCs w:val="28"/>
    </w:rPr>
  </w:style>
  <w:style w:type="paragraph" w:styleId="Heading2">
    <w:name w:val="heading 2"/>
    <w:basedOn w:val="Numberedtext"/>
    <w:next w:val="Numberedtext"/>
    <w:link w:val="Heading2Char"/>
    <w:qFormat/>
    <w:rsid w:val="00265A9E"/>
    <w:pPr>
      <w:outlineLvl w:val="1"/>
    </w:pPr>
  </w:style>
  <w:style w:type="paragraph" w:styleId="Heading3">
    <w:name w:val="heading 3"/>
    <w:basedOn w:val="Numberedtext"/>
    <w:next w:val="BodyText"/>
    <w:link w:val="Heading3Char"/>
    <w:uiPriority w:val="5"/>
    <w:qFormat/>
    <w:rsid w:val="00265A9E"/>
    <w:pPr>
      <w:numPr>
        <w:ilvl w:val="2"/>
      </w:numPr>
      <w:outlineLvl w:val="2"/>
    </w:pPr>
  </w:style>
  <w:style w:type="paragraph" w:styleId="Heading4">
    <w:name w:val="heading 4"/>
    <w:basedOn w:val="Heading3"/>
    <w:next w:val="BodyText"/>
    <w:link w:val="Heading4Char"/>
    <w:uiPriority w:val="6"/>
    <w:qFormat/>
    <w:rsid w:val="00E413BF"/>
    <w:pPr>
      <w:numPr>
        <w:ilvl w:val="3"/>
      </w:numPr>
      <w:outlineLvl w:val="3"/>
    </w:pPr>
  </w:style>
  <w:style w:type="paragraph" w:styleId="Heading5">
    <w:name w:val="heading 5"/>
    <w:basedOn w:val="Normal"/>
    <w:next w:val="BodyText"/>
    <w:link w:val="Heading5Char"/>
    <w:unhideWhenUsed/>
    <w:qFormat/>
    <w:rsid w:val="002770A0"/>
    <w:pPr>
      <w:keepNext/>
      <w:keepLines/>
      <w:spacing w:before="120"/>
      <w:outlineLvl w:val="4"/>
    </w:pPr>
    <w:rPr>
      <w:rFonts w:asciiTheme="majorHAnsi" w:eastAsiaTheme="majorEastAsia" w:hAnsiTheme="majorHAnsi" w:cstheme="majorBidi"/>
      <w:b/>
      <w:color w:val="00B5E2" w:themeColor="accent1"/>
    </w:rPr>
  </w:style>
  <w:style w:type="paragraph" w:styleId="Heading6">
    <w:name w:val="heading 6"/>
    <w:basedOn w:val="Normal"/>
    <w:next w:val="Normal"/>
    <w:link w:val="Heading6Char"/>
    <w:semiHidden/>
    <w:unhideWhenUsed/>
    <w:qFormat/>
    <w:rsid w:val="00582989"/>
    <w:pPr>
      <w:keepNext/>
      <w:keepLines/>
      <w:spacing w:before="200"/>
      <w:outlineLvl w:val="5"/>
    </w:pPr>
    <w:rPr>
      <w:rFonts w:asciiTheme="majorHAnsi" w:eastAsiaTheme="majorEastAsia" w:hAnsiTheme="majorHAnsi" w:cstheme="majorBidi"/>
      <w:i/>
      <w:iCs/>
      <w:color w:val="005970" w:themeColor="accent1" w:themeShade="7F"/>
    </w:rPr>
  </w:style>
  <w:style w:type="paragraph" w:styleId="Heading7">
    <w:name w:val="heading 7"/>
    <w:basedOn w:val="Normal"/>
    <w:next w:val="Normal"/>
    <w:link w:val="Heading7Char"/>
    <w:semiHidden/>
    <w:unhideWhenUsed/>
    <w:qFormat/>
    <w:rsid w:val="00582989"/>
    <w:pPr>
      <w:keepNext/>
      <w:keepLines/>
      <w:spacing w:before="20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semiHidden/>
    <w:unhideWhenUsed/>
    <w:qFormat/>
    <w:rsid w:val="00582989"/>
    <w:pPr>
      <w:keepNext/>
      <w:keepLines/>
      <w:spacing w:before="200"/>
      <w:outlineLvl w:val="7"/>
    </w:pPr>
    <w:rPr>
      <w:rFonts w:asciiTheme="majorHAnsi" w:eastAsiaTheme="majorEastAsia" w:hAnsiTheme="majorHAnsi" w:cstheme="majorBidi"/>
      <w:color w:val="404040" w:themeColor="text1" w:themeTint="BF"/>
      <w:sz w:val="20"/>
      <w:szCs w:val="20"/>
    </w:rPr>
  </w:style>
  <w:style w:type="paragraph" w:styleId="Heading9">
    <w:name w:val="heading 9"/>
    <w:basedOn w:val="Normal"/>
    <w:next w:val="Normal"/>
    <w:link w:val="Heading9Char"/>
    <w:unhideWhenUsed/>
    <w:qFormat/>
    <w:rsid w:val="00582989"/>
    <w:pPr>
      <w:keepNext/>
      <w:keepLines/>
      <w:spacing w:before="20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3"/>
    <w:rsid w:val="00CA2219"/>
    <w:rPr>
      <w:rFonts w:asciiTheme="majorHAnsi" w:eastAsiaTheme="majorEastAsia" w:hAnsiTheme="majorHAnsi" w:cstheme="majorBidi"/>
      <w:b/>
      <w:bCs/>
      <w:color w:val="00B5E2" w:themeColor="accent1"/>
      <w:kern w:val="18"/>
      <w:sz w:val="32"/>
      <w:szCs w:val="28"/>
      <w:lang w:val="en-US"/>
    </w:rPr>
  </w:style>
  <w:style w:type="character" w:customStyle="1" w:styleId="Heading2Char">
    <w:name w:val="Heading 2 Char"/>
    <w:basedOn w:val="DefaultParagraphFont"/>
    <w:link w:val="Heading2"/>
    <w:uiPriority w:val="4"/>
    <w:rsid w:val="00265A9E"/>
    <w:rPr>
      <w:b/>
      <w:color w:val="00B5E2" w:themeColor="accent1"/>
      <w:kern w:val="18"/>
      <w:sz w:val="24"/>
      <w:lang w:val="en-US"/>
    </w:rPr>
  </w:style>
  <w:style w:type="character" w:customStyle="1" w:styleId="Heading3Char">
    <w:name w:val="Heading 3 Char"/>
    <w:basedOn w:val="DefaultParagraphFont"/>
    <w:link w:val="Heading3"/>
    <w:uiPriority w:val="5"/>
    <w:rsid w:val="00265A9E"/>
    <w:rPr>
      <w:b/>
      <w:color w:val="00B5E2" w:themeColor="accent1"/>
      <w:kern w:val="18"/>
      <w:sz w:val="24"/>
      <w:lang w:val="en-US"/>
    </w:rPr>
  </w:style>
  <w:style w:type="paragraph" w:styleId="ListNumber">
    <w:name w:val="List Number"/>
    <w:basedOn w:val="Normal"/>
    <w:uiPriority w:val="11"/>
    <w:qFormat/>
    <w:rsid w:val="00790710"/>
    <w:pPr>
      <w:numPr>
        <w:numId w:val="15"/>
      </w:numPr>
      <w:tabs>
        <w:tab w:val="clear" w:pos="284"/>
      </w:tabs>
      <w:spacing w:after="120"/>
    </w:pPr>
  </w:style>
  <w:style w:type="paragraph" w:styleId="ListNumber2">
    <w:name w:val="List Number 2"/>
    <w:basedOn w:val="Normal"/>
    <w:uiPriority w:val="12"/>
    <w:qFormat/>
    <w:rsid w:val="00790710"/>
    <w:pPr>
      <w:numPr>
        <w:ilvl w:val="1"/>
        <w:numId w:val="15"/>
      </w:numPr>
      <w:tabs>
        <w:tab w:val="clear" w:pos="284"/>
      </w:tabs>
      <w:spacing w:after="120"/>
    </w:pPr>
  </w:style>
  <w:style w:type="paragraph" w:styleId="ListNumber3">
    <w:name w:val="List Number 3"/>
    <w:basedOn w:val="Normal"/>
    <w:uiPriority w:val="13"/>
    <w:qFormat/>
    <w:rsid w:val="00790710"/>
    <w:pPr>
      <w:numPr>
        <w:ilvl w:val="2"/>
        <w:numId w:val="15"/>
      </w:numPr>
      <w:tabs>
        <w:tab w:val="clear" w:pos="284"/>
      </w:tabs>
      <w:spacing w:after="120"/>
    </w:pPr>
  </w:style>
  <w:style w:type="paragraph" w:styleId="ListBullet">
    <w:name w:val="List Bullet"/>
    <w:basedOn w:val="Normal"/>
    <w:uiPriority w:val="9"/>
    <w:qFormat/>
    <w:rsid w:val="00790710"/>
    <w:pPr>
      <w:numPr>
        <w:numId w:val="14"/>
      </w:numPr>
      <w:tabs>
        <w:tab w:val="clear" w:pos="284"/>
      </w:tabs>
      <w:spacing w:after="120"/>
    </w:pPr>
  </w:style>
  <w:style w:type="paragraph" w:styleId="ListBullet2">
    <w:name w:val="List Bullet 2"/>
    <w:basedOn w:val="Normal"/>
    <w:uiPriority w:val="10"/>
    <w:qFormat/>
    <w:rsid w:val="00790710"/>
    <w:pPr>
      <w:numPr>
        <w:ilvl w:val="1"/>
        <w:numId w:val="14"/>
      </w:numPr>
      <w:tabs>
        <w:tab w:val="clear" w:pos="284"/>
      </w:tabs>
      <w:spacing w:after="120"/>
    </w:pPr>
  </w:style>
  <w:style w:type="paragraph" w:styleId="ListBullet3">
    <w:name w:val="List Bullet 3"/>
    <w:basedOn w:val="Normal"/>
    <w:uiPriority w:val="11"/>
    <w:qFormat/>
    <w:rsid w:val="00790710"/>
    <w:pPr>
      <w:numPr>
        <w:ilvl w:val="2"/>
        <w:numId w:val="14"/>
      </w:numPr>
      <w:tabs>
        <w:tab w:val="clear" w:pos="284"/>
      </w:tabs>
      <w:spacing w:after="120"/>
    </w:pPr>
  </w:style>
  <w:style w:type="character" w:customStyle="1" w:styleId="Heading4Char">
    <w:name w:val="Heading 4 Char"/>
    <w:basedOn w:val="DefaultParagraphFont"/>
    <w:link w:val="Heading4"/>
    <w:uiPriority w:val="6"/>
    <w:rsid w:val="00E413BF"/>
    <w:rPr>
      <w:b/>
      <w:color w:val="00B5E2" w:themeColor="accent1"/>
      <w:kern w:val="18"/>
      <w:sz w:val="24"/>
      <w:lang w:val="en-US"/>
    </w:rPr>
  </w:style>
  <w:style w:type="numbering" w:customStyle="1" w:styleId="AECOMBullets">
    <w:name w:val="AECOM_Bullets"/>
    <w:basedOn w:val="NoList"/>
    <w:uiPriority w:val="99"/>
    <w:semiHidden/>
    <w:unhideWhenUsed/>
    <w:rsid w:val="00C86409"/>
    <w:pPr>
      <w:numPr>
        <w:numId w:val="1"/>
      </w:numPr>
    </w:pPr>
  </w:style>
  <w:style w:type="character" w:customStyle="1" w:styleId="Heading5Char">
    <w:name w:val="Heading 5 Char"/>
    <w:basedOn w:val="DefaultParagraphFont"/>
    <w:link w:val="Heading5"/>
    <w:uiPriority w:val="9"/>
    <w:rsid w:val="00F66A91"/>
    <w:rPr>
      <w:rFonts w:asciiTheme="majorHAnsi" w:eastAsiaTheme="majorEastAsia" w:hAnsiTheme="majorHAnsi" w:cstheme="majorBidi"/>
      <w:b/>
      <w:color w:val="00B5E2" w:themeColor="accent1"/>
      <w:kern w:val="18"/>
    </w:rPr>
  </w:style>
  <w:style w:type="paragraph" w:styleId="BodyText">
    <w:name w:val="Body Text"/>
    <w:basedOn w:val="Normal"/>
    <w:link w:val="BodyTextChar"/>
    <w:qFormat/>
    <w:rsid w:val="00BD7718"/>
    <w:pPr>
      <w:tabs>
        <w:tab w:val="clear" w:pos="284"/>
      </w:tabs>
      <w:spacing w:after="180"/>
    </w:pPr>
  </w:style>
  <w:style w:type="numbering" w:customStyle="1" w:styleId="AECOMList">
    <w:name w:val="AECOM_List"/>
    <w:basedOn w:val="NoList"/>
    <w:uiPriority w:val="99"/>
    <w:semiHidden/>
    <w:unhideWhenUsed/>
    <w:rsid w:val="00323654"/>
    <w:pPr>
      <w:numPr>
        <w:numId w:val="2"/>
      </w:numPr>
    </w:pPr>
  </w:style>
  <w:style w:type="character" w:customStyle="1" w:styleId="BodyTextChar">
    <w:name w:val="Body Text Char"/>
    <w:basedOn w:val="DefaultParagraphFont"/>
    <w:link w:val="BodyText"/>
    <w:rsid w:val="00BD7718"/>
    <w:rPr>
      <w:kern w:val="18"/>
    </w:rPr>
  </w:style>
  <w:style w:type="paragraph" w:customStyle="1" w:styleId="CoverTitle">
    <w:name w:val="Cover Title"/>
    <w:basedOn w:val="Normal"/>
    <w:next w:val="BodyText"/>
    <w:semiHidden/>
    <w:unhideWhenUsed/>
    <w:rsid w:val="00DD3356"/>
    <w:pPr>
      <w:spacing w:before="360" w:after="360" w:line="900" w:lineRule="atLeast"/>
    </w:pPr>
    <w:rPr>
      <w:rFonts w:asciiTheme="majorHAnsi" w:hAnsiTheme="majorHAnsi"/>
      <w:b/>
      <w:color w:val="00B5E2" w:themeColor="accent1"/>
      <w:sz w:val="80"/>
    </w:rPr>
  </w:style>
  <w:style w:type="paragraph" w:customStyle="1" w:styleId="SectionTitle">
    <w:name w:val="Section Title"/>
    <w:basedOn w:val="BodyText"/>
    <w:next w:val="BodyText"/>
    <w:semiHidden/>
    <w:unhideWhenUsed/>
    <w:rsid w:val="00D129FA"/>
    <w:pPr>
      <w:spacing w:before="360" w:after="360" w:line="660" w:lineRule="atLeast"/>
      <w:jc w:val="right"/>
    </w:pPr>
    <w:rPr>
      <w:rFonts w:asciiTheme="majorHAnsi" w:hAnsiTheme="majorHAnsi"/>
      <w:color w:val="FFFFFF" w:themeColor="background1"/>
      <w:sz w:val="60"/>
    </w:rPr>
  </w:style>
  <w:style w:type="paragraph" w:customStyle="1" w:styleId="DividerSectionNumber">
    <w:name w:val="Divider Section Number"/>
    <w:basedOn w:val="BodyText"/>
    <w:next w:val="BodyText"/>
    <w:semiHidden/>
    <w:unhideWhenUsed/>
    <w:rsid w:val="00B55307"/>
    <w:pPr>
      <w:spacing w:before="360" w:after="360" w:line="2400" w:lineRule="atLeast"/>
      <w:jc w:val="right"/>
    </w:pPr>
    <w:rPr>
      <w:rFonts w:asciiTheme="majorHAnsi" w:hAnsiTheme="majorHAnsi"/>
      <w:color w:val="FFFFFF" w:themeColor="background1"/>
      <w:sz w:val="200"/>
    </w:rPr>
  </w:style>
  <w:style w:type="paragraph" w:customStyle="1" w:styleId="DividerSectionNumberSmall">
    <w:name w:val="Divider Section Number (Small)"/>
    <w:basedOn w:val="Normal"/>
    <w:next w:val="BodyText"/>
    <w:semiHidden/>
    <w:unhideWhenUsed/>
    <w:rsid w:val="00DD3356"/>
    <w:pPr>
      <w:spacing w:before="360" w:after="360" w:line="1440" w:lineRule="atLeast"/>
      <w:jc w:val="right"/>
    </w:pPr>
    <w:rPr>
      <w:rFonts w:asciiTheme="majorHAnsi" w:hAnsiTheme="majorHAnsi"/>
      <w:b/>
      <w:color w:val="00B5E2" w:themeColor="accent1"/>
      <w:sz w:val="120"/>
    </w:rPr>
  </w:style>
  <w:style w:type="table" w:styleId="TableGrid">
    <w:name w:val="Table Grid"/>
    <w:basedOn w:val="TableNormal"/>
    <w:unhideWhenUsed/>
    <w:rsid w:val="00364FD7"/>
    <w:rPr>
      <w:sz w:val="16"/>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57" w:type="dxa"/>
        <w:bottom w:w="28" w:type="dxa"/>
        <w:right w:w="57" w:type="dxa"/>
      </w:tblCellMar>
    </w:tblPr>
    <w:tblStylePr w:type="firstRow">
      <w:rPr>
        <w:rFonts w:asciiTheme="majorHAnsi" w:hAnsiTheme="majorHAnsi"/>
        <w:b w:val="0"/>
      </w:rPr>
    </w:tblStylePr>
  </w:style>
  <w:style w:type="table" w:customStyle="1" w:styleId="AECOMtable">
    <w:name w:val="AECOM table"/>
    <w:basedOn w:val="TableNormal"/>
    <w:uiPriority w:val="99"/>
    <w:semiHidden/>
    <w:unhideWhenUsed/>
    <w:rsid w:val="00A315D3"/>
    <w:rPr>
      <w:sz w:val="16"/>
    </w:rPr>
    <w:tblPr>
      <w:tblBorders>
        <w:insideH w:val="single" w:sz="4" w:space="0" w:color="auto"/>
      </w:tblBorders>
      <w:tblCellMar>
        <w:top w:w="28" w:type="dxa"/>
        <w:left w:w="0" w:type="dxa"/>
        <w:bottom w:w="28" w:type="dxa"/>
        <w:right w:w="113" w:type="dxa"/>
      </w:tblCellMar>
    </w:tblPr>
    <w:tblStylePr w:type="firstRow">
      <w:rPr>
        <w:rFonts w:asciiTheme="majorHAnsi" w:hAnsiTheme="majorHAnsi"/>
        <w:b/>
        <w:color w:val="00B5E2" w:themeColor="accent1"/>
        <w:sz w:val="16"/>
      </w:rPr>
      <w:tblPr/>
      <w:tcPr>
        <w:tcBorders>
          <w:top w:val="nil"/>
          <w:left w:val="nil"/>
          <w:bottom w:val="single" w:sz="12" w:space="0" w:color="00B5E2" w:themeColor="accent1"/>
          <w:right w:val="nil"/>
          <w:insideH w:val="nil"/>
          <w:insideV w:val="nil"/>
          <w:tl2br w:val="nil"/>
          <w:tr2bl w:val="nil"/>
        </w:tcBorders>
      </w:tcPr>
    </w:tblStylePr>
  </w:style>
  <w:style w:type="paragraph" w:styleId="Caption">
    <w:name w:val="caption"/>
    <w:basedOn w:val="Normal"/>
    <w:next w:val="BodyText"/>
    <w:uiPriority w:val="35"/>
    <w:qFormat/>
    <w:rsid w:val="005756F4"/>
    <w:pPr>
      <w:keepNext/>
      <w:spacing w:after="120"/>
    </w:pPr>
    <w:rPr>
      <w:rFonts w:asciiTheme="majorHAnsi" w:hAnsiTheme="majorHAnsi"/>
      <w:b/>
      <w:bCs/>
      <w:color w:val="00B5E2" w:themeColor="accent1"/>
    </w:rPr>
  </w:style>
  <w:style w:type="paragraph" w:customStyle="1" w:styleId="Source">
    <w:name w:val="Source"/>
    <w:basedOn w:val="Normal"/>
    <w:uiPriority w:val="26"/>
    <w:qFormat/>
    <w:rsid w:val="00F4332F"/>
    <w:pPr>
      <w:spacing w:after="120"/>
    </w:pPr>
    <w:rPr>
      <w:i/>
      <w:sz w:val="16"/>
    </w:rPr>
  </w:style>
  <w:style w:type="paragraph" w:styleId="FootnoteText">
    <w:name w:val="footnote text"/>
    <w:basedOn w:val="Normal"/>
    <w:link w:val="FootnoteTextChar"/>
    <w:uiPriority w:val="99"/>
    <w:semiHidden/>
    <w:unhideWhenUsed/>
    <w:rsid w:val="00253171"/>
    <w:pPr>
      <w:spacing w:line="240" w:lineRule="auto"/>
    </w:pPr>
    <w:rPr>
      <w:sz w:val="16"/>
      <w:szCs w:val="20"/>
    </w:rPr>
  </w:style>
  <w:style w:type="character" w:customStyle="1" w:styleId="FootnoteTextChar">
    <w:name w:val="Footnote Text Char"/>
    <w:basedOn w:val="DefaultParagraphFont"/>
    <w:link w:val="FootnoteText"/>
    <w:uiPriority w:val="99"/>
    <w:semiHidden/>
    <w:rsid w:val="00F66A91"/>
    <w:rPr>
      <w:kern w:val="18"/>
      <w:sz w:val="16"/>
      <w:szCs w:val="20"/>
    </w:rPr>
  </w:style>
  <w:style w:type="character" w:styleId="FootnoteReference">
    <w:name w:val="footnote reference"/>
    <w:basedOn w:val="DefaultParagraphFont"/>
    <w:uiPriority w:val="99"/>
    <w:semiHidden/>
    <w:unhideWhenUsed/>
    <w:rsid w:val="00F27E4A"/>
    <w:rPr>
      <w:rFonts w:asciiTheme="majorHAnsi" w:hAnsiTheme="majorHAnsi"/>
      <w:color w:val="auto"/>
      <w:vertAlign w:val="superscript"/>
    </w:rPr>
  </w:style>
  <w:style w:type="paragraph" w:customStyle="1" w:styleId="Appendix">
    <w:name w:val="Appendix"/>
    <w:basedOn w:val="Heading1"/>
    <w:next w:val="BodyText"/>
    <w:uiPriority w:val="7"/>
    <w:qFormat/>
    <w:rsid w:val="006A3705"/>
    <w:pPr>
      <w:pageBreakBefore/>
      <w:numPr>
        <w:numId w:val="20"/>
      </w:numPr>
    </w:pPr>
  </w:style>
  <w:style w:type="character" w:styleId="Hyperlink">
    <w:name w:val="Hyperlink"/>
    <w:basedOn w:val="DefaultParagraphFont"/>
    <w:uiPriority w:val="27"/>
    <w:qFormat/>
    <w:rsid w:val="00F15F1A"/>
    <w:rPr>
      <w:color w:val="00B5E2" w:themeColor="accent1"/>
      <w:u w:val="single"/>
    </w:rPr>
  </w:style>
  <w:style w:type="character" w:styleId="FollowedHyperlink">
    <w:name w:val="FollowedHyperlink"/>
    <w:basedOn w:val="DefaultParagraphFont"/>
    <w:uiPriority w:val="28"/>
    <w:qFormat/>
    <w:rsid w:val="00F15F1A"/>
    <w:rPr>
      <w:color w:val="84BD00" w:themeColor="accent2"/>
      <w:u w:val="single"/>
    </w:rPr>
  </w:style>
  <w:style w:type="table" w:styleId="ColorfulGrid">
    <w:name w:val="Colorful Grid"/>
    <w:basedOn w:val="TableNormal"/>
    <w:uiPriority w:val="73"/>
    <w:semiHidden/>
    <w:unhideWhenUsed/>
    <w:rsid w:val="009E6ED7"/>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semiHidden/>
    <w:unhideWhenUsed/>
    <w:rsid w:val="009E6ED7"/>
    <w:rPr>
      <w:color w:val="000000" w:themeColor="text1"/>
    </w:rPr>
    <w:tblPr>
      <w:tblStyleRowBandSize w:val="1"/>
      <w:tblStyleColBandSize w:val="1"/>
      <w:tblBorders>
        <w:insideH w:val="single" w:sz="4" w:space="0" w:color="FFFFFF" w:themeColor="background1"/>
      </w:tblBorders>
    </w:tblPr>
    <w:tcPr>
      <w:shd w:val="clear" w:color="auto" w:fill="C6F3FF" w:themeFill="accent1" w:themeFillTint="33"/>
    </w:tcPr>
    <w:tblStylePr w:type="firstRow">
      <w:rPr>
        <w:b/>
        <w:bCs/>
      </w:rPr>
      <w:tblPr/>
      <w:tcPr>
        <w:shd w:val="clear" w:color="auto" w:fill="8DE8FF" w:themeFill="accent1" w:themeFillTint="66"/>
      </w:tcPr>
    </w:tblStylePr>
    <w:tblStylePr w:type="lastRow">
      <w:rPr>
        <w:b/>
        <w:bCs/>
        <w:color w:val="000000" w:themeColor="text1"/>
      </w:rPr>
      <w:tblPr/>
      <w:tcPr>
        <w:shd w:val="clear" w:color="auto" w:fill="8DE8FF" w:themeFill="accent1" w:themeFillTint="66"/>
      </w:tcPr>
    </w:tblStylePr>
    <w:tblStylePr w:type="firstCol">
      <w:rPr>
        <w:color w:val="FFFFFF" w:themeColor="background1"/>
      </w:rPr>
      <w:tblPr/>
      <w:tcPr>
        <w:shd w:val="clear" w:color="auto" w:fill="0087A9" w:themeFill="accent1" w:themeFillShade="BF"/>
      </w:tcPr>
    </w:tblStylePr>
    <w:tblStylePr w:type="lastCol">
      <w:rPr>
        <w:color w:val="FFFFFF" w:themeColor="background1"/>
      </w:rPr>
      <w:tblPr/>
      <w:tcPr>
        <w:shd w:val="clear" w:color="auto" w:fill="0087A9" w:themeFill="accent1" w:themeFillShade="BF"/>
      </w:tcPr>
    </w:tblStylePr>
    <w:tblStylePr w:type="band1Vert">
      <w:tblPr/>
      <w:tcPr>
        <w:shd w:val="clear" w:color="auto" w:fill="71E2FF" w:themeFill="accent1" w:themeFillTint="7F"/>
      </w:tcPr>
    </w:tblStylePr>
    <w:tblStylePr w:type="band1Horz">
      <w:tblPr/>
      <w:tcPr>
        <w:shd w:val="clear" w:color="auto" w:fill="71E2FF" w:themeFill="accent1" w:themeFillTint="7F"/>
      </w:tcPr>
    </w:tblStylePr>
  </w:style>
  <w:style w:type="table" w:styleId="ColorfulGrid-Accent2">
    <w:name w:val="Colorful Grid Accent 2"/>
    <w:basedOn w:val="TableNormal"/>
    <w:uiPriority w:val="73"/>
    <w:semiHidden/>
    <w:unhideWhenUsed/>
    <w:rsid w:val="009E6ED7"/>
    <w:rPr>
      <w:color w:val="000000" w:themeColor="text1"/>
    </w:rPr>
    <w:tblPr>
      <w:tblStyleRowBandSize w:val="1"/>
      <w:tblStyleColBandSize w:val="1"/>
      <w:tblBorders>
        <w:insideH w:val="single" w:sz="4" w:space="0" w:color="FFFFFF" w:themeColor="background1"/>
      </w:tblBorders>
    </w:tblPr>
    <w:tcPr>
      <w:shd w:val="clear" w:color="auto" w:fill="EBFFBE" w:themeFill="accent2" w:themeFillTint="33"/>
    </w:tcPr>
    <w:tblStylePr w:type="firstRow">
      <w:rPr>
        <w:b/>
        <w:bCs/>
      </w:rPr>
      <w:tblPr/>
      <w:tcPr>
        <w:shd w:val="clear" w:color="auto" w:fill="D8FF7E" w:themeFill="accent2" w:themeFillTint="66"/>
      </w:tcPr>
    </w:tblStylePr>
    <w:tblStylePr w:type="lastRow">
      <w:rPr>
        <w:b/>
        <w:bCs/>
        <w:color w:val="000000" w:themeColor="text1"/>
      </w:rPr>
      <w:tblPr/>
      <w:tcPr>
        <w:shd w:val="clear" w:color="auto" w:fill="D8FF7E" w:themeFill="accent2" w:themeFillTint="66"/>
      </w:tcPr>
    </w:tblStylePr>
    <w:tblStylePr w:type="firstCol">
      <w:rPr>
        <w:color w:val="FFFFFF" w:themeColor="background1"/>
      </w:rPr>
      <w:tblPr/>
      <w:tcPr>
        <w:shd w:val="clear" w:color="auto" w:fill="628D00" w:themeFill="accent2" w:themeFillShade="BF"/>
      </w:tcPr>
    </w:tblStylePr>
    <w:tblStylePr w:type="lastCol">
      <w:rPr>
        <w:color w:val="FFFFFF" w:themeColor="background1"/>
      </w:rPr>
      <w:tblPr/>
      <w:tcPr>
        <w:shd w:val="clear" w:color="auto" w:fill="628D00" w:themeFill="accent2" w:themeFillShade="BF"/>
      </w:tcPr>
    </w:tblStylePr>
    <w:tblStylePr w:type="band1Vert">
      <w:tblPr/>
      <w:tcPr>
        <w:shd w:val="clear" w:color="auto" w:fill="CEFF5F" w:themeFill="accent2" w:themeFillTint="7F"/>
      </w:tcPr>
    </w:tblStylePr>
    <w:tblStylePr w:type="band1Horz">
      <w:tblPr/>
      <w:tcPr>
        <w:shd w:val="clear" w:color="auto" w:fill="CEFF5F" w:themeFill="accent2" w:themeFillTint="7F"/>
      </w:tcPr>
    </w:tblStylePr>
  </w:style>
  <w:style w:type="table" w:styleId="ColorfulGrid-Accent3">
    <w:name w:val="Colorful Grid Accent 3"/>
    <w:basedOn w:val="TableNormal"/>
    <w:uiPriority w:val="73"/>
    <w:semiHidden/>
    <w:unhideWhenUsed/>
    <w:rsid w:val="009E6ED7"/>
    <w:rPr>
      <w:color w:val="000000" w:themeColor="text1"/>
    </w:rPr>
    <w:tblPr>
      <w:tblStyleRowBandSize w:val="1"/>
      <w:tblStyleColBandSize w:val="1"/>
      <w:tblBorders>
        <w:insideH w:val="single" w:sz="4" w:space="0" w:color="FFFFFF" w:themeColor="background1"/>
      </w:tblBorders>
    </w:tblPr>
    <w:tcPr>
      <w:shd w:val="clear" w:color="auto" w:fill="FDE7D2" w:themeFill="accent3" w:themeFillTint="33"/>
    </w:tcPr>
    <w:tblStylePr w:type="firstRow">
      <w:rPr>
        <w:b/>
        <w:bCs/>
      </w:rPr>
      <w:tblPr/>
      <w:tcPr>
        <w:shd w:val="clear" w:color="auto" w:fill="FBD0A5" w:themeFill="accent3" w:themeFillTint="66"/>
      </w:tcPr>
    </w:tblStylePr>
    <w:tblStylePr w:type="lastRow">
      <w:rPr>
        <w:b/>
        <w:bCs/>
        <w:color w:val="000000" w:themeColor="text1"/>
      </w:rPr>
      <w:tblPr/>
      <w:tcPr>
        <w:shd w:val="clear" w:color="auto" w:fill="FBD0A5" w:themeFill="accent3" w:themeFillTint="66"/>
      </w:tcPr>
    </w:tblStylePr>
    <w:tblStylePr w:type="firstCol">
      <w:rPr>
        <w:color w:val="FFFFFF" w:themeColor="background1"/>
      </w:rPr>
      <w:tblPr/>
      <w:tcPr>
        <w:shd w:val="clear" w:color="auto" w:fill="C76808" w:themeFill="accent3" w:themeFillShade="BF"/>
      </w:tcPr>
    </w:tblStylePr>
    <w:tblStylePr w:type="lastCol">
      <w:rPr>
        <w:color w:val="FFFFFF" w:themeColor="background1"/>
      </w:rPr>
      <w:tblPr/>
      <w:tcPr>
        <w:shd w:val="clear" w:color="auto" w:fill="C76808" w:themeFill="accent3" w:themeFillShade="BF"/>
      </w:tcPr>
    </w:tblStylePr>
    <w:tblStylePr w:type="band1Vert">
      <w:tblPr/>
      <w:tcPr>
        <w:shd w:val="clear" w:color="auto" w:fill="FAC58F" w:themeFill="accent3" w:themeFillTint="7F"/>
      </w:tcPr>
    </w:tblStylePr>
    <w:tblStylePr w:type="band1Horz">
      <w:tblPr/>
      <w:tcPr>
        <w:shd w:val="clear" w:color="auto" w:fill="FAC58F" w:themeFill="accent3" w:themeFillTint="7F"/>
      </w:tcPr>
    </w:tblStylePr>
  </w:style>
  <w:style w:type="table" w:styleId="ColorfulGrid-Accent4">
    <w:name w:val="Colorful Grid Accent 4"/>
    <w:basedOn w:val="TableNormal"/>
    <w:uiPriority w:val="73"/>
    <w:semiHidden/>
    <w:unhideWhenUsed/>
    <w:rsid w:val="009E6ED7"/>
    <w:rPr>
      <w:color w:val="000000" w:themeColor="text1"/>
    </w:rPr>
    <w:tblPr>
      <w:tblStyleRowBandSize w:val="1"/>
      <w:tblStyleColBandSize w:val="1"/>
      <w:tblBorders>
        <w:insideH w:val="single" w:sz="4" w:space="0" w:color="FFFFFF" w:themeColor="background1"/>
      </w:tblBorders>
    </w:tblPr>
    <w:tcPr>
      <w:shd w:val="clear" w:color="auto" w:fill="FFB8F0" w:themeFill="accent4" w:themeFillTint="33"/>
    </w:tcPr>
    <w:tblStylePr w:type="firstRow">
      <w:rPr>
        <w:b/>
        <w:bCs/>
      </w:rPr>
      <w:tblPr/>
      <w:tcPr>
        <w:shd w:val="clear" w:color="auto" w:fill="FF72E2" w:themeFill="accent4" w:themeFillTint="66"/>
      </w:tcPr>
    </w:tblStylePr>
    <w:tblStylePr w:type="lastRow">
      <w:rPr>
        <w:b/>
        <w:bCs/>
        <w:color w:val="000000" w:themeColor="text1"/>
      </w:rPr>
      <w:tblPr/>
      <w:tcPr>
        <w:shd w:val="clear" w:color="auto" w:fill="FF72E2" w:themeFill="accent4" w:themeFillTint="66"/>
      </w:tcPr>
    </w:tblStylePr>
    <w:tblStylePr w:type="firstCol">
      <w:rPr>
        <w:color w:val="FFFFFF" w:themeColor="background1"/>
      </w:rPr>
      <w:tblPr/>
      <w:tcPr>
        <w:shd w:val="clear" w:color="auto" w:fill="76005E" w:themeFill="accent4" w:themeFillShade="BF"/>
      </w:tcPr>
    </w:tblStylePr>
    <w:tblStylePr w:type="lastCol">
      <w:rPr>
        <w:color w:val="FFFFFF" w:themeColor="background1"/>
      </w:rPr>
      <w:tblPr/>
      <w:tcPr>
        <w:shd w:val="clear" w:color="auto" w:fill="76005E" w:themeFill="accent4" w:themeFillShade="BF"/>
      </w:tcPr>
    </w:tblStylePr>
    <w:tblStylePr w:type="band1Vert">
      <w:tblPr/>
      <w:tcPr>
        <w:shd w:val="clear" w:color="auto" w:fill="FF4FDB" w:themeFill="accent4" w:themeFillTint="7F"/>
      </w:tcPr>
    </w:tblStylePr>
    <w:tblStylePr w:type="band1Horz">
      <w:tblPr/>
      <w:tcPr>
        <w:shd w:val="clear" w:color="auto" w:fill="FF4FDB" w:themeFill="accent4" w:themeFillTint="7F"/>
      </w:tcPr>
    </w:tblStylePr>
  </w:style>
  <w:style w:type="table" w:styleId="ColorfulGrid-Accent5">
    <w:name w:val="Colorful Grid Accent 5"/>
    <w:basedOn w:val="TableNormal"/>
    <w:uiPriority w:val="73"/>
    <w:semiHidden/>
    <w:unhideWhenUsed/>
    <w:rsid w:val="009E6ED7"/>
    <w:rPr>
      <w:color w:val="000000" w:themeColor="text1"/>
    </w:rPr>
    <w:tblPr>
      <w:tblStyleRowBandSize w:val="1"/>
      <w:tblStyleColBandSize w:val="1"/>
      <w:tblBorders>
        <w:insideH w:val="single" w:sz="4" w:space="0" w:color="FFFFFF" w:themeColor="background1"/>
      </w:tblBorders>
    </w:tblPr>
    <w:tcPr>
      <w:shd w:val="clear" w:color="auto" w:fill="FFF9CF" w:themeFill="accent5" w:themeFillTint="33"/>
    </w:tcPr>
    <w:tblStylePr w:type="firstRow">
      <w:rPr>
        <w:b/>
        <w:bCs/>
      </w:rPr>
      <w:tblPr/>
      <w:tcPr>
        <w:shd w:val="clear" w:color="auto" w:fill="FFF4A0" w:themeFill="accent5" w:themeFillTint="66"/>
      </w:tcPr>
    </w:tblStylePr>
    <w:tblStylePr w:type="lastRow">
      <w:rPr>
        <w:b/>
        <w:bCs/>
        <w:color w:val="000000" w:themeColor="text1"/>
      </w:rPr>
      <w:tblPr/>
      <w:tcPr>
        <w:shd w:val="clear" w:color="auto" w:fill="FFF4A0" w:themeFill="accent5" w:themeFillTint="66"/>
      </w:tcPr>
    </w:tblStylePr>
    <w:tblStylePr w:type="firstCol">
      <w:rPr>
        <w:color w:val="FFFFFF" w:themeColor="background1"/>
      </w:rPr>
      <w:tblPr/>
      <w:tcPr>
        <w:shd w:val="clear" w:color="auto" w:fill="CCB500" w:themeFill="accent5" w:themeFillShade="BF"/>
      </w:tcPr>
    </w:tblStylePr>
    <w:tblStylePr w:type="lastCol">
      <w:rPr>
        <w:color w:val="FFFFFF" w:themeColor="background1"/>
      </w:rPr>
      <w:tblPr/>
      <w:tcPr>
        <w:shd w:val="clear" w:color="auto" w:fill="CCB500" w:themeFill="accent5" w:themeFillShade="BF"/>
      </w:tcPr>
    </w:tblStylePr>
    <w:tblStylePr w:type="band1Vert">
      <w:tblPr/>
      <w:tcPr>
        <w:shd w:val="clear" w:color="auto" w:fill="FFF288" w:themeFill="accent5" w:themeFillTint="7F"/>
      </w:tcPr>
    </w:tblStylePr>
    <w:tblStylePr w:type="band1Horz">
      <w:tblPr/>
      <w:tcPr>
        <w:shd w:val="clear" w:color="auto" w:fill="FFF288" w:themeFill="accent5" w:themeFillTint="7F"/>
      </w:tcPr>
    </w:tblStylePr>
  </w:style>
  <w:style w:type="table" w:styleId="ColorfulGrid-Accent6">
    <w:name w:val="Colorful Grid Accent 6"/>
    <w:basedOn w:val="TableNormal"/>
    <w:uiPriority w:val="73"/>
    <w:semiHidden/>
    <w:unhideWhenUsed/>
    <w:rsid w:val="009E6ED7"/>
    <w:rPr>
      <w:color w:val="000000" w:themeColor="text1"/>
    </w:rPr>
    <w:tblPr>
      <w:tblStyleRowBandSize w:val="1"/>
      <w:tblStyleColBandSize w:val="1"/>
      <w:tblBorders>
        <w:insideH w:val="single" w:sz="4" w:space="0" w:color="FFFFFF" w:themeColor="background1"/>
      </w:tblBorders>
    </w:tblPr>
    <w:tcPr>
      <w:shd w:val="clear" w:color="auto" w:fill="E8E5E4" w:themeFill="accent6" w:themeFillTint="33"/>
    </w:tcPr>
    <w:tblStylePr w:type="firstRow">
      <w:rPr>
        <w:b/>
        <w:bCs/>
      </w:rPr>
      <w:tblPr/>
      <w:tcPr>
        <w:shd w:val="clear" w:color="auto" w:fill="D1CCC9" w:themeFill="accent6" w:themeFillTint="66"/>
      </w:tcPr>
    </w:tblStylePr>
    <w:tblStylePr w:type="lastRow">
      <w:rPr>
        <w:b/>
        <w:bCs/>
        <w:color w:val="000000" w:themeColor="text1"/>
      </w:rPr>
      <w:tblPr/>
      <w:tcPr>
        <w:shd w:val="clear" w:color="auto" w:fill="D1CCC9" w:themeFill="accent6" w:themeFillTint="66"/>
      </w:tcPr>
    </w:tblStylePr>
    <w:tblStylePr w:type="firstCol">
      <w:rPr>
        <w:color w:val="FFFFFF" w:themeColor="background1"/>
      </w:rPr>
      <w:tblPr/>
      <w:tcPr>
        <w:shd w:val="clear" w:color="auto" w:fill="69615A" w:themeFill="accent6" w:themeFillShade="BF"/>
      </w:tcPr>
    </w:tblStylePr>
    <w:tblStylePr w:type="lastCol">
      <w:rPr>
        <w:color w:val="FFFFFF" w:themeColor="background1"/>
      </w:rPr>
      <w:tblPr/>
      <w:tcPr>
        <w:shd w:val="clear" w:color="auto" w:fill="69615A" w:themeFill="accent6" w:themeFillShade="BF"/>
      </w:tcPr>
    </w:tblStylePr>
    <w:tblStylePr w:type="band1Vert">
      <w:tblPr/>
      <w:tcPr>
        <w:shd w:val="clear" w:color="auto" w:fill="C5C0BC" w:themeFill="accent6" w:themeFillTint="7F"/>
      </w:tcPr>
    </w:tblStylePr>
    <w:tblStylePr w:type="band1Horz">
      <w:tblPr/>
      <w:tcPr>
        <w:shd w:val="clear" w:color="auto" w:fill="C5C0BC" w:themeFill="accent6" w:themeFillTint="7F"/>
      </w:tcPr>
    </w:tblStylePr>
  </w:style>
  <w:style w:type="table" w:styleId="ColorfulList">
    <w:name w:val="Colorful List"/>
    <w:basedOn w:val="TableNormal"/>
    <w:uiPriority w:val="72"/>
    <w:semiHidden/>
    <w:unhideWhenUsed/>
    <w:rsid w:val="009E6ED7"/>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699700" w:themeFill="accent2" w:themeFillShade="CC"/>
      </w:tcPr>
    </w:tblStylePr>
    <w:tblStylePr w:type="lastRow">
      <w:rPr>
        <w:b/>
        <w:bCs/>
        <w:color w:val="699700"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semiHidden/>
    <w:unhideWhenUsed/>
    <w:rsid w:val="009E6ED7"/>
    <w:rPr>
      <w:color w:val="000000" w:themeColor="text1"/>
    </w:rPr>
    <w:tblPr>
      <w:tblStyleRowBandSize w:val="1"/>
      <w:tblStyleColBandSize w:val="1"/>
    </w:tblPr>
    <w:tcPr>
      <w:shd w:val="clear" w:color="auto" w:fill="E3F9FF" w:themeFill="accent1" w:themeFillTint="19"/>
    </w:tcPr>
    <w:tblStylePr w:type="firstRow">
      <w:rPr>
        <w:b/>
        <w:bCs/>
        <w:color w:val="FFFFFF" w:themeColor="background1"/>
      </w:rPr>
      <w:tblPr/>
      <w:tcPr>
        <w:tcBorders>
          <w:bottom w:val="single" w:sz="12" w:space="0" w:color="FFFFFF" w:themeColor="background1"/>
        </w:tcBorders>
        <w:shd w:val="clear" w:color="auto" w:fill="699700" w:themeFill="accent2" w:themeFillShade="CC"/>
      </w:tcPr>
    </w:tblStylePr>
    <w:tblStylePr w:type="lastRow">
      <w:rPr>
        <w:b/>
        <w:bCs/>
        <w:color w:val="699700"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B8F0FF" w:themeFill="accent1" w:themeFillTint="3F"/>
      </w:tcPr>
    </w:tblStylePr>
    <w:tblStylePr w:type="band1Horz">
      <w:tblPr/>
      <w:tcPr>
        <w:shd w:val="clear" w:color="auto" w:fill="C6F3FF" w:themeFill="accent1" w:themeFillTint="33"/>
      </w:tcPr>
    </w:tblStylePr>
  </w:style>
  <w:style w:type="table" w:styleId="ColorfulList-Accent2">
    <w:name w:val="Colorful List Accent 2"/>
    <w:basedOn w:val="TableNormal"/>
    <w:uiPriority w:val="72"/>
    <w:semiHidden/>
    <w:unhideWhenUsed/>
    <w:rsid w:val="009E6ED7"/>
    <w:rPr>
      <w:color w:val="000000" w:themeColor="text1"/>
    </w:rPr>
    <w:tblPr>
      <w:tblStyleRowBandSize w:val="1"/>
      <w:tblStyleColBandSize w:val="1"/>
    </w:tblPr>
    <w:tcPr>
      <w:shd w:val="clear" w:color="auto" w:fill="F5FFDF" w:themeFill="accent2" w:themeFillTint="19"/>
    </w:tcPr>
    <w:tblStylePr w:type="firstRow">
      <w:rPr>
        <w:b/>
        <w:bCs/>
        <w:color w:val="FFFFFF" w:themeColor="background1"/>
      </w:rPr>
      <w:tblPr/>
      <w:tcPr>
        <w:tcBorders>
          <w:bottom w:val="single" w:sz="12" w:space="0" w:color="FFFFFF" w:themeColor="background1"/>
        </w:tcBorders>
        <w:shd w:val="clear" w:color="auto" w:fill="699700" w:themeFill="accent2" w:themeFillShade="CC"/>
      </w:tcPr>
    </w:tblStylePr>
    <w:tblStylePr w:type="lastRow">
      <w:rPr>
        <w:b/>
        <w:bCs/>
        <w:color w:val="699700"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7FFAF" w:themeFill="accent2" w:themeFillTint="3F"/>
      </w:tcPr>
    </w:tblStylePr>
    <w:tblStylePr w:type="band1Horz">
      <w:tblPr/>
      <w:tcPr>
        <w:shd w:val="clear" w:color="auto" w:fill="EBFFBE" w:themeFill="accent2" w:themeFillTint="33"/>
      </w:tcPr>
    </w:tblStylePr>
  </w:style>
  <w:style w:type="table" w:styleId="ColorfulList-Accent3">
    <w:name w:val="Colorful List Accent 3"/>
    <w:basedOn w:val="TableNormal"/>
    <w:uiPriority w:val="72"/>
    <w:semiHidden/>
    <w:unhideWhenUsed/>
    <w:rsid w:val="009E6ED7"/>
    <w:rPr>
      <w:color w:val="000000" w:themeColor="text1"/>
    </w:rPr>
    <w:tblPr>
      <w:tblStyleRowBandSize w:val="1"/>
      <w:tblStyleColBandSize w:val="1"/>
    </w:tblPr>
    <w:tcPr>
      <w:shd w:val="clear" w:color="auto" w:fill="FEF3E8" w:themeFill="accent3" w:themeFillTint="19"/>
    </w:tcPr>
    <w:tblStylePr w:type="firstRow">
      <w:rPr>
        <w:b/>
        <w:bCs/>
        <w:color w:val="FFFFFF" w:themeColor="background1"/>
      </w:rPr>
      <w:tblPr/>
      <w:tcPr>
        <w:tcBorders>
          <w:bottom w:val="single" w:sz="12" w:space="0" w:color="FFFFFF" w:themeColor="background1"/>
        </w:tcBorders>
        <w:shd w:val="clear" w:color="auto" w:fill="7E0064" w:themeFill="accent4" w:themeFillShade="CC"/>
      </w:tcPr>
    </w:tblStylePr>
    <w:tblStylePr w:type="lastRow">
      <w:rPr>
        <w:b/>
        <w:bCs/>
        <w:color w:val="7E0064"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CE2C7" w:themeFill="accent3" w:themeFillTint="3F"/>
      </w:tcPr>
    </w:tblStylePr>
    <w:tblStylePr w:type="band1Horz">
      <w:tblPr/>
      <w:tcPr>
        <w:shd w:val="clear" w:color="auto" w:fill="FDE7D2" w:themeFill="accent3" w:themeFillTint="33"/>
      </w:tcPr>
    </w:tblStylePr>
  </w:style>
  <w:style w:type="table" w:styleId="ColorfulList-Accent4">
    <w:name w:val="Colorful List Accent 4"/>
    <w:basedOn w:val="TableNormal"/>
    <w:uiPriority w:val="72"/>
    <w:semiHidden/>
    <w:unhideWhenUsed/>
    <w:rsid w:val="009E6ED7"/>
    <w:rPr>
      <w:color w:val="000000" w:themeColor="text1"/>
    </w:rPr>
    <w:tblPr>
      <w:tblStyleRowBandSize w:val="1"/>
      <w:tblStyleColBandSize w:val="1"/>
    </w:tblPr>
    <w:tcPr>
      <w:shd w:val="clear" w:color="auto" w:fill="FFDCF7" w:themeFill="accent4" w:themeFillTint="19"/>
    </w:tcPr>
    <w:tblStylePr w:type="firstRow">
      <w:rPr>
        <w:b/>
        <w:bCs/>
        <w:color w:val="FFFFFF" w:themeColor="background1"/>
      </w:rPr>
      <w:tblPr/>
      <w:tcPr>
        <w:tcBorders>
          <w:bottom w:val="single" w:sz="12" w:space="0" w:color="FFFFFF" w:themeColor="background1"/>
        </w:tcBorders>
        <w:shd w:val="clear" w:color="auto" w:fill="D46F08" w:themeFill="accent3" w:themeFillShade="CC"/>
      </w:tcPr>
    </w:tblStylePr>
    <w:tblStylePr w:type="lastRow">
      <w:rPr>
        <w:b/>
        <w:bCs/>
        <w:color w:val="D46F08"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A8ED" w:themeFill="accent4" w:themeFillTint="3F"/>
      </w:tcPr>
    </w:tblStylePr>
    <w:tblStylePr w:type="band1Horz">
      <w:tblPr/>
      <w:tcPr>
        <w:shd w:val="clear" w:color="auto" w:fill="FFB8F0" w:themeFill="accent4" w:themeFillTint="33"/>
      </w:tcPr>
    </w:tblStylePr>
  </w:style>
  <w:style w:type="table" w:styleId="ColorfulList-Accent5">
    <w:name w:val="Colorful List Accent 5"/>
    <w:basedOn w:val="TableNormal"/>
    <w:uiPriority w:val="72"/>
    <w:semiHidden/>
    <w:unhideWhenUsed/>
    <w:rsid w:val="009E6ED7"/>
    <w:rPr>
      <w:color w:val="000000" w:themeColor="text1"/>
    </w:rPr>
    <w:tblPr>
      <w:tblStyleRowBandSize w:val="1"/>
      <w:tblStyleColBandSize w:val="1"/>
    </w:tblPr>
    <w:tcPr>
      <w:shd w:val="clear" w:color="auto" w:fill="FFFCE7" w:themeFill="accent5" w:themeFillTint="19"/>
    </w:tcPr>
    <w:tblStylePr w:type="firstRow">
      <w:rPr>
        <w:b/>
        <w:bCs/>
        <w:color w:val="FFFFFF" w:themeColor="background1"/>
      </w:rPr>
      <w:tblPr/>
      <w:tcPr>
        <w:tcBorders>
          <w:bottom w:val="single" w:sz="12" w:space="0" w:color="FFFFFF" w:themeColor="background1"/>
        </w:tcBorders>
        <w:shd w:val="clear" w:color="auto" w:fill="706760" w:themeFill="accent6" w:themeFillShade="CC"/>
      </w:tcPr>
    </w:tblStylePr>
    <w:tblStylePr w:type="lastRow">
      <w:rPr>
        <w:b/>
        <w:bCs/>
        <w:color w:val="706760"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F8C4" w:themeFill="accent5" w:themeFillTint="3F"/>
      </w:tcPr>
    </w:tblStylePr>
    <w:tblStylePr w:type="band1Horz">
      <w:tblPr/>
      <w:tcPr>
        <w:shd w:val="clear" w:color="auto" w:fill="FFF9CF" w:themeFill="accent5" w:themeFillTint="33"/>
      </w:tcPr>
    </w:tblStylePr>
  </w:style>
  <w:style w:type="table" w:styleId="ColorfulList-Accent6">
    <w:name w:val="Colorful List Accent 6"/>
    <w:basedOn w:val="TableNormal"/>
    <w:uiPriority w:val="72"/>
    <w:semiHidden/>
    <w:unhideWhenUsed/>
    <w:rsid w:val="009E6ED7"/>
    <w:rPr>
      <w:color w:val="000000" w:themeColor="text1"/>
    </w:rPr>
    <w:tblPr>
      <w:tblStyleRowBandSize w:val="1"/>
      <w:tblStyleColBandSize w:val="1"/>
    </w:tblPr>
    <w:tcPr>
      <w:shd w:val="clear" w:color="auto" w:fill="F3F2F1" w:themeFill="accent6" w:themeFillTint="19"/>
    </w:tcPr>
    <w:tblStylePr w:type="firstRow">
      <w:rPr>
        <w:b/>
        <w:bCs/>
        <w:color w:val="FFFFFF" w:themeColor="background1"/>
      </w:rPr>
      <w:tblPr/>
      <w:tcPr>
        <w:tcBorders>
          <w:bottom w:val="single" w:sz="12" w:space="0" w:color="FFFFFF" w:themeColor="background1"/>
        </w:tcBorders>
        <w:shd w:val="clear" w:color="auto" w:fill="DAC200" w:themeFill="accent5" w:themeFillShade="CC"/>
      </w:tcPr>
    </w:tblStylePr>
    <w:tblStylePr w:type="lastRow">
      <w:rPr>
        <w:b/>
        <w:bCs/>
        <w:color w:val="DAC200"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2E0DD" w:themeFill="accent6" w:themeFillTint="3F"/>
      </w:tcPr>
    </w:tblStylePr>
    <w:tblStylePr w:type="band1Horz">
      <w:tblPr/>
      <w:tcPr>
        <w:shd w:val="clear" w:color="auto" w:fill="E8E5E4" w:themeFill="accent6" w:themeFillTint="33"/>
      </w:tcPr>
    </w:tblStylePr>
  </w:style>
  <w:style w:type="table" w:styleId="ColorfulShading">
    <w:name w:val="Colorful Shading"/>
    <w:basedOn w:val="TableNormal"/>
    <w:uiPriority w:val="71"/>
    <w:semiHidden/>
    <w:unhideWhenUsed/>
    <w:rsid w:val="009E6ED7"/>
    <w:rPr>
      <w:color w:val="000000" w:themeColor="text1"/>
    </w:rPr>
    <w:tblPr>
      <w:tblStyleRowBandSize w:val="1"/>
      <w:tblStyleColBandSize w:val="1"/>
      <w:tblBorders>
        <w:top w:val="single" w:sz="24" w:space="0" w:color="84BD00"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84BD00"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semiHidden/>
    <w:unhideWhenUsed/>
    <w:rsid w:val="009E6ED7"/>
    <w:rPr>
      <w:color w:val="000000" w:themeColor="text1"/>
    </w:rPr>
    <w:tblPr>
      <w:tblStyleRowBandSize w:val="1"/>
      <w:tblStyleColBandSize w:val="1"/>
      <w:tblBorders>
        <w:top w:val="single" w:sz="24" w:space="0" w:color="84BD00" w:themeColor="accent2"/>
        <w:left w:val="single" w:sz="4" w:space="0" w:color="00B5E2" w:themeColor="accent1"/>
        <w:bottom w:val="single" w:sz="4" w:space="0" w:color="00B5E2" w:themeColor="accent1"/>
        <w:right w:val="single" w:sz="4" w:space="0" w:color="00B5E2" w:themeColor="accent1"/>
        <w:insideH w:val="single" w:sz="4" w:space="0" w:color="FFFFFF" w:themeColor="background1"/>
        <w:insideV w:val="single" w:sz="4" w:space="0" w:color="FFFFFF" w:themeColor="background1"/>
      </w:tblBorders>
    </w:tblPr>
    <w:tcPr>
      <w:shd w:val="clear" w:color="auto" w:fill="E3F9FF" w:themeFill="accent1" w:themeFillTint="19"/>
    </w:tcPr>
    <w:tblStylePr w:type="firstRow">
      <w:rPr>
        <w:b/>
        <w:bCs/>
      </w:rPr>
      <w:tblPr/>
      <w:tcPr>
        <w:tcBorders>
          <w:top w:val="nil"/>
          <w:left w:val="nil"/>
          <w:bottom w:val="single" w:sz="24" w:space="0" w:color="84BD00"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6C87" w:themeFill="accent1" w:themeFillShade="99"/>
      </w:tcPr>
    </w:tblStylePr>
    <w:tblStylePr w:type="firstCol">
      <w:rPr>
        <w:color w:val="FFFFFF" w:themeColor="background1"/>
      </w:rPr>
      <w:tblPr/>
      <w:tcPr>
        <w:tcBorders>
          <w:top w:val="nil"/>
          <w:left w:val="nil"/>
          <w:bottom w:val="nil"/>
          <w:right w:val="nil"/>
          <w:insideH w:val="single" w:sz="4" w:space="0" w:color="006C87" w:themeColor="accent1" w:themeShade="99"/>
          <w:insideV w:val="nil"/>
        </w:tcBorders>
        <w:shd w:val="clear" w:color="auto" w:fill="006C87"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006C87" w:themeFill="accent1" w:themeFillShade="99"/>
      </w:tcPr>
    </w:tblStylePr>
    <w:tblStylePr w:type="band1Vert">
      <w:tblPr/>
      <w:tcPr>
        <w:shd w:val="clear" w:color="auto" w:fill="8DE8FF" w:themeFill="accent1" w:themeFillTint="66"/>
      </w:tcPr>
    </w:tblStylePr>
    <w:tblStylePr w:type="band1Horz">
      <w:tblPr/>
      <w:tcPr>
        <w:shd w:val="clear" w:color="auto" w:fill="71E2FF"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semiHidden/>
    <w:unhideWhenUsed/>
    <w:rsid w:val="009E6ED7"/>
    <w:rPr>
      <w:color w:val="000000" w:themeColor="text1"/>
    </w:rPr>
    <w:tblPr>
      <w:tblStyleRowBandSize w:val="1"/>
      <w:tblStyleColBandSize w:val="1"/>
      <w:tblBorders>
        <w:top w:val="single" w:sz="24" w:space="0" w:color="84BD00" w:themeColor="accent2"/>
        <w:left w:val="single" w:sz="4" w:space="0" w:color="84BD00" w:themeColor="accent2"/>
        <w:bottom w:val="single" w:sz="4" w:space="0" w:color="84BD00" w:themeColor="accent2"/>
        <w:right w:val="single" w:sz="4" w:space="0" w:color="84BD00" w:themeColor="accent2"/>
        <w:insideH w:val="single" w:sz="4" w:space="0" w:color="FFFFFF" w:themeColor="background1"/>
        <w:insideV w:val="single" w:sz="4" w:space="0" w:color="FFFFFF" w:themeColor="background1"/>
      </w:tblBorders>
    </w:tblPr>
    <w:tcPr>
      <w:shd w:val="clear" w:color="auto" w:fill="F5FFDF" w:themeFill="accent2" w:themeFillTint="19"/>
    </w:tcPr>
    <w:tblStylePr w:type="firstRow">
      <w:rPr>
        <w:b/>
        <w:bCs/>
      </w:rPr>
      <w:tblPr/>
      <w:tcPr>
        <w:tcBorders>
          <w:top w:val="nil"/>
          <w:left w:val="nil"/>
          <w:bottom w:val="single" w:sz="24" w:space="0" w:color="84BD00"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F7100" w:themeFill="accent2" w:themeFillShade="99"/>
      </w:tcPr>
    </w:tblStylePr>
    <w:tblStylePr w:type="firstCol">
      <w:rPr>
        <w:color w:val="FFFFFF" w:themeColor="background1"/>
      </w:rPr>
      <w:tblPr/>
      <w:tcPr>
        <w:tcBorders>
          <w:top w:val="nil"/>
          <w:left w:val="nil"/>
          <w:bottom w:val="nil"/>
          <w:right w:val="nil"/>
          <w:insideH w:val="single" w:sz="4" w:space="0" w:color="4F7100" w:themeColor="accent2" w:themeShade="99"/>
          <w:insideV w:val="nil"/>
        </w:tcBorders>
        <w:shd w:val="clear" w:color="auto" w:fill="4F7100"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4F7100" w:themeFill="accent2" w:themeFillShade="99"/>
      </w:tcPr>
    </w:tblStylePr>
    <w:tblStylePr w:type="band1Vert">
      <w:tblPr/>
      <w:tcPr>
        <w:shd w:val="clear" w:color="auto" w:fill="D8FF7E" w:themeFill="accent2" w:themeFillTint="66"/>
      </w:tcPr>
    </w:tblStylePr>
    <w:tblStylePr w:type="band1Horz">
      <w:tblPr/>
      <w:tcPr>
        <w:shd w:val="clear" w:color="auto" w:fill="CEFF5F"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semiHidden/>
    <w:unhideWhenUsed/>
    <w:rsid w:val="009E6ED7"/>
    <w:rPr>
      <w:color w:val="000000" w:themeColor="text1"/>
    </w:rPr>
    <w:tblPr>
      <w:tblStyleRowBandSize w:val="1"/>
      <w:tblStyleColBandSize w:val="1"/>
      <w:tblBorders>
        <w:top w:val="single" w:sz="24" w:space="0" w:color="9E007E" w:themeColor="accent4"/>
        <w:left w:val="single" w:sz="4" w:space="0" w:color="F68B1F" w:themeColor="accent3"/>
        <w:bottom w:val="single" w:sz="4" w:space="0" w:color="F68B1F" w:themeColor="accent3"/>
        <w:right w:val="single" w:sz="4" w:space="0" w:color="F68B1F" w:themeColor="accent3"/>
        <w:insideH w:val="single" w:sz="4" w:space="0" w:color="FFFFFF" w:themeColor="background1"/>
        <w:insideV w:val="single" w:sz="4" w:space="0" w:color="FFFFFF" w:themeColor="background1"/>
      </w:tblBorders>
    </w:tblPr>
    <w:tcPr>
      <w:shd w:val="clear" w:color="auto" w:fill="FEF3E8" w:themeFill="accent3" w:themeFillTint="19"/>
    </w:tcPr>
    <w:tblStylePr w:type="firstRow">
      <w:rPr>
        <w:b/>
        <w:bCs/>
      </w:rPr>
      <w:tblPr/>
      <w:tcPr>
        <w:tcBorders>
          <w:top w:val="nil"/>
          <w:left w:val="nil"/>
          <w:bottom w:val="single" w:sz="24" w:space="0" w:color="9E007E"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F5306" w:themeFill="accent3" w:themeFillShade="99"/>
      </w:tcPr>
    </w:tblStylePr>
    <w:tblStylePr w:type="firstCol">
      <w:rPr>
        <w:color w:val="FFFFFF" w:themeColor="background1"/>
      </w:rPr>
      <w:tblPr/>
      <w:tcPr>
        <w:tcBorders>
          <w:top w:val="nil"/>
          <w:left w:val="nil"/>
          <w:bottom w:val="nil"/>
          <w:right w:val="nil"/>
          <w:insideH w:val="single" w:sz="4" w:space="0" w:color="9F5306" w:themeColor="accent3" w:themeShade="99"/>
          <w:insideV w:val="nil"/>
        </w:tcBorders>
        <w:shd w:val="clear" w:color="auto" w:fill="9F5306"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9F5306" w:themeFill="accent3" w:themeFillShade="99"/>
      </w:tcPr>
    </w:tblStylePr>
    <w:tblStylePr w:type="band1Vert">
      <w:tblPr/>
      <w:tcPr>
        <w:shd w:val="clear" w:color="auto" w:fill="FBD0A5" w:themeFill="accent3" w:themeFillTint="66"/>
      </w:tcPr>
    </w:tblStylePr>
    <w:tblStylePr w:type="band1Horz">
      <w:tblPr/>
      <w:tcPr>
        <w:shd w:val="clear" w:color="auto" w:fill="FAC58F" w:themeFill="accent3" w:themeFillTint="7F"/>
      </w:tcPr>
    </w:tblStylePr>
  </w:style>
  <w:style w:type="table" w:styleId="ColorfulShading-Accent4">
    <w:name w:val="Colorful Shading Accent 4"/>
    <w:basedOn w:val="TableNormal"/>
    <w:uiPriority w:val="71"/>
    <w:semiHidden/>
    <w:unhideWhenUsed/>
    <w:rsid w:val="009E6ED7"/>
    <w:rPr>
      <w:color w:val="000000" w:themeColor="text1"/>
    </w:rPr>
    <w:tblPr>
      <w:tblStyleRowBandSize w:val="1"/>
      <w:tblStyleColBandSize w:val="1"/>
      <w:tblBorders>
        <w:top w:val="single" w:sz="24" w:space="0" w:color="F68B1F" w:themeColor="accent3"/>
        <w:left w:val="single" w:sz="4" w:space="0" w:color="9E007E" w:themeColor="accent4"/>
        <w:bottom w:val="single" w:sz="4" w:space="0" w:color="9E007E" w:themeColor="accent4"/>
        <w:right w:val="single" w:sz="4" w:space="0" w:color="9E007E" w:themeColor="accent4"/>
        <w:insideH w:val="single" w:sz="4" w:space="0" w:color="FFFFFF" w:themeColor="background1"/>
        <w:insideV w:val="single" w:sz="4" w:space="0" w:color="FFFFFF" w:themeColor="background1"/>
      </w:tblBorders>
    </w:tblPr>
    <w:tcPr>
      <w:shd w:val="clear" w:color="auto" w:fill="FFDCF7" w:themeFill="accent4" w:themeFillTint="19"/>
    </w:tcPr>
    <w:tblStylePr w:type="firstRow">
      <w:rPr>
        <w:b/>
        <w:bCs/>
      </w:rPr>
      <w:tblPr/>
      <w:tcPr>
        <w:tcBorders>
          <w:top w:val="nil"/>
          <w:left w:val="nil"/>
          <w:bottom w:val="single" w:sz="24" w:space="0" w:color="F68B1F"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004B" w:themeFill="accent4" w:themeFillShade="99"/>
      </w:tcPr>
    </w:tblStylePr>
    <w:tblStylePr w:type="firstCol">
      <w:rPr>
        <w:color w:val="FFFFFF" w:themeColor="background1"/>
      </w:rPr>
      <w:tblPr/>
      <w:tcPr>
        <w:tcBorders>
          <w:top w:val="nil"/>
          <w:left w:val="nil"/>
          <w:bottom w:val="nil"/>
          <w:right w:val="nil"/>
          <w:insideH w:val="single" w:sz="4" w:space="0" w:color="5E004B" w:themeColor="accent4" w:themeShade="99"/>
          <w:insideV w:val="nil"/>
        </w:tcBorders>
        <w:shd w:val="clear" w:color="auto" w:fill="5E004B"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5E004B" w:themeFill="accent4" w:themeFillShade="99"/>
      </w:tcPr>
    </w:tblStylePr>
    <w:tblStylePr w:type="band1Vert">
      <w:tblPr/>
      <w:tcPr>
        <w:shd w:val="clear" w:color="auto" w:fill="FF72E2" w:themeFill="accent4" w:themeFillTint="66"/>
      </w:tcPr>
    </w:tblStylePr>
    <w:tblStylePr w:type="band1Horz">
      <w:tblPr/>
      <w:tcPr>
        <w:shd w:val="clear" w:color="auto" w:fill="FF4FDB"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semiHidden/>
    <w:unhideWhenUsed/>
    <w:rsid w:val="009E6ED7"/>
    <w:rPr>
      <w:color w:val="000000" w:themeColor="text1"/>
    </w:rPr>
    <w:tblPr>
      <w:tblStyleRowBandSize w:val="1"/>
      <w:tblStyleColBandSize w:val="1"/>
      <w:tblBorders>
        <w:top w:val="single" w:sz="24" w:space="0" w:color="8C8279" w:themeColor="accent6"/>
        <w:left w:val="single" w:sz="4" w:space="0" w:color="FFE512" w:themeColor="accent5"/>
        <w:bottom w:val="single" w:sz="4" w:space="0" w:color="FFE512" w:themeColor="accent5"/>
        <w:right w:val="single" w:sz="4" w:space="0" w:color="FFE512" w:themeColor="accent5"/>
        <w:insideH w:val="single" w:sz="4" w:space="0" w:color="FFFFFF" w:themeColor="background1"/>
        <w:insideV w:val="single" w:sz="4" w:space="0" w:color="FFFFFF" w:themeColor="background1"/>
      </w:tblBorders>
    </w:tblPr>
    <w:tcPr>
      <w:shd w:val="clear" w:color="auto" w:fill="FFFCE7" w:themeFill="accent5" w:themeFillTint="19"/>
    </w:tcPr>
    <w:tblStylePr w:type="firstRow">
      <w:rPr>
        <w:b/>
        <w:bCs/>
      </w:rPr>
      <w:tblPr/>
      <w:tcPr>
        <w:tcBorders>
          <w:top w:val="nil"/>
          <w:left w:val="nil"/>
          <w:bottom w:val="single" w:sz="24" w:space="0" w:color="8C8279"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A39100" w:themeFill="accent5" w:themeFillShade="99"/>
      </w:tcPr>
    </w:tblStylePr>
    <w:tblStylePr w:type="firstCol">
      <w:rPr>
        <w:color w:val="FFFFFF" w:themeColor="background1"/>
      </w:rPr>
      <w:tblPr/>
      <w:tcPr>
        <w:tcBorders>
          <w:top w:val="nil"/>
          <w:left w:val="nil"/>
          <w:bottom w:val="nil"/>
          <w:right w:val="nil"/>
          <w:insideH w:val="single" w:sz="4" w:space="0" w:color="A39100" w:themeColor="accent5" w:themeShade="99"/>
          <w:insideV w:val="nil"/>
        </w:tcBorders>
        <w:shd w:val="clear" w:color="auto" w:fill="A39100"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A39100" w:themeFill="accent5" w:themeFillShade="99"/>
      </w:tcPr>
    </w:tblStylePr>
    <w:tblStylePr w:type="band1Vert">
      <w:tblPr/>
      <w:tcPr>
        <w:shd w:val="clear" w:color="auto" w:fill="FFF4A0" w:themeFill="accent5" w:themeFillTint="66"/>
      </w:tcPr>
    </w:tblStylePr>
    <w:tblStylePr w:type="band1Horz">
      <w:tblPr/>
      <w:tcPr>
        <w:shd w:val="clear" w:color="auto" w:fill="FFF288"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semiHidden/>
    <w:unhideWhenUsed/>
    <w:rsid w:val="009E6ED7"/>
    <w:rPr>
      <w:color w:val="000000" w:themeColor="text1"/>
    </w:rPr>
    <w:tblPr>
      <w:tblStyleRowBandSize w:val="1"/>
      <w:tblStyleColBandSize w:val="1"/>
      <w:tblBorders>
        <w:top w:val="single" w:sz="24" w:space="0" w:color="FFE512" w:themeColor="accent5"/>
        <w:left w:val="single" w:sz="4" w:space="0" w:color="8C8279" w:themeColor="accent6"/>
        <w:bottom w:val="single" w:sz="4" w:space="0" w:color="8C8279" w:themeColor="accent6"/>
        <w:right w:val="single" w:sz="4" w:space="0" w:color="8C8279" w:themeColor="accent6"/>
        <w:insideH w:val="single" w:sz="4" w:space="0" w:color="FFFFFF" w:themeColor="background1"/>
        <w:insideV w:val="single" w:sz="4" w:space="0" w:color="FFFFFF" w:themeColor="background1"/>
      </w:tblBorders>
    </w:tblPr>
    <w:tcPr>
      <w:shd w:val="clear" w:color="auto" w:fill="F3F2F1" w:themeFill="accent6" w:themeFillTint="19"/>
    </w:tcPr>
    <w:tblStylePr w:type="firstRow">
      <w:rPr>
        <w:b/>
        <w:bCs/>
      </w:rPr>
      <w:tblPr/>
      <w:tcPr>
        <w:tcBorders>
          <w:top w:val="nil"/>
          <w:left w:val="nil"/>
          <w:bottom w:val="single" w:sz="24" w:space="0" w:color="FFE512"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44D48" w:themeFill="accent6" w:themeFillShade="99"/>
      </w:tcPr>
    </w:tblStylePr>
    <w:tblStylePr w:type="firstCol">
      <w:rPr>
        <w:color w:val="FFFFFF" w:themeColor="background1"/>
      </w:rPr>
      <w:tblPr/>
      <w:tcPr>
        <w:tcBorders>
          <w:top w:val="nil"/>
          <w:left w:val="nil"/>
          <w:bottom w:val="nil"/>
          <w:right w:val="nil"/>
          <w:insideH w:val="single" w:sz="4" w:space="0" w:color="544D48" w:themeColor="accent6" w:themeShade="99"/>
          <w:insideV w:val="nil"/>
        </w:tcBorders>
        <w:shd w:val="clear" w:color="auto" w:fill="544D4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544D48" w:themeFill="accent6" w:themeFillShade="99"/>
      </w:tcPr>
    </w:tblStylePr>
    <w:tblStylePr w:type="band1Vert">
      <w:tblPr/>
      <w:tcPr>
        <w:shd w:val="clear" w:color="auto" w:fill="D1CCC9" w:themeFill="accent6" w:themeFillTint="66"/>
      </w:tcPr>
    </w:tblStylePr>
    <w:tblStylePr w:type="band1Horz">
      <w:tblPr/>
      <w:tcPr>
        <w:shd w:val="clear" w:color="auto" w:fill="C5C0BC" w:themeFill="accent6" w:themeFillTint="7F"/>
      </w:tcPr>
    </w:tblStylePr>
    <w:tblStylePr w:type="neCell">
      <w:rPr>
        <w:color w:val="000000" w:themeColor="text1"/>
      </w:rPr>
    </w:tblStylePr>
    <w:tblStylePr w:type="nwCell">
      <w:rPr>
        <w:color w:val="000000" w:themeColor="text1"/>
      </w:rPr>
    </w:tblStylePr>
  </w:style>
  <w:style w:type="table" w:styleId="DarkList">
    <w:name w:val="Dark List"/>
    <w:basedOn w:val="TableNormal"/>
    <w:uiPriority w:val="70"/>
    <w:semiHidden/>
    <w:unhideWhenUsed/>
    <w:rsid w:val="009E6ED7"/>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semiHidden/>
    <w:unhideWhenUsed/>
    <w:rsid w:val="009E6ED7"/>
    <w:rPr>
      <w:color w:val="FFFFFF" w:themeColor="background1"/>
    </w:rPr>
    <w:tblPr>
      <w:tblStyleRowBandSize w:val="1"/>
      <w:tblStyleColBandSize w:val="1"/>
    </w:tblPr>
    <w:tcPr>
      <w:shd w:val="clear" w:color="auto" w:fill="00B5E2"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597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0087A9"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0087A9" w:themeFill="accent1" w:themeFillShade="BF"/>
      </w:tcPr>
    </w:tblStylePr>
    <w:tblStylePr w:type="band1Vert">
      <w:tblPr/>
      <w:tcPr>
        <w:tcBorders>
          <w:top w:val="nil"/>
          <w:left w:val="nil"/>
          <w:bottom w:val="nil"/>
          <w:right w:val="nil"/>
          <w:insideH w:val="nil"/>
          <w:insideV w:val="nil"/>
        </w:tcBorders>
        <w:shd w:val="clear" w:color="auto" w:fill="0087A9" w:themeFill="accent1" w:themeFillShade="BF"/>
      </w:tcPr>
    </w:tblStylePr>
    <w:tblStylePr w:type="band1Horz">
      <w:tblPr/>
      <w:tcPr>
        <w:tcBorders>
          <w:top w:val="nil"/>
          <w:left w:val="nil"/>
          <w:bottom w:val="nil"/>
          <w:right w:val="nil"/>
          <w:insideH w:val="nil"/>
          <w:insideV w:val="nil"/>
        </w:tcBorders>
        <w:shd w:val="clear" w:color="auto" w:fill="0087A9" w:themeFill="accent1" w:themeFillShade="BF"/>
      </w:tcPr>
    </w:tblStylePr>
  </w:style>
  <w:style w:type="table" w:styleId="DarkList-Accent2">
    <w:name w:val="Dark List Accent 2"/>
    <w:basedOn w:val="TableNormal"/>
    <w:uiPriority w:val="70"/>
    <w:semiHidden/>
    <w:unhideWhenUsed/>
    <w:rsid w:val="009E6ED7"/>
    <w:rPr>
      <w:color w:val="FFFFFF" w:themeColor="background1"/>
    </w:rPr>
    <w:tblPr>
      <w:tblStyleRowBandSize w:val="1"/>
      <w:tblStyleColBandSize w:val="1"/>
    </w:tblPr>
    <w:tcPr>
      <w:shd w:val="clear" w:color="auto" w:fill="84BD00"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15E00"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628D00"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628D00" w:themeFill="accent2" w:themeFillShade="BF"/>
      </w:tcPr>
    </w:tblStylePr>
    <w:tblStylePr w:type="band1Vert">
      <w:tblPr/>
      <w:tcPr>
        <w:tcBorders>
          <w:top w:val="nil"/>
          <w:left w:val="nil"/>
          <w:bottom w:val="nil"/>
          <w:right w:val="nil"/>
          <w:insideH w:val="nil"/>
          <w:insideV w:val="nil"/>
        </w:tcBorders>
        <w:shd w:val="clear" w:color="auto" w:fill="628D00" w:themeFill="accent2" w:themeFillShade="BF"/>
      </w:tcPr>
    </w:tblStylePr>
    <w:tblStylePr w:type="band1Horz">
      <w:tblPr/>
      <w:tcPr>
        <w:tcBorders>
          <w:top w:val="nil"/>
          <w:left w:val="nil"/>
          <w:bottom w:val="nil"/>
          <w:right w:val="nil"/>
          <w:insideH w:val="nil"/>
          <w:insideV w:val="nil"/>
        </w:tcBorders>
        <w:shd w:val="clear" w:color="auto" w:fill="628D00" w:themeFill="accent2" w:themeFillShade="BF"/>
      </w:tcPr>
    </w:tblStylePr>
  </w:style>
  <w:style w:type="table" w:styleId="DarkList-Accent3">
    <w:name w:val="Dark List Accent 3"/>
    <w:basedOn w:val="TableNormal"/>
    <w:uiPriority w:val="70"/>
    <w:semiHidden/>
    <w:unhideWhenUsed/>
    <w:rsid w:val="009E6ED7"/>
    <w:rPr>
      <w:color w:val="FFFFFF" w:themeColor="background1"/>
    </w:rPr>
    <w:tblPr>
      <w:tblStyleRowBandSize w:val="1"/>
      <w:tblStyleColBandSize w:val="1"/>
    </w:tblPr>
    <w:tcPr>
      <w:shd w:val="clear" w:color="auto" w:fill="F68B1F"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844505"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C76808"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C76808" w:themeFill="accent3" w:themeFillShade="BF"/>
      </w:tcPr>
    </w:tblStylePr>
    <w:tblStylePr w:type="band1Vert">
      <w:tblPr/>
      <w:tcPr>
        <w:tcBorders>
          <w:top w:val="nil"/>
          <w:left w:val="nil"/>
          <w:bottom w:val="nil"/>
          <w:right w:val="nil"/>
          <w:insideH w:val="nil"/>
          <w:insideV w:val="nil"/>
        </w:tcBorders>
        <w:shd w:val="clear" w:color="auto" w:fill="C76808" w:themeFill="accent3" w:themeFillShade="BF"/>
      </w:tcPr>
    </w:tblStylePr>
    <w:tblStylePr w:type="band1Horz">
      <w:tblPr/>
      <w:tcPr>
        <w:tcBorders>
          <w:top w:val="nil"/>
          <w:left w:val="nil"/>
          <w:bottom w:val="nil"/>
          <w:right w:val="nil"/>
          <w:insideH w:val="nil"/>
          <w:insideV w:val="nil"/>
        </w:tcBorders>
        <w:shd w:val="clear" w:color="auto" w:fill="C76808" w:themeFill="accent3" w:themeFillShade="BF"/>
      </w:tcPr>
    </w:tblStylePr>
  </w:style>
  <w:style w:type="table" w:styleId="DarkList-Accent4">
    <w:name w:val="Dark List Accent 4"/>
    <w:basedOn w:val="TableNormal"/>
    <w:uiPriority w:val="70"/>
    <w:semiHidden/>
    <w:unhideWhenUsed/>
    <w:rsid w:val="009E6ED7"/>
    <w:rPr>
      <w:color w:val="FFFFFF" w:themeColor="background1"/>
    </w:rPr>
    <w:tblPr>
      <w:tblStyleRowBandSize w:val="1"/>
      <w:tblStyleColBandSize w:val="1"/>
    </w:tblPr>
    <w:tcPr>
      <w:shd w:val="clear" w:color="auto" w:fill="9E007E"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003E"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76005E"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76005E" w:themeFill="accent4" w:themeFillShade="BF"/>
      </w:tcPr>
    </w:tblStylePr>
    <w:tblStylePr w:type="band1Vert">
      <w:tblPr/>
      <w:tcPr>
        <w:tcBorders>
          <w:top w:val="nil"/>
          <w:left w:val="nil"/>
          <w:bottom w:val="nil"/>
          <w:right w:val="nil"/>
          <w:insideH w:val="nil"/>
          <w:insideV w:val="nil"/>
        </w:tcBorders>
        <w:shd w:val="clear" w:color="auto" w:fill="76005E" w:themeFill="accent4" w:themeFillShade="BF"/>
      </w:tcPr>
    </w:tblStylePr>
    <w:tblStylePr w:type="band1Horz">
      <w:tblPr/>
      <w:tcPr>
        <w:tcBorders>
          <w:top w:val="nil"/>
          <w:left w:val="nil"/>
          <w:bottom w:val="nil"/>
          <w:right w:val="nil"/>
          <w:insideH w:val="nil"/>
          <w:insideV w:val="nil"/>
        </w:tcBorders>
        <w:shd w:val="clear" w:color="auto" w:fill="76005E" w:themeFill="accent4" w:themeFillShade="BF"/>
      </w:tcPr>
    </w:tblStylePr>
  </w:style>
  <w:style w:type="table" w:styleId="DarkList-Accent5">
    <w:name w:val="Dark List Accent 5"/>
    <w:basedOn w:val="TableNormal"/>
    <w:uiPriority w:val="70"/>
    <w:semiHidden/>
    <w:unhideWhenUsed/>
    <w:rsid w:val="009E6ED7"/>
    <w:rPr>
      <w:color w:val="FFFFFF" w:themeColor="background1"/>
    </w:rPr>
    <w:tblPr>
      <w:tblStyleRowBandSize w:val="1"/>
      <w:tblStyleColBandSize w:val="1"/>
    </w:tblPr>
    <w:tcPr>
      <w:shd w:val="clear" w:color="auto" w:fill="FFE512"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877800"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CCB500"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CCB500" w:themeFill="accent5" w:themeFillShade="BF"/>
      </w:tcPr>
    </w:tblStylePr>
    <w:tblStylePr w:type="band1Vert">
      <w:tblPr/>
      <w:tcPr>
        <w:tcBorders>
          <w:top w:val="nil"/>
          <w:left w:val="nil"/>
          <w:bottom w:val="nil"/>
          <w:right w:val="nil"/>
          <w:insideH w:val="nil"/>
          <w:insideV w:val="nil"/>
        </w:tcBorders>
        <w:shd w:val="clear" w:color="auto" w:fill="CCB500" w:themeFill="accent5" w:themeFillShade="BF"/>
      </w:tcPr>
    </w:tblStylePr>
    <w:tblStylePr w:type="band1Horz">
      <w:tblPr/>
      <w:tcPr>
        <w:tcBorders>
          <w:top w:val="nil"/>
          <w:left w:val="nil"/>
          <w:bottom w:val="nil"/>
          <w:right w:val="nil"/>
          <w:insideH w:val="nil"/>
          <w:insideV w:val="nil"/>
        </w:tcBorders>
        <w:shd w:val="clear" w:color="auto" w:fill="CCB500" w:themeFill="accent5" w:themeFillShade="BF"/>
      </w:tcPr>
    </w:tblStylePr>
  </w:style>
  <w:style w:type="table" w:styleId="DarkList-Accent6">
    <w:name w:val="Dark List Accent 6"/>
    <w:basedOn w:val="TableNormal"/>
    <w:uiPriority w:val="70"/>
    <w:semiHidden/>
    <w:unhideWhenUsed/>
    <w:rsid w:val="009E6ED7"/>
    <w:rPr>
      <w:color w:val="FFFFFF" w:themeColor="background1"/>
    </w:rPr>
    <w:tblPr>
      <w:tblStyleRowBandSize w:val="1"/>
      <w:tblStyleColBandSize w:val="1"/>
    </w:tblPr>
    <w:tcPr>
      <w:shd w:val="clear" w:color="auto" w:fill="8C8279"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5403C"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69615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69615A" w:themeFill="accent6" w:themeFillShade="BF"/>
      </w:tcPr>
    </w:tblStylePr>
    <w:tblStylePr w:type="band1Vert">
      <w:tblPr/>
      <w:tcPr>
        <w:tcBorders>
          <w:top w:val="nil"/>
          <w:left w:val="nil"/>
          <w:bottom w:val="nil"/>
          <w:right w:val="nil"/>
          <w:insideH w:val="nil"/>
          <w:insideV w:val="nil"/>
        </w:tcBorders>
        <w:shd w:val="clear" w:color="auto" w:fill="69615A" w:themeFill="accent6" w:themeFillShade="BF"/>
      </w:tcPr>
    </w:tblStylePr>
    <w:tblStylePr w:type="band1Horz">
      <w:tblPr/>
      <w:tcPr>
        <w:tcBorders>
          <w:top w:val="nil"/>
          <w:left w:val="nil"/>
          <w:bottom w:val="nil"/>
          <w:right w:val="nil"/>
          <w:insideH w:val="nil"/>
          <w:insideV w:val="nil"/>
        </w:tcBorders>
        <w:shd w:val="clear" w:color="auto" w:fill="69615A" w:themeFill="accent6" w:themeFillShade="BF"/>
      </w:tcPr>
    </w:tblStylePr>
  </w:style>
  <w:style w:type="table" w:styleId="LightGrid">
    <w:name w:val="Light Grid"/>
    <w:basedOn w:val="TableNormal"/>
    <w:uiPriority w:val="62"/>
    <w:semiHidden/>
    <w:unhideWhenUsed/>
    <w:rsid w:val="009E6ED7"/>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semiHidden/>
    <w:unhideWhenUsed/>
    <w:rsid w:val="009E6ED7"/>
    <w:tblPr>
      <w:tblStyleRowBandSize w:val="1"/>
      <w:tblStyleColBandSize w:val="1"/>
      <w:tblBorders>
        <w:top w:val="single" w:sz="8" w:space="0" w:color="00B5E2" w:themeColor="accent1"/>
        <w:left w:val="single" w:sz="8" w:space="0" w:color="00B5E2" w:themeColor="accent1"/>
        <w:bottom w:val="single" w:sz="8" w:space="0" w:color="00B5E2" w:themeColor="accent1"/>
        <w:right w:val="single" w:sz="8" w:space="0" w:color="00B5E2" w:themeColor="accent1"/>
        <w:insideH w:val="single" w:sz="8" w:space="0" w:color="00B5E2" w:themeColor="accent1"/>
        <w:insideV w:val="single" w:sz="8" w:space="0" w:color="00B5E2"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B5E2" w:themeColor="accent1"/>
          <w:left w:val="single" w:sz="8" w:space="0" w:color="00B5E2" w:themeColor="accent1"/>
          <w:bottom w:val="single" w:sz="18" w:space="0" w:color="00B5E2" w:themeColor="accent1"/>
          <w:right w:val="single" w:sz="8" w:space="0" w:color="00B5E2" w:themeColor="accent1"/>
          <w:insideH w:val="nil"/>
          <w:insideV w:val="single" w:sz="8" w:space="0" w:color="00B5E2"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B5E2" w:themeColor="accent1"/>
          <w:left w:val="single" w:sz="8" w:space="0" w:color="00B5E2" w:themeColor="accent1"/>
          <w:bottom w:val="single" w:sz="8" w:space="0" w:color="00B5E2" w:themeColor="accent1"/>
          <w:right w:val="single" w:sz="8" w:space="0" w:color="00B5E2" w:themeColor="accent1"/>
          <w:insideH w:val="nil"/>
          <w:insideV w:val="single" w:sz="8" w:space="0" w:color="00B5E2"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B5E2" w:themeColor="accent1"/>
          <w:left w:val="single" w:sz="8" w:space="0" w:color="00B5E2" w:themeColor="accent1"/>
          <w:bottom w:val="single" w:sz="8" w:space="0" w:color="00B5E2" w:themeColor="accent1"/>
          <w:right w:val="single" w:sz="8" w:space="0" w:color="00B5E2" w:themeColor="accent1"/>
        </w:tcBorders>
      </w:tcPr>
    </w:tblStylePr>
    <w:tblStylePr w:type="band1Vert">
      <w:tblPr/>
      <w:tcPr>
        <w:tcBorders>
          <w:top w:val="single" w:sz="8" w:space="0" w:color="00B5E2" w:themeColor="accent1"/>
          <w:left w:val="single" w:sz="8" w:space="0" w:color="00B5E2" w:themeColor="accent1"/>
          <w:bottom w:val="single" w:sz="8" w:space="0" w:color="00B5E2" w:themeColor="accent1"/>
          <w:right w:val="single" w:sz="8" w:space="0" w:color="00B5E2" w:themeColor="accent1"/>
        </w:tcBorders>
        <w:shd w:val="clear" w:color="auto" w:fill="B8F0FF" w:themeFill="accent1" w:themeFillTint="3F"/>
      </w:tcPr>
    </w:tblStylePr>
    <w:tblStylePr w:type="band1Horz">
      <w:tblPr/>
      <w:tcPr>
        <w:tcBorders>
          <w:top w:val="single" w:sz="8" w:space="0" w:color="00B5E2" w:themeColor="accent1"/>
          <w:left w:val="single" w:sz="8" w:space="0" w:color="00B5E2" w:themeColor="accent1"/>
          <w:bottom w:val="single" w:sz="8" w:space="0" w:color="00B5E2" w:themeColor="accent1"/>
          <w:right w:val="single" w:sz="8" w:space="0" w:color="00B5E2" w:themeColor="accent1"/>
          <w:insideV w:val="single" w:sz="8" w:space="0" w:color="00B5E2" w:themeColor="accent1"/>
        </w:tcBorders>
        <w:shd w:val="clear" w:color="auto" w:fill="B8F0FF" w:themeFill="accent1" w:themeFillTint="3F"/>
      </w:tcPr>
    </w:tblStylePr>
    <w:tblStylePr w:type="band2Horz">
      <w:tblPr/>
      <w:tcPr>
        <w:tcBorders>
          <w:top w:val="single" w:sz="8" w:space="0" w:color="00B5E2" w:themeColor="accent1"/>
          <w:left w:val="single" w:sz="8" w:space="0" w:color="00B5E2" w:themeColor="accent1"/>
          <w:bottom w:val="single" w:sz="8" w:space="0" w:color="00B5E2" w:themeColor="accent1"/>
          <w:right w:val="single" w:sz="8" w:space="0" w:color="00B5E2" w:themeColor="accent1"/>
          <w:insideV w:val="single" w:sz="8" w:space="0" w:color="00B5E2" w:themeColor="accent1"/>
        </w:tcBorders>
      </w:tcPr>
    </w:tblStylePr>
  </w:style>
  <w:style w:type="table" w:styleId="LightGrid-Accent2">
    <w:name w:val="Light Grid Accent 2"/>
    <w:basedOn w:val="TableNormal"/>
    <w:uiPriority w:val="62"/>
    <w:semiHidden/>
    <w:unhideWhenUsed/>
    <w:rsid w:val="009E6ED7"/>
    <w:tblPr>
      <w:tblStyleRowBandSize w:val="1"/>
      <w:tblStyleColBandSize w:val="1"/>
      <w:tblBorders>
        <w:top w:val="single" w:sz="8" w:space="0" w:color="84BD00" w:themeColor="accent2"/>
        <w:left w:val="single" w:sz="8" w:space="0" w:color="84BD00" w:themeColor="accent2"/>
        <w:bottom w:val="single" w:sz="8" w:space="0" w:color="84BD00" w:themeColor="accent2"/>
        <w:right w:val="single" w:sz="8" w:space="0" w:color="84BD00" w:themeColor="accent2"/>
        <w:insideH w:val="single" w:sz="8" w:space="0" w:color="84BD00" w:themeColor="accent2"/>
        <w:insideV w:val="single" w:sz="8" w:space="0" w:color="84BD00"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4BD00" w:themeColor="accent2"/>
          <w:left w:val="single" w:sz="8" w:space="0" w:color="84BD00" w:themeColor="accent2"/>
          <w:bottom w:val="single" w:sz="18" w:space="0" w:color="84BD00" w:themeColor="accent2"/>
          <w:right w:val="single" w:sz="8" w:space="0" w:color="84BD00" w:themeColor="accent2"/>
          <w:insideH w:val="nil"/>
          <w:insideV w:val="single" w:sz="8" w:space="0" w:color="84BD00"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4BD00" w:themeColor="accent2"/>
          <w:left w:val="single" w:sz="8" w:space="0" w:color="84BD00" w:themeColor="accent2"/>
          <w:bottom w:val="single" w:sz="8" w:space="0" w:color="84BD00" w:themeColor="accent2"/>
          <w:right w:val="single" w:sz="8" w:space="0" w:color="84BD00" w:themeColor="accent2"/>
          <w:insideH w:val="nil"/>
          <w:insideV w:val="single" w:sz="8" w:space="0" w:color="84BD00"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4BD00" w:themeColor="accent2"/>
          <w:left w:val="single" w:sz="8" w:space="0" w:color="84BD00" w:themeColor="accent2"/>
          <w:bottom w:val="single" w:sz="8" w:space="0" w:color="84BD00" w:themeColor="accent2"/>
          <w:right w:val="single" w:sz="8" w:space="0" w:color="84BD00" w:themeColor="accent2"/>
        </w:tcBorders>
      </w:tcPr>
    </w:tblStylePr>
    <w:tblStylePr w:type="band1Vert">
      <w:tblPr/>
      <w:tcPr>
        <w:tcBorders>
          <w:top w:val="single" w:sz="8" w:space="0" w:color="84BD00" w:themeColor="accent2"/>
          <w:left w:val="single" w:sz="8" w:space="0" w:color="84BD00" w:themeColor="accent2"/>
          <w:bottom w:val="single" w:sz="8" w:space="0" w:color="84BD00" w:themeColor="accent2"/>
          <w:right w:val="single" w:sz="8" w:space="0" w:color="84BD00" w:themeColor="accent2"/>
        </w:tcBorders>
        <w:shd w:val="clear" w:color="auto" w:fill="E7FFAF" w:themeFill="accent2" w:themeFillTint="3F"/>
      </w:tcPr>
    </w:tblStylePr>
    <w:tblStylePr w:type="band1Horz">
      <w:tblPr/>
      <w:tcPr>
        <w:tcBorders>
          <w:top w:val="single" w:sz="8" w:space="0" w:color="84BD00" w:themeColor="accent2"/>
          <w:left w:val="single" w:sz="8" w:space="0" w:color="84BD00" w:themeColor="accent2"/>
          <w:bottom w:val="single" w:sz="8" w:space="0" w:color="84BD00" w:themeColor="accent2"/>
          <w:right w:val="single" w:sz="8" w:space="0" w:color="84BD00" w:themeColor="accent2"/>
          <w:insideV w:val="single" w:sz="8" w:space="0" w:color="84BD00" w:themeColor="accent2"/>
        </w:tcBorders>
        <w:shd w:val="clear" w:color="auto" w:fill="E7FFAF" w:themeFill="accent2" w:themeFillTint="3F"/>
      </w:tcPr>
    </w:tblStylePr>
    <w:tblStylePr w:type="band2Horz">
      <w:tblPr/>
      <w:tcPr>
        <w:tcBorders>
          <w:top w:val="single" w:sz="8" w:space="0" w:color="84BD00" w:themeColor="accent2"/>
          <w:left w:val="single" w:sz="8" w:space="0" w:color="84BD00" w:themeColor="accent2"/>
          <w:bottom w:val="single" w:sz="8" w:space="0" w:color="84BD00" w:themeColor="accent2"/>
          <w:right w:val="single" w:sz="8" w:space="0" w:color="84BD00" w:themeColor="accent2"/>
          <w:insideV w:val="single" w:sz="8" w:space="0" w:color="84BD00" w:themeColor="accent2"/>
        </w:tcBorders>
      </w:tcPr>
    </w:tblStylePr>
  </w:style>
  <w:style w:type="table" w:styleId="LightGrid-Accent3">
    <w:name w:val="Light Grid Accent 3"/>
    <w:basedOn w:val="TableNormal"/>
    <w:uiPriority w:val="62"/>
    <w:semiHidden/>
    <w:unhideWhenUsed/>
    <w:rsid w:val="009E6ED7"/>
    <w:tblPr>
      <w:tblStyleRowBandSize w:val="1"/>
      <w:tblStyleColBandSize w:val="1"/>
      <w:tblBorders>
        <w:top w:val="single" w:sz="8" w:space="0" w:color="F68B1F" w:themeColor="accent3"/>
        <w:left w:val="single" w:sz="8" w:space="0" w:color="F68B1F" w:themeColor="accent3"/>
        <w:bottom w:val="single" w:sz="8" w:space="0" w:color="F68B1F" w:themeColor="accent3"/>
        <w:right w:val="single" w:sz="8" w:space="0" w:color="F68B1F" w:themeColor="accent3"/>
        <w:insideH w:val="single" w:sz="8" w:space="0" w:color="F68B1F" w:themeColor="accent3"/>
        <w:insideV w:val="single" w:sz="8" w:space="0" w:color="F68B1F"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68B1F" w:themeColor="accent3"/>
          <w:left w:val="single" w:sz="8" w:space="0" w:color="F68B1F" w:themeColor="accent3"/>
          <w:bottom w:val="single" w:sz="18" w:space="0" w:color="F68B1F" w:themeColor="accent3"/>
          <w:right w:val="single" w:sz="8" w:space="0" w:color="F68B1F" w:themeColor="accent3"/>
          <w:insideH w:val="nil"/>
          <w:insideV w:val="single" w:sz="8" w:space="0" w:color="F68B1F"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68B1F" w:themeColor="accent3"/>
          <w:left w:val="single" w:sz="8" w:space="0" w:color="F68B1F" w:themeColor="accent3"/>
          <w:bottom w:val="single" w:sz="8" w:space="0" w:color="F68B1F" w:themeColor="accent3"/>
          <w:right w:val="single" w:sz="8" w:space="0" w:color="F68B1F" w:themeColor="accent3"/>
          <w:insideH w:val="nil"/>
          <w:insideV w:val="single" w:sz="8" w:space="0" w:color="F68B1F"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68B1F" w:themeColor="accent3"/>
          <w:left w:val="single" w:sz="8" w:space="0" w:color="F68B1F" w:themeColor="accent3"/>
          <w:bottom w:val="single" w:sz="8" w:space="0" w:color="F68B1F" w:themeColor="accent3"/>
          <w:right w:val="single" w:sz="8" w:space="0" w:color="F68B1F" w:themeColor="accent3"/>
        </w:tcBorders>
      </w:tcPr>
    </w:tblStylePr>
    <w:tblStylePr w:type="band1Vert">
      <w:tblPr/>
      <w:tcPr>
        <w:tcBorders>
          <w:top w:val="single" w:sz="8" w:space="0" w:color="F68B1F" w:themeColor="accent3"/>
          <w:left w:val="single" w:sz="8" w:space="0" w:color="F68B1F" w:themeColor="accent3"/>
          <w:bottom w:val="single" w:sz="8" w:space="0" w:color="F68B1F" w:themeColor="accent3"/>
          <w:right w:val="single" w:sz="8" w:space="0" w:color="F68B1F" w:themeColor="accent3"/>
        </w:tcBorders>
        <w:shd w:val="clear" w:color="auto" w:fill="FCE2C7" w:themeFill="accent3" w:themeFillTint="3F"/>
      </w:tcPr>
    </w:tblStylePr>
    <w:tblStylePr w:type="band1Horz">
      <w:tblPr/>
      <w:tcPr>
        <w:tcBorders>
          <w:top w:val="single" w:sz="8" w:space="0" w:color="F68B1F" w:themeColor="accent3"/>
          <w:left w:val="single" w:sz="8" w:space="0" w:color="F68B1F" w:themeColor="accent3"/>
          <w:bottom w:val="single" w:sz="8" w:space="0" w:color="F68B1F" w:themeColor="accent3"/>
          <w:right w:val="single" w:sz="8" w:space="0" w:color="F68B1F" w:themeColor="accent3"/>
          <w:insideV w:val="single" w:sz="8" w:space="0" w:color="F68B1F" w:themeColor="accent3"/>
        </w:tcBorders>
        <w:shd w:val="clear" w:color="auto" w:fill="FCE2C7" w:themeFill="accent3" w:themeFillTint="3F"/>
      </w:tcPr>
    </w:tblStylePr>
    <w:tblStylePr w:type="band2Horz">
      <w:tblPr/>
      <w:tcPr>
        <w:tcBorders>
          <w:top w:val="single" w:sz="8" w:space="0" w:color="F68B1F" w:themeColor="accent3"/>
          <w:left w:val="single" w:sz="8" w:space="0" w:color="F68B1F" w:themeColor="accent3"/>
          <w:bottom w:val="single" w:sz="8" w:space="0" w:color="F68B1F" w:themeColor="accent3"/>
          <w:right w:val="single" w:sz="8" w:space="0" w:color="F68B1F" w:themeColor="accent3"/>
          <w:insideV w:val="single" w:sz="8" w:space="0" w:color="F68B1F" w:themeColor="accent3"/>
        </w:tcBorders>
      </w:tcPr>
    </w:tblStylePr>
  </w:style>
  <w:style w:type="table" w:styleId="LightGrid-Accent4">
    <w:name w:val="Light Grid Accent 4"/>
    <w:basedOn w:val="TableNormal"/>
    <w:uiPriority w:val="62"/>
    <w:semiHidden/>
    <w:unhideWhenUsed/>
    <w:rsid w:val="009E6ED7"/>
    <w:tblPr>
      <w:tblStyleRowBandSize w:val="1"/>
      <w:tblStyleColBandSize w:val="1"/>
      <w:tblBorders>
        <w:top w:val="single" w:sz="8" w:space="0" w:color="9E007E" w:themeColor="accent4"/>
        <w:left w:val="single" w:sz="8" w:space="0" w:color="9E007E" w:themeColor="accent4"/>
        <w:bottom w:val="single" w:sz="8" w:space="0" w:color="9E007E" w:themeColor="accent4"/>
        <w:right w:val="single" w:sz="8" w:space="0" w:color="9E007E" w:themeColor="accent4"/>
        <w:insideH w:val="single" w:sz="8" w:space="0" w:color="9E007E" w:themeColor="accent4"/>
        <w:insideV w:val="single" w:sz="8" w:space="0" w:color="9E007E"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E007E" w:themeColor="accent4"/>
          <w:left w:val="single" w:sz="8" w:space="0" w:color="9E007E" w:themeColor="accent4"/>
          <w:bottom w:val="single" w:sz="18" w:space="0" w:color="9E007E" w:themeColor="accent4"/>
          <w:right w:val="single" w:sz="8" w:space="0" w:color="9E007E" w:themeColor="accent4"/>
          <w:insideH w:val="nil"/>
          <w:insideV w:val="single" w:sz="8" w:space="0" w:color="9E007E"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E007E" w:themeColor="accent4"/>
          <w:left w:val="single" w:sz="8" w:space="0" w:color="9E007E" w:themeColor="accent4"/>
          <w:bottom w:val="single" w:sz="8" w:space="0" w:color="9E007E" w:themeColor="accent4"/>
          <w:right w:val="single" w:sz="8" w:space="0" w:color="9E007E" w:themeColor="accent4"/>
          <w:insideH w:val="nil"/>
          <w:insideV w:val="single" w:sz="8" w:space="0" w:color="9E007E"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E007E" w:themeColor="accent4"/>
          <w:left w:val="single" w:sz="8" w:space="0" w:color="9E007E" w:themeColor="accent4"/>
          <w:bottom w:val="single" w:sz="8" w:space="0" w:color="9E007E" w:themeColor="accent4"/>
          <w:right w:val="single" w:sz="8" w:space="0" w:color="9E007E" w:themeColor="accent4"/>
        </w:tcBorders>
      </w:tcPr>
    </w:tblStylePr>
    <w:tblStylePr w:type="band1Vert">
      <w:tblPr/>
      <w:tcPr>
        <w:tcBorders>
          <w:top w:val="single" w:sz="8" w:space="0" w:color="9E007E" w:themeColor="accent4"/>
          <w:left w:val="single" w:sz="8" w:space="0" w:color="9E007E" w:themeColor="accent4"/>
          <w:bottom w:val="single" w:sz="8" w:space="0" w:color="9E007E" w:themeColor="accent4"/>
          <w:right w:val="single" w:sz="8" w:space="0" w:color="9E007E" w:themeColor="accent4"/>
        </w:tcBorders>
        <w:shd w:val="clear" w:color="auto" w:fill="FFA8ED" w:themeFill="accent4" w:themeFillTint="3F"/>
      </w:tcPr>
    </w:tblStylePr>
    <w:tblStylePr w:type="band1Horz">
      <w:tblPr/>
      <w:tcPr>
        <w:tcBorders>
          <w:top w:val="single" w:sz="8" w:space="0" w:color="9E007E" w:themeColor="accent4"/>
          <w:left w:val="single" w:sz="8" w:space="0" w:color="9E007E" w:themeColor="accent4"/>
          <w:bottom w:val="single" w:sz="8" w:space="0" w:color="9E007E" w:themeColor="accent4"/>
          <w:right w:val="single" w:sz="8" w:space="0" w:color="9E007E" w:themeColor="accent4"/>
          <w:insideV w:val="single" w:sz="8" w:space="0" w:color="9E007E" w:themeColor="accent4"/>
        </w:tcBorders>
        <w:shd w:val="clear" w:color="auto" w:fill="FFA8ED" w:themeFill="accent4" w:themeFillTint="3F"/>
      </w:tcPr>
    </w:tblStylePr>
    <w:tblStylePr w:type="band2Horz">
      <w:tblPr/>
      <w:tcPr>
        <w:tcBorders>
          <w:top w:val="single" w:sz="8" w:space="0" w:color="9E007E" w:themeColor="accent4"/>
          <w:left w:val="single" w:sz="8" w:space="0" w:color="9E007E" w:themeColor="accent4"/>
          <w:bottom w:val="single" w:sz="8" w:space="0" w:color="9E007E" w:themeColor="accent4"/>
          <w:right w:val="single" w:sz="8" w:space="0" w:color="9E007E" w:themeColor="accent4"/>
          <w:insideV w:val="single" w:sz="8" w:space="0" w:color="9E007E" w:themeColor="accent4"/>
        </w:tcBorders>
      </w:tcPr>
    </w:tblStylePr>
  </w:style>
  <w:style w:type="table" w:styleId="LightGrid-Accent5">
    <w:name w:val="Light Grid Accent 5"/>
    <w:basedOn w:val="TableNormal"/>
    <w:uiPriority w:val="62"/>
    <w:semiHidden/>
    <w:unhideWhenUsed/>
    <w:rsid w:val="009E6ED7"/>
    <w:tblPr>
      <w:tblStyleRowBandSize w:val="1"/>
      <w:tblStyleColBandSize w:val="1"/>
      <w:tblBorders>
        <w:top w:val="single" w:sz="8" w:space="0" w:color="FFE512" w:themeColor="accent5"/>
        <w:left w:val="single" w:sz="8" w:space="0" w:color="FFE512" w:themeColor="accent5"/>
        <w:bottom w:val="single" w:sz="8" w:space="0" w:color="FFE512" w:themeColor="accent5"/>
        <w:right w:val="single" w:sz="8" w:space="0" w:color="FFE512" w:themeColor="accent5"/>
        <w:insideH w:val="single" w:sz="8" w:space="0" w:color="FFE512" w:themeColor="accent5"/>
        <w:insideV w:val="single" w:sz="8" w:space="0" w:color="FFE512"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FE512" w:themeColor="accent5"/>
          <w:left w:val="single" w:sz="8" w:space="0" w:color="FFE512" w:themeColor="accent5"/>
          <w:bottom w:val="single" w:sz="18" w:space="0" w:color="FFE512" w:themeColor="accent5"/>
          <w:right w:val="single" w:sz="8" w:space="0" w:color="FFE512" w:themeColor="accent5"/>
          <w:insideH w:val="nil"/>
          <w:insideV w:val="single" w:sz="8" w:space="0" w:color="FFE512"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FE512" w:themeColor="accent5"/>
          <w:left w:val="single" w:sz="8" w:space="0" w:color="FFE512" w:themeColor="accent5"/>
          <w:bottom w:val="single" w:sz="8" w:space="0" w:color="FFE512" w:themeColor="accent5"/>
          <w:right w:val="single" w:sz="8" w:space="0" w:color="FFE512" w:themeColor="accent5"/>
          <w:insideH w:val="nil"/>
          <w:insideV w:val="single" w:sz="8" w:space="0" w:color="FFE512"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FE512" w:themeColor="accent5"/>
          <w:left w:val="single" w:sz="8" w:space="0" w:color="FFE512" w:themeColor="accent5"/>
          <w:bottom w:val="single" w:sz="8" w:space="0" w:color="FFE512" w:themeColor="accent5"/>
          <w:right w:val="single" w:sz="8" w:space="0" w:color="FFE512" w:themeColor="accent5"/>
        </w:tcBorders>
      </w:tcPr>
    </w:tblStylePr>
    <w:tblStylePr w:type="band1Vert">
      <w:tblPr/>
      <w:tcPr>
        <w:tcBorders>
          <w:top w:val="single" w:sz="8" w:space="0" w:color="FFE512" w:themeColor="accent5"/>
          <w:left w:val="single" w:sz="8" w:space="0" w:color="FFE512" w:themeColor="accent5"/>
          <w:bottom w:val="single" w:sz="8" w:space="0" w:color="FFE512" w:themeColor="accent5"/>
          <w:right w:val="single" w:sz="8" w:space="0" w:color="FFE512" w:themeColor="accent5"/>
        </w:tcBorders>
        <w:shd w:val="clear" w:color="auto" w:fill="FFF8C4" w:themeFill="accent5" w:themeFillTint="3F"/>
      </w:tcPr>
    </w:tblStylePr>
    <w:tblStylePr w:type="band1Horz">
      <w:tblPr/>
      <w:tcPr>
        <w:tcBorders>
          <w:top w:val="single" w:sz="8" w:space="0" w:color="FFE512" w:themeColor="accent5"/>
          <w:left w:val="single" w:sz="8" w:space="0" w:color="FFE512" w:themeColor="accent5"/>
          <w:bottom w:val="single" w:sz="8" w:space="0" w:color="FFE512" w:themeColor="accent5"/>
          <w:right w:val="single" w:sz="8" w:space="0" w:color="FFE512" w:themeColor="accent5"/>
          <w:insideV w:val="single" w:sz="8" w:space="0" w:color="FFE512" w:themeColor="accent5"/>
        </w:tcBorders>
        <w:shd w:val="clear" w:color="auto" w:fill="FFF8C4" w:themeFill="accent5" w:themeFillTint="3F"/>
      </w:tcPr>
    </w:tblStylePr>
    <w:tblStylePr w:type="band2Horz">
      <w:tblPr/>
      <w:tcPr>
        <w:tcBorders>
          <w:top w:val="single" w:sz="8" w:space="0" w:color="FFE512" w:themeColor="accent5"/>
          <w:left w:val="single" w:sz="8" w:space="0" w:color="FFE512" w:themeColor="accent5"/>
          <w:bottom w:val="single" w:sz="8" w:space="0" w:color="FFE512" w:themeColor="accent5"/>
          <w:right w:val="single" w:sz="8" w:space="0" w:color="FFE512" w:themeColor="accent5"/>
          <w:insideV w:val="single" w:sz="8" w:space="0" w:color="FFE512" w:themeColor="accent5"/>
        </w:tcBorders>
      </w:tcPr>
    </w:tblStylePr>
  </w:style>
  <w:style w:type="table" w:styleId="LightGrid-Accent6">
    <w:name w:val="Light Grid Accent 6"/>
    <w:basedOn w:val="TableNormal"/>
    <w:uiPriority w:val="62"/>
    <w:semiHidden/>
    <w:unhideWhenUsed/>
    <w:rsid w:val="009E6ED7"/>
    <w:tblPr>
      <w:tblStyleRowBandSize w:val="1"/>
      <w:tblStyleColBandSize w:val="1"/>
      <w:tblBorders>
        <w:top w:val="single" w:sz="8" w:space="0" w:color="8C8279" w:themeColor="accent6"/>
        <w:left w:val="single" w:sz="8" w:space="0" w:color="8C8279" w:themeColor="accent6"/>
        <w:bottom w:val="single" w:sz="8" w:space="0" w:color="8C8279" w:themeColor="accent6"/>
        <w:right w:val="single" w:sz="8" w:space="0" w:color="8C8279" w:themeColor="accent6"/>
        <w:insideH w:val="single" w:sz="8" w:space="0" w:color="8C8279" w:themeColor="accent6"/>
        <w:insideV w:val="single" w:sz="8" w:space="0" w:color="8C8279"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C8279" w:themeColor="accent6"/>
          <w:left w:val="single" w:sz="8" w:space="0" w:color="8C8279" w:themeColor="accent6"/>
          <w:bottom w:val="single" w:sz="18" w:space="0" w:color="8C8279" w:themeColor="accent6"/>
          <w:right w:val="single" w:sz="8" w:space="0" w:color="8C8279" w:themeColor="accent6"/>
          <w:insideH w:val="nil"/>
          <w:insideV w:val="single" w:sz="8" w:space="0" w:color="8C8279"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C8279" w:themeColor="accent6"/>
          <w:left w:val="single" w:sz="8" w:space="0" w:color="8C8279" w:themeColor="accent6"/>
          <w:bottom w:val="single" w:sz="8" w:space="0" w:color="8C8279" w:themeColor="accent6"/>
          <w:right w:val="single" w:sz="8" w:space="0" w:color="8C8279" w:themeColor="accent6"/>
          <w:insideH w:val="nil"/>
          <w:insideV w:val="single" w:sz="8" w:space="0" w:color="8C8279"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C8279" w:themeColor="accent6"/>
          <w:left w:val="single" w:sz="8" w:space="0" w:color="8C8279" w:themeColor="accent6"/>
          <w:bottom w:val="single" w:sz="8" w:space="0" w:color="8C8279" w:themeColor="accent6"/>
          <w:right w:val="single" w:sz="8" w:space="0" w:color="8C8279" w:themeColor="accent6"/>
        </w:tcBorders>
      </w:tcPr>
    </w:tblStylePr>
    <w:tblStylePr w:type="band1Vert">
      <w:tblPr/>
      <w:tcPr>
        <w:tcBorders>
          <w:top w:val="single" w:sz="8" w:space="0" w:color="8C8279" w:themeColor="accent6"/>
          <w:left w:val="single" w:sz="8" w:space="0" w:color="8C8279" w:themeColor="accent6"/>
          <w:bottom w:val="single" w:sz="8" w:space="0" w:color="8C8279" w:themeColor="accent6"/>
          <w:right w:val="single" w:sz="8" w:space="0" w:color="8C8279" w:themeColor="accent6"/>
        </w:tcBorders>
        <w:shd w:val="clear" w:color="auto" w:fill="E2E0DD" w:themeFill="accent6" w:themeFillTint="3F"/>
      </w:tcPr>
    </w:tblStylePr>
    <w:tblStylePr w:type="band1Horz">
      <w:tblPr/>
      <w:tcPr>
        <w:tcBorders>
          <w:top w:val="single" w:sz="8" w:space="0" w:color="8C8279" w:themeColor="accent6"/>
          <w:left w:val="single" w:sz="8" w:space="0" w:color="8C8279" w:themeColor="accent6"/>
          <w:bottom w:val="single" w:sz="8" w:space="0" w:color="8C8279" w:themeColor="accent6"/>
          <w:right w:val="single" w:sz="8" w:space="0" w:color="8C8279" w:themeColor="accent6"/>
          <w:insideV w:val="single" w:sz="8" w:space="0" w:color="8C8279" w:themeColor="accent6"/>
        </w:tcBorders>
        <w:shd w:val="clear" w:color="auto" w:fill="E2E0DD" w:themeFill="accent6" w:themeFillTint="3F"/>
      </w:tcPr>
    </w:tblStylePr>
    <w:tblStylePr w:type="band2Horz">
      <w:tblPr/>
      <w:tcPr>
        <w:tcBorders>
          <w:top w:val="single" w:sz="8" w:space="0" w:color="8C8279" w:themeColor="accent6"/>
          <w:left w:val="single" w:sz="8" w:space="0" w:color="8C8279" w:themeColor="accent6"/>
          <w:bottom w:val="single" w:sz="8" w:space="0" w:color="8C8279" w:themeColor="accent6"/>
          <w:right w:val="single" w:sz="8" w:space="0" w:color="8C8279" w:themeColor="accent6"/>
          <w:insideV w:val="single" w:sz="8" w:space="0" w:color="8C8279" w:themeColor="accent6"/>
        </w:tcBorders>
      </w:tcPr>
    </w:tblStylePr>
  </w:style>
  <w:style w:type="table" w:styleId="LightList">
    <w:name w:val="Light List"/>
    <w:basedOn w:val="TableNormal"/>
    <w:uiPriority w:val="61"/>
    <w:semiHidden/>
    <w:unhideWhenUsed/>
    <w:rsid w:val="009E6ED7"/>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semiHidden/>
    <w:unhideWhenUsed/>
    <w:rsid w:val="009E6ED7"/>
    <w:tblPr>
      <w:tblStyleRowBandSize w:val="1"/>
      <w:tblStyleColBandSize w:val="1"/>
      <w:tblBorders>
        <w:top w:val="single" w:sz="8" w:space="0" w:color="00B5E2" w:themeColor="accent1"/>
        <w:left w:val="single" w:sz="8" w:space="0" w:color="00B5E2" w:themeColor="accent1"/>
        <w:bottom w:val="single" w:sz="8" w:space="0" w:color="00B5E2" w:themeColor="accent1"/>
        <w:right w:val="single" w:sz="8" w:space="0" w:color="00B5E2" w:themeColor="accent1"/>
      </w:tblBorders>
    </w:tblPr>
    <w:tblStylePr w:type="firstRow">
      <w:pPr>
        <w:spacing w:before="0" w:after="0" w:line="240" w:lineRule="auto"/>
      </w:pPr>
      <w:rPr>
        <w:b/>
        <w:bCs/>
        <w:color w:val="FFFFFF" w:themeColor="background1"/>
      </w:rPr>
      <w:tblPr/>
      <w:tcPr>
        <w:shd w:val="clear" w:color="auto" w:fill="00B5E2" w:themeFill="accent1"/>
      </w:tcPr>
    </w:tblStylePr>
    <w:tblStylePr w:type="lastRow">
      <w:pPr>
        <w:spacing w:before="0" w:after="0" w:line="240" w:lineRule="auto"/>
      </w:pPr>
      <w:rPr>
        <w:b/>
        <w:bCs/>
      </w:rPr>
      <w:tblPr/>
      <w:tcPr>
        <w:tcBorders>
          <w:top w:val="double" w:sz="6" w:space="0" w:color="00B5E2" w:themeColor="accent1"/>
          <w:left w:val="single" w:sz="8" w:space="0" w:color="00B5E2" w:themeColor="accent1"/>
          <w:bottom w:val="single" w:sz="8" w:space="0" w:color="00B5E2" w:themeColor="accent1"/>
          <w:right w:val="single" w:sz="8" w:space="0" w:color="00B5E2" w:themeColor="accent1"/>
        </w:tcBorders>
      </w:tcPr>
    </w:tblStylePr>
    <w:tblStylePr w:type="firstCol">
      <w:rPr>
        <w:b/>
        <w:bCs/>
      </w:rPr>
    </w:tblStylePr>
    <w:tblStylePr w:type="lastCol">
      <w:rPr>
        <w:b/>
        <w:bCs/>
      </w:rPr>
    </w:tblStylePr>
    <w:tblStylePr w:type="band1Vert">
      <w:tblPr/>
      <w:tcPr>
        <w:tcBorders>
          <w:top w:val="single" w:sz="8" w:space="0" w:color="00B5E2" w:themeColor="accent1"/>
          <w:left w:val="single" w:sz="8" w:space="0" w:color="00B5E2" w:themeColor="accent1"/>
          <w:bottom w:val="single" w:sz="8" w:space="0" w:color="00B5E2" w:themeColor="accent1"/>
          <w:right w:val="single" w:sz="8" w:space="0" w:color="00B5E2" w:themeColor="accent1"/>
        </w:tcBorders>
      </w:tcPr>
    </w:tblStylePr>
    <w:tblStylePr w:type="band1Horz">
      <w:tblPr/>
      <w:tcPr>
        <w:tcBorders>
          <w:top w:val="single" w:sz="8" w:space="0" w:color="00B5E2" w:themeColor="accent1"/>
          <w:left w:val="single" w:sz="8" w:space="0" w:color="00B5E2" w:themeColor="accent1"/>
          <w:bottom w:val="single" w:sz="8" w:space="0" w:color="00B5E2" w:themeColor="accent1"/>
          <w:right w:val="single" w:sz="8" w:space="0" w:color="00B5E2" w:themeColor="accent1"/>
        </w:tcBorders>
      </w:tcPr>
    </w:tblStylePr>
  </w:style>
  <w:style w:type="table" w:styleId="LightList-Accent2">
    <w:name w:val="Light List Accent 2"/>
    <w:basedOn w:val="TableNormal"/>
    <w:uiPriority w:val="61"/>
    <w:semiHidden/>
    <w:unhideWhenUsed/>
    <w:rsid w:val="009E6ED7"/>
    <w:tblPr>
      <w:tblStyleRowBandSize w:val="1"/>
      <w:tblStyleColBandSize w:val="1"/>
      <w:tblBorders>
        <w:top w:val="single" w:sz="8" w:space="0" w:color="84BD00" w:themeColor="accent2"/>
        <w:left w:val="single" w:sz="8" w:space="0" w:color="84BD00" w:themeColor="accent2"/>
        <w:bottom w:val="single" w:sz="8" w:space="0" w:color="84BD00" w:themeColor="accent2"/>
        <w:right w:val="single" w:sz="8" w:space="0" w:color="84BD00" w:themeColor="accent2"/>
      </w:tblBorders>
    </w:tblPr>
    <w:tblStylePr w:type="firstRow">
      <w:pPr>
        <w:spacing w:before="0" w:after="0" w:line="240" w:lineRule="auto"/>
      </w:pPr>
      <w:rPr>
        <w:b/>
        <w:bCs/>
        <w:color w:val="FFFFFF" w:themeColor="background1"/>
      </w:rPr>
      <w:tblPr/>
      <w:tcPr>
        <w:shd w:val="clear" w:color="auto" w:fill="84BD00" w:themeFill="accent2"/>
      </w:tcPr>
    </w:tblStylePr>
    <w:tblStylePr w:type="lastRow">
      <w:pPr>
        <w:spacing w:before="0" w:after="0" w:line="240" w:lineRule="auto"/>
      </w:pPr>
      <w:rPr>
        <w:b/>
        <w:bCs/>
      </w:rPr>
      <w:tblPr/>
      <w:tcPr>
        <w:tcBorders>
          <w:top w:val="double" w:sz="6" w:space="0" w:color="84BD00" w:themeColor="accent2"/>
          <w:left w:val="single" w:sz="8" w:space="0" w:color="84BD00" w:themeColor="accent2"/>
          <w:bottom w:val="single" w:sz="8" w:space="0" w:color="84BD00" w:themeColor="accent2"/>
          <w:right w:val="single" w:sz="8" w:space="0" w:color="84BD00" w:themeColor="accent2"/>
        </w:tcBorders>
      </w:tcPr>
    </w:tblStylePr>
    <w:tblStylePr w:type="firstCol">
      <w:rPr>
        <w:b/>
        <w:bCs/>
      </w:rPr>
    </w:tblStylePr>
    <w:tblStylePr w:type="lastCol">
      <w:rPr>
        <w:b/>
        <w:bCs/>
      </w:rPr>
    </w:tblStylePr>
    <w:tblStylePr w:type="band1Vert">
      <w:tblPr/>
      <w:tcPr>
        <w:tcBorders>
          <w:top w:val="single" w:sz="8" w:space="0" w:color="84BD00" w:themeColor="accent2"/>
          <w:left w:val="single" w:sz="8" w:space="0" w:color="84BD00" w:themeColor="accent2"/>
          <w:bottom w:val="single" w:sz="8" w:space="0" w:color="84BD00" w:themeColor="accent2"/>
          <w:right w:val="single" w:sz="8" w:space="0" w:color="84BD00" w:themeColor="accent2"/>
        </w:tcBorders>
      </w:tcPr>
    </w:tblStylePr>
    <w:tblStylePr w:type="band1Horz">
      <w:tblPr/>
      <w:tcPr>
        <w:tcBorders>
          <w:top w:val="single" w:sz="8" w:space="0" w:color="84BD00" w:themeColor="accent2"/>
          <w:left w:val="single" w:sz="8" w:space="0" w:color="84BD00" w:themeColor="accent2"/>
          <w:bottom w:val="single" w:sz="8" w:space="0" w:color="84BD00" w:themeColor="accent2"/>
          <w:right w:val="single" w:sz="8" w:space="0" w:color="84BD00" w:themeColor="accent2"/>
        </w:tcBorders>
      </w:tcPr>
    </w:tblStylePr>
  </w:style>
  <w:style w:type="table" w:styleId="LightList-Accent3">
    <w:name w:val="Light List Accent 3"/>
    <w:basedOn w:val="TableNormal"/>
    <w:uiPriority w:val="61"/>
    <w:semiHidden/>
    <w:unhideWhenUsed/>
    <w:rsid w:val="009E6ED7"/>
    <w:tblPr>
      <w:tblStyleRowBandSize w:val="1"/>
      <w:tblStyleColBandSize w:val="1"/>
      <w:tblBorders>
        <w:top w:val="single" w:sz="8" w:space="0" w:color="F68B1F" w:themeColor="accent3"/>
        <w:left w:val="single" w:sz="8" w:space="0" w:color="F68B1F" w:themeColor="accent3"/>
        <w:bottom w:val="single" w:sz="8" w:space="0" w:color="F68B1F" w:themeColor="accent3"/>
        <w:right w:val="single" w:sz="8" w:space="0" w:color="F68B1F" w:themeColor="accent3"/>
      </w:tblBorders>
    </w:tblPr>
    <w:tblStylePr w:type="firstRow">
      <w:pPr>
        <w:spacing w:before="0" w:after="0" w:line="240" w:lineRule="auto"/>
      </w:pPr>
      <w:rPr>
        <w:b/>
        <w:bCs/>
        <w:color w:val="FFFFFF" w:themeColor="background1"/>
      </w:rPr>
      <w:tblPr/>
      <w:tcPr>
        <w:shd w:val="clear" w:color="auto" w:fill="F68B1F" w:themeFill="accent3"/>
      </w:tcPr>
    </w:tblStylePr>
    <w:tblStylePr w:type="lastRow">
      <w:pPr>
        <w:spacing w:before="0" w:after="0" w:line="240" w:lineRule="auto"/>
      </w:pPr>
      <w:rPr>
        <w:b/>
        <w:bCs/>
      </w:rPr>
      <w:tblPr/>
      <w:tcPr>
        <w:tcBorders>
          <w:top w:val="double" w:sz="6" w:space="0" w:color="F68B1F" w:themeColor="accent3"/>
          <w:left w:val="single" w:sz="8" w:space="0" w:color="F68B1F" w:themeColor="accent3"/>
          <w:bottom w:val="single" w:sz="8" w:space="0" w:color="F68B1F" w:themeColor="accent3"/>
          <w:right w:val="single" w:sz="8" w:space="0" w:color="F68B1F" w:themeColor="accent3"/>
        </w:tcBorders>
      </w:tcPr>
    </w:tblStylePr>
    <w:tblStylePr w:type="firstCol">
      <w:rPr>
        <w:b/>
        <w:bCs/>
      </w:rPr>
    </w:tblStylePr>
    <w:tblStylePr w:type="lastCol">
      <w:rPr>
        <w:b/>
        <w:bCs/>
      </w:rPr>
    </w:tblStylePr>
    <w:tblStylePr w:type="band1Vert">
      <w:tblPr/>
      <w:tcPr>
        <w:tcBorders>
          <w:top w:val="single" w:sz="8" w:space="0" w:color="F68B1F" w:themeColor="accent3"/>
          <w:left w:val="single" w:sz="8" w:space="0" w:color="F68B1F" w:themeColor="accent3"/>
          <w:bottom w:val="single" w:sz="8" w:space="0" w:color="F68B1F" w:themeColor="accent3"/>
          <w:right w:val="single" w:sz="8" w:space="0" w:color="F68B1F" w:themeColor="accent3"/>
        </w:tcBorders>
      </w:tcPr>
    </w:tblStylePr>
    <w:tblStylePr w:type="band1Horz">
      <w:tblPr/>
      <w:tcPr>
        <w:tcBorders>
          <w:top w:val="single" w:sz="8" w:space="0" w:color="F68B1F" w:themeColor="accent3"/>
          <w:left w:val="single" w:sz="8" w:space="0" w:color="F68B1F" w:themeColor="accent3"/>
          <w:bottom w:val="single" w:sz="8" w:space="0" w:color="F68B1F" w:themeColor="accent3"/>
          <w:right w:val="single" w:sz="8" w:space="0" w:color="F68B1F" w:themeColor="accent3"/>
        </w:tcBorders>
      </w:tcPr>
    </w:tblStylePr>
  </w:style>
  <w:style w:type="table" w:styleId="LightList-Accent4">
    <w:name w:val="Light List Accent 4"/>
    <w:basedOn w:val="TableNormal"/>
    <w:uiPriority w:val="61"/>
    <w:semiHidden/>
    <w:unhideWhenUsed/>
    <w:rsid w:val="009E6ED7"/>
    <w:tblPr>
      <w:tblStyleRowBandSize w:val="1"/>
      <w:tblStyleColBandSize w:val="1"/>
      <w:tblBorders>
        <w:top w:val="single" w:sz="8" w:space="0" w:color="9E007E" w:themeColor="accent4"/>
        <w:left w:val="single" w:sz="8" w:space="0" w:color="9E007E" w:themeColor="accent4"/>
        <w:bottom w:val="single" w:sz="8" w:space="0" w:color="9E007E" w:themeColor="accent4"/>
        <w:right w:val="single" w:sz="8" w:space="0" w:color="9E007E" w:themeColor="accent4"/>
      </w:tblBorders>
    </w:tblPr>
    <w:tblStylePr w:type="firstRow">
      <w:pPr>
        <w:spacing w:before="0" w:after="0" w:line="240" w:lineRule="auto"/>
      </w:pPr>
      <w:rPr>
        <w:b/>
        <w:bCs/>
        <w:color w:val="FFFFFF" w:themeColor="background1"/>
      </w:rPr>
      <w:tblPr/>
      <w:tcPr>
        <w:shd w:val="clear" w:color="auto" w:fill="9E007E" w:themeFill="accent4"/>
      </w:tcPr>
    </w:tblStylePr>
    <w:tblStylePr w:type="lastRow">
      <w:pPr>
        <w:spacing w:before="0" w:after="0" w:line="240" w:lineRule="auto"/>
      </w:pPr>
      <w:rPr>
        <w:b/>
        <w:bCs/>
      </w:rPr>
      <w:tblPr/>
      <w:tcPr>
        <w:tcBorders>
          <w:top w:val="double" w:sz="6" w:space="0" w:color="9E007E" w:themeColor="accent4"/>
          <w:left w:val="single" w:sz="8" w:space="0" w:color="9E007E" w:themeColor="accent4"/>
          <w:bottom w:val="single" w:sz="8" w:space="0" w:color="9E007E" w:themeColor="accent4"/>
          <w:right w:val="single" w:sz="8" w:space="0" w:color="9E007E" w:themeColor="accent4"/>
        </w:tcBorders>
      </w:tcPr>
    </w:tblStylePr>
    <w:tblStylePr w:type="firstCol">
      <w:rPr>
        <w:b/>
        <w:bCs/>
      </w:rPr>
    </w:tblStylePr>
    <w:tblStylePr w:type="lastCol">
      <w:rPr>
        <w:b/>
        <w:bCs/>
      </w:rPr>
    </w:tblStylePr>
    <w:tblStylePr w:type="band1Vert">
      <w:tblPr/>
      <w:tcPr>
        <w:tcBorders>
          <w:top w:val="single" w:sz="8" w:space="0" w:color="9E007E" w:themeColor="accent4"/>
          <w:left w:val="single" w:sz="8" w:space="0" w:color="9E007E" w:themeColor="accent4"/>
          <w:bottom w:val="single" w:sz="8" w:space="0" w:color="9E007E" w:themeColor="accent4"/>
          <w:right w:val="single" w:sz="8" w:space="0" w:color="9E007E" w:themeColor="accent4"/>
        </w:tcBorders>
      </w:tcPr>
    </w:tblStylePr>
    <w:tblStylePr w:type="band1Horz">
      <w:tblPr/>
      <w:tcPr>
        <w:tcBorders>
          <w:top w:val="single" w:sz="8" w:space="0" w:color="9E007E" w:themeColor="accent4"/>
          <w:left w:val="single" w:sz="8" w:space="0" w:color="9E007E" w:themeColor="accent4"/>
          <w:bottom w:val="single" w:sz="8" w:space="0" w:color="9E007E" w:themeColor="accent4"/>
          <w:right w:val="single" w:sz="8" w:space="0" w:color="9E007E" w:themeColor="accent4"/>
        </w:tcBorders>
      </w:tcPr>
    </w:tblStylePr>
  </w:style>
  <w:style w:type="table" w:styleId="LightList-Accent5">
    <w:name w:val="Light List Accent 5"/>
    <w:basedOn w:val="TableNormal"/>
    <w:uiPriority w:val="61"/>
    <w:semiHidden/>
    <w:unhideWhenUsed/>
    <w:rsid w:val="009E6ED7"/>
    <w:tblPr>
      <w:tblStyleRowBandSize w:val="1"/>
      <w:tblStyleColBandSize w:val="1"/>
      <w:tblBorders>
        <w:top w:val="single" w:sz="8" w:space="0" w:color="FFE512" w:themeColor="accent5"/>
        <w:left w:val="single" w:sz="8" w:space="0" w:color="FFE512" w:themeColor="accent5"/>
        <w:bottom w:val="single" w:sz="8" w:space="0" w:color="FFE512" w:themeColor="accent5"/>
        <w:right w:val="single" w:sz="8" w:space="0" w:color="FFE512" w:themeColor="accent5"/>
      </w:tblBorders>
    </w:tblPr>
    <w:tblStylePr w:type="firstRow">
      <w:pPr>
        <w:spacing w:before="0" w:after="0" w:line="240" w:lineRule="auto"/>
      </w:pPr>
      <w:rPr>
        <w:b/>
        <w:bCs/>
        <w:color w:val="FFFFFF" w:themeColor="background1"/>
      </w:rPr>
      <w:tblPr/>
      <w:tcPr>
        <w:shd w:val="clear" w:color="auto" w:fill="FFE512" w:themeFill="accent5"/>
      </w:tcPr>
    </w:tblStylePr>
    <w:tblStylePr w:type="lastRow">
      <w:pPr>
        <w:spacing w:before="0" w:after="0" w:line="240" w:lineRule="auto"/>
      </w:pPr>
      <w:rPr>
        <w:b/>
        <w:bCs/>
      </w:rPr>
      <w:tblPr/>
      <w:tcPr>
        <w:tcBorders>
          <w:top w:val="double" w:sz="6" w:space="0" w:color="FFE512" w:themeColor="accent5"/>
          <w:left w:val="single" w:sz="8" w:space="0" w:color="FFE512" w:themeColor="accent5"/>
          <w:bottom w:val="single" w:sz="8" w:space="0" w:color="FFE512" w:themeColor="accent5"/>
          <w:right w:val="single" w:sz="8" w:space="0" w:color="FFE512" w:themeColor="accent5"/>
        </w:tcBorders>
      </w:tcPr>
    </w:tblStylePr>
    <w:tblStylePr w:type="firstCol">
      <w:rPr>
        <w:b/>
        <w:bCs/>
      </w:rPr>
    </w:tblStylePr>
    <w:tblStylePr w:type="lastCol">
      <w:rPr>
        <w:b/>
        <w:bCs/>
      </w:rPr>
    </w:tblStylePr>
    <w:tblStylePr w:type="band1Vert">
      <w:tblPr/>
      <w:tcPr>
        <w:tcBorders>
          <w:top w:val="single" w:sz="8" w:space="0" w:color="FFE512" w:themeColor="accent5"/>
          <w:left w:val="single" w:sz="8" w:space="0" w:color="FFE512" w:themeColor="accent5"/>
          <w:bottom w:val="single" w:sz="8" w:space="0" w:color="FFE512" w:themeColor="accent5"/>
          <w:right w:val="single" w:sz="8" w:space="0" w:color="FFE512" w:themeColor="accent5"/>
        </w:tcBorders>
      </w:tcPr>
    </w:tblStylePr>
    <w:tblStylePr w:type="band1Horz">
      <w:tblPr/>
      <w:tcPr>
        <w:tcBorders>
          <w:top w:val="single" w:sz="8" w:space="0" w:color="FFE512" w:themeColor="accent5"/>
          <w:left w:val="single" w:sz="8" w:space="0" w:color="FFE512" w:themeColor="accent5"/>
          <w:bottom w:val="single" w:sz="8" w:space="0" w:color="FFE512" w:themeColor="accent5"/>
          <w:right w:val="single" w:sz="8" w:space="0" w:color="FFE512" w:themeColor="accent5"/>
        </w:tcBorders>
      </w:tcPr>
    </w:tblStylePr>
  </w:style>
  <w:style w:type="table" w:styleId="LightList-Accent6">
    <w:name w:val="Light List Accent 6"/>
    <w:basedOn w:val="TableNormal"/>
    <w:uiPriority w:val="61"/>
    <w:semiHidden/>
    <w:unhideWhenUsed/>
    <w:rsid w:val="009E6ED7"/>
    <w:tblPr>
      <w:tblStyleRowBandSize w:val="1"/>
      <w:tblStyleColBandSize w:val="1"/>
      <w:tblBorders>
        <w:top w:val="single" w:sz="8" w:space="0" w:color="8C8279" w:themeColor="accent6"/>
        <w:left w:val="single" w:sz="8" w:space="0" w:color="8C8279" w:themeColor="accent6"/>
        <w:bottom w:val="single" w:sz="8" w:space="0" w:color="8C8279" w:themeColor="accent6"/>
        <w:right w:val="single" w:sz="8" w:space="0" w:color="8C8279" w:themeColor="accent6"/>
      </w:tblBorders>
    </w:tblPr>
    <w:tblStylePr w:type="firstRow">
      <w:pPr>
        <w:spacing w:before="0" w:after="0" w:line="240" w:lineRule="auto"/>
      </w:pPr>
      <w:rPr>
        <w:b/>
        <w:bCs/>
        <w:color w:val="FFFFFF" w:themeColor="background1"/>
      </w:rPr>
      <w:tblPr/>
      <w:tcPr>
        <w:shd w:val="clear" w:color="auto" w:fill="8C8279" w:themeFill="accent6"/>
      </w:tcPr>
    </w:tblStylePr>
    <w:tblStylePr w:type="lastRow">
      <w:pPr>
        <w:spacing w:before="0" w:after="0" w:line="240" w:lineRule="auto"/>
      </w:pPr>
      <w:rPr>
        <w:b/>
        <w:bCs/>
      </w:rPr>
      <w:tblPr/>
      <w:tcPr>
        <w:tcBorders>
          <w:top w:val="double" w:sz="6" w:space="0" w:color="8C8279" w:themeColor="accent6"/>
          <w:left w:val="single" w:sz="8" w:space="0" w:color="8C8279" w:themeColor="accent6"/>
          <w:bottom w:val="single" w:sz="8" w:space="0" w:color="8C8279" w:themeColor="accent6"/>
          <w:right w:val="single" w:sz="8" w:space="0" w:color="8C8279" w:themeColor="accent6"/>
        </w:tcBorders>
      </w:tcPr>
    </w:tblStylePr>
    <w:tblStylePr w:type="firstCol">
      <w:rPr>
        <w:b/>
        <w:bCs/>
      </w:rPr>
    </w:tblStylePr>
    <w:tblStylePr w:type="lastCol">
      <w:rPr>
        <w:b/>
        <w:bCs/>
      </w:rPr>
    </w:tblStylePr>
    <w:tblStylePr w:type="band1Vert">
      <w:tblPr/>
      <w:tcPr>
        <w:tcBorders>
          <w:top w:val="single" w:sz="8" w:space="0" w:color="8C8279" w:themeColor="accent6"/>
          <w:left w:val="single" w:sz="8" w:space="0" w:color="8C8279" w:themeColor="accent6"/>
          <w:bottom w:val="single" w:sz="8" w:space="0" w:color="8C8279" w:themeColor="accent6"/>
          <w:right w:val="single" w:sz="8" w:space="0" w:color="8C8279" w:themeColor="accent6"/>
        </w:tcBorders>
      </w:tcPr>
    </w:tblStylePr>
    <w:tblStylePr w:type="band1Horz">
      <w:tblPr/>
      <w:tcPr>
        <w:tcBorders>
          <w:top w:val="single" w:sz="8" w:space="0" w:color="8C8279" w:themeColor="accent6"/>
          <w:left w:val="single" w:sz="8" w:space="0" w:color="8C8279" w:themeColor="accent6"/>
          <w:bottom w:val="single" w:sz="8" w:space="0" w:color="8C8279" w:themeColor="accent6"/>
          <w:right w:val="single" w:sz="8" w:space="0" w:color="8C8279" w:themeColor="accent6"/>
        </w:tcBorders>
      </w:tcPr>
    </w:tblStylePr>
  </w:style>
  <w:style w:type="table" w:styleId="LightShading">
    <w:name w:val="Light Shading"/>
    <w:basedOn w:val="TableNormal"/>
    <w:uiPriority w:val="60"/>
    <w:semiHidden/>
    <w:unhideWhenUsed/>
    <w:rsid w:val="009E6ED7"/>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semiHidden/>
    <w:unhideWhenUsed/>
    <w:rsid w:val="009E6ED7"/>
    <w:rPr>
      <w:color w:val="0087A9" w:themeColor="accent1" w:themeShade="BF"/>
    </w:rPr>
    <w:tblPr>
      <w:tblStyleRowBandSize w:val="1"/>
      <w:tblStyleColBandSize w:val="1"/>
      <w:tblBorders>
        <w:top w:val="single" w:sz="8" w:space="0" w:color="00B5E2" w:themeColor="accent1"/>
        <w:bottom w:val="single" w:sz="8" w:space="0" w:color="00B5E2" w:themeColor="accent1"/>
      </w:tblBorders>
    </w:tblPr>
    <w:tblStylePr w:type="firstRow">
      <w:pPr>
        <w:spacing w:before="0" w:after="0" w:line="240" w:lineRule="auto"/>
      </w:pPr>
      <w:rPr>
        <w:b/>
        <w:bCs/>
      </w:rPr>
      <w:tblPr/>
      <w:tcPr>
        <w:tcBorders>
          <w:top w:val="single" w:sz="8" w:space="0" w:color="00B5E2" w:themeColor="accent1"/>
          <w:left w:val="nil"/>
          <w:bottom w:val="single" w:sz="8" w:space="0" w:color="00B5E2" w:themeColor="accent1"/>
          <w:right w:val="nil"/>
          <w:insideH w:val="nil"/>
          <w:insideV w:val="nil"/>
        </w:tcBorders>
      </w:tcPr>
    </w:tblStylePr>
    <w:tblStylePr w:type="lastRow">
      <w:pPr>
        <w:spacing w:before="0" w:after="0" w:line="240" w:lineRule="auto"/>
      </w:pPr>
      <w:rPr>
        <w:b/>
        <w:bCs/>
      </w:rPr>
      <w:tblPr/>
      <w:tcPr>
        <w:tcBorders>
          <w:top w:val="single" w:sz="8" w:space="0" w:color="00B5E2" w:themeColor="accent1"/>
          <w:left w:val="nil"/>
          <w:bottom w:val="single" w:sz="8" w:space="0" w:color="00B5E2"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B8F0FF" w:themeFill="accent1" w:themeFillTint="3F"/>
      </w:tcPr>
    </w:tblStylePr>
    <w:tblStylePr w:type="band1Horz">
      <w:tblPr/>
      <w:tcPr>
        <w:tcBorders>
          <w:left w:val="nil"/>
          <w:right w:val="nil"/>
          <w:insideH w:val="nil"/>
          <w:insideV w:val="nil"/>
        </w:tcBorders>
        <w:shd w:val="clear" w:color="auto" w:fill="B8F0FF" w:themeFill="accent1" w:themeFillTint="3F"/>
      </w:tcPr>
    </w:tblStylePr>
  </w:style>
  <w:style w:type="table" w:styleId="LightShading-Accent2">
    <w:name w:val="Light Shading Accent 2"/>
    <w:basedOn w:val="TableNormal"/>
    <w:uiPriority w:val="60"/>
    <w:semiHidden/>
    <w:unhideWhenUsed/>
    <w:rsid w:val="009E6ED7"/>
    <w:rPr>
      <w:color w:val="628D00" w:themeColor="accent2" w:themeShade="BF"/>
    </w:rPr>
    <w:tblPr>
      <w:tblStyleRowBandSize w:val="1"/>
      <w:tblStyleColBandSize w:val="1"/>
      <w:tblBorders>
        <w:top w:val="single" w:sz="8" w:space="0" w:color="84BD00" w:themeColor="accent2"/>
        <w:bottom w:val="single" w:sz="8" w:space="0" w:color="84BD00" w:themeColor="accent2"/>
      </w:tblBorders>
    </w:tblPr>
    <w:tblStylePr w:type="firstRow">
      <w:pPr>
        <w:spacing w:before="0" w:after="0" w:line="240" w:lineRule="auto"/>
      </w:pPr>
      <w:rPr>
        <w:b/>
        <w:bCs/>
      </w:rPr>
      <w:tblPr/>
      <w:tcPr>
        <w:tcBorders>
          <w:top w:val="single" w:sz="8" w:space="0" w:color="84BD00" w:themeColor="accent2"/>
          <w:left w:val="nil"/>
          <w:bottom w:val="single" w:sz="8" w:space="0" w:color="84BD00" w:themeColor="accent2"/>
          <w:right w:val="nil"/>
          <w:insideH w:val="nil"/>
          <w:insideV w:val="nil"/>
        </w:tcBorders>
      </w:tcPr>
    </w:tblStylePr>
    <w:tblStylePr w:type="lastRow">
      <w:pPr>
        <w:spacing w:before="0" w:after="0" w:line="240" w:lineRule="auto"/>
      </w:pPr>
      <w:rPr>
        <w:b/>
        <w:bCs/>
      </w:rPr>
      <w:tblPr/>
      <w:tcPr>
        <w:tcBorders>
          <w:top w:val="single" w:sz="8" w:space="0" w:color="84BD00" w:themeColor="accent2"/>
          <w:left w:val="nil"/>
          <w:bottom w:val="single" w:sz="8" w:space="0" w:color="84BD00"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7FFAF" w:themeFill="accent2" w:themeFillTint="3F"/>
      </w:tcPr>
    </w:tblStylePr>
    <w:tblStylePr w:type="band1Horz">
      <w:tblPr/>
      <w:tcPr>
        <w:tcBorders>
          <w:left w:val="nil"/>
          <w:right w:val="nil"/>
          <w:insideH w:val="nil"/>
          <w:insideV w:val="nil"/>
        </w:tcBorders>
        <w:shd w:val="clear" w:color="auto" w:fill="E7FFAF" w:themeFill="accent2" w:themeFillTint="3F"/>
      </w:tcPr>
    </w:tblStylePr>
  </w:style>
  <w:style w:type="table" w:styleId="LightShading-Accent3">
    <w:name w:val="Light Shading Accent 3"/>
    <w:basedOn w:val="TableNormal"/>
    <w:uiPriority w:val="60"/>
    <w:semiHidden/>
    <w:unhideWhenUsed/>
    <w:rsid w:val="009E6ED7"/>
    <w:rPr>
      <w:color w:val="C76808" w:themeColor="accent3" w:themeShade="BF"/>
    </w:rPr>
    <w:tblPr>
      <w:tblStyleRowBandSize w:val="1"/>
      <w:tblStyleColBandSize w:val="1"/>
      <w:tblBorders>
        <w:top w:val="single" w:sz="8" w:space="0" w:color="F68B1F" w:themeColor="accent3"/>
        <w:bottom w:val="single" w:sz="8" w:space="0" w:color="F68B1F" w:themeColor="accent3"/>
      </w:tblBorders>
    </w:tblPr>
    <w:tblStylePr w:type="firstRow">
      <w:pPr>
        <w:spacing w:before="0" w:after="0" w:line="240" w:lineRule="auto"/>
      </w:pPr>
      <w:rPr>
        <w:b/>
        <w:bCs/>
      </w:rPr>
      <w:tblPr/>
      <w:tcPr>
        <w:tcBorders>
          <w:top w:val="single" w:sz="8" w:space="0" w:color="F68B1F" w:themeColor="accent3"/>
          <w:left w:val="nil"/>
          <w:bottom w:val="single" w:sz="8" w:space="0" w:color="F68B1F" w:themeColor="accent3"/>
          <w:right w:val="nil"/>
          <w:insideH w:val="nil"/>
          <w:insideV w:val="nil"/>
        </w:tcBorders>
      </w:tcPr>
    </w:tblStylePr>
    <w:tblStylePr w:type="lastRow">
      <w:pPr>
        <w:spacing w:before="0" w:after="0" w:line="240" w:lineRule="auto"/>
      </w:pPr>
      <w:rPr>
        <w:b/>
        <w:bCs/>
      </w:rPr>
      <w:tblPr/>
      <w:tcPr>
        <w:tcBorders>
          <w:top w:val="single" w:sz="8" w:space="0" w:color="F68B1F" w:themeColor="accent3"/>
          <w:left w:val="nil"/>
          <w:bottom w:val="single" w:sz="8" w:space="0" w:color="F68B1F"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CE2C7" w:themeFill="accent3" w:themeFillTint="3F"/>
      </w:tcPr>
    </w:tblStylePr>
    <w:tblStylePr w:type="band1Horz">
      <w:tblPr/>
      <w:tcPr>
        <w:tcBorders>
          <w:left w:val="nil"/>
          <w:right w:val="nil"/>
          <w:insideH w:val="nil"/>
          <w:insideV w:val="nil"/>
        </w:tcBorders>
        <w:shd w:val="clear" w:color="auto" w:fill="FCE2C7" w:themeFill="accent3" w:themeFillTint="3F"/>
      </w:tcPr>
    </w:tblStylePr>
  </w:style>
  <w:style w:type="table" w:styleId="LightShading-Accent4">
    <w:name w:val="Light Shading Accent 4"/>
    <w:basedOn w:val="TableNormal"/>
    <w:uiPriority w:val="60"/>
    <w:semiHidden/>
    <w:unhideWhenUsed/>
    <w:rsid w:val="009E6ED7"/>
    <w:rPr>
      <w:color w:val="76005E" w:themeColor="accent4" w:themeShade="BF"/>
    </w:rPr>
    <w:tblPr>
      <w:tblStyleRowBandSize w:val="1"/>
      <w:tblStyleColBandSize w:val="1"/>
      <w:tblBorders>
        <w:top w:val="single" w:sz="8" w:space="0" w:color="9E007E" w:themeColor="accent4"/>
        <w:bottom w:val="single" w:sz="8" w:space="0" w:color="9E007E" w:themeColor="accent4"/>
      </w:tblBorders>
    </w:tblPr>
    <w:tblStylePr w:type="firstRow">
      <w:pPr>
        <w:spacing w:before="0" w:after="0" w:line="240" w:lineRule="auto"/>
      </w:pPr>
      <w:rPr>
        <w:b/>
        <w:bCs/>
      </w:rPr>
      <w:tblPr/>
      <w:tcPr>
        <w:tcBorders>
          <w:top w:val="single" w:sz="8" w:space="0" w:color="9E007E" w:themeColor="accent4"/>
          <w:left w:val="nil"/>
          <w:bottom w:val="single" w:sz="8" w:space="0" w:color="9E007E" w:themeColor="accent4"/>
          <w:right w:val="nil"/>
          <w:insideH w:val="nil"/>
          <w:insideV w:val="nil"/>
        </w:tcBorders>
      </w:tcPr>
    </w:tblStylePr>
    <w:tblStylePr w:type="lastRow">
      <w:pPr>
        <w:spacing w:before="0" w:after="0" w:line="240" w:lineRule="auto"/>
      </w:pPr>
      <w:rPr>
        <w:b/>
        <w:bCs/>
      </w:rPr>
      <w:tblPr/>
      <w:tcPr>
        <w:tcBorders>
          <w:top w:val="single" w:sz="8" w:space="0" w:color="9E007E" w:themeColor="accent4"/>
          <w:left w:val="nil"/>
          <w:bottom w:val="single" w:sz="8" w:space="0" w:color="9E007E"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A8ED" w:themeFill="accent4" w:themeFillTint="3F"/>
      </w:tcPr>
    </w:tblStylePr>
    <w:tblStylePr w:type="band1Horz">
      <w:tblPr/>
      <w:tcPr>
        <w:tcBorders>
          <w:left w:val="nil"/>
          <w:right w:val="nil"/>
          <w:insideH w:val="nil"/>
          <w:insideV w:val="nil"/>
        </w:tcBorders>
        <w:shd w:val="clear" w:color="auto" w:fill="FFA8ED" w:themeFill="accent4" w:themeFillTint="3F"/>
      </w:tcPr>
    </w:tblStylePr>
  </w:style>
  <w:style w:type="table" w:styleId="LightShading-Accent5">
    <w:name w:val="Light Shading Accent 5"/>
    <w:basedOn w:val="TableNormal"/>
    <w:uiPriority w:val="60"/>
    <w:semiHidden/>
    <w:unhideWhenUsed/>
    <w:rsid w:val="009E6ED7"/>
    <w:rPr>
      <w:color w:val="CCB500" w:themeColor="accent5" w:themeShade="BF"/>
    </w:rPr>
    <w:tblPr>
      <w:tblStyleRowBandSize w:val="1"/>
      <w:tblStyleColBandSize w:val="1"/>
      <w:tblBorders>
        <w:top w:val="single" w:sz="8" w:space="0" w:color="FFE512" w:themeColor="accent5"/>
        <w:bottom w:val="single" w:sz="8" w:space="0" w:color="FFE512" w:themeColor="accent5"/>
      </w:tblBorders>
    </w:tblPr>
    <w:tblStylePr w:type="firstRow">
      <w:pPr>
        <w:spacing w:before="0" w:after="0" w:line="240" w:lineRule="auto"/>
      </w:pPr>
      <w:rPr>
        <w:b/>
        <w:bCs/>
      </w:rPr>
      <w:tblPr/>
      <w:tcPr>
        <w:tcBorders>
          <w:top w:val="single" w:sz="8" w:space="0" w:color="FFE512" w:themeColor="accent5"/>
          <w:left w:val="nil"/>
          <w:bottom w:val="single" w:sz="8" w:space="0" w:color="FFE512" w:themeColor="accent5"/>
          <w:right w:val="nil"/>
          <w:insideH w:val="nil"/>
          <w:insideV w:val="nil"/>
        </w:tcBorders>
      </w:tcPr>
    </w:tblStylePr>
    <w:tblStylePr w:type="lastRow">
      <w:pPr>
        <w:spacing w:before="0" w:after="0" w:line="240" w:lineRule="auto"/>
      </w:pPr>
      <w:rPr>
        <w:b/>
        <w:bCs/>
      </w:rPr>
      <w:tblPr/>
      <w:tcPr>
        <w:tcBorders>
          <w:top w:val="single" w:sz="8" w:space="0" w:color="FFE512" w:themeColor="accent5"/>
          <w:left w:val="nil"/>
          <w:bottom w:val="single" w:sz="8" w:space="0" w:color="FFE512"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F8C4" w:themeFill="accent5" w:themeFillTint="3F"/>
      </w:tcPr>
    </w:tblStylePr>
    <w:tblStylePr w:type="band1Horz">
      <w:tblPr/>
      <w:tcPr>
        <w:tcBorders>
          <w:left w:val="nil"/>
          <w:right w:val="nil"/>
          <w:insideH w:val="nil"/>
          <w:insideV w:val="nil"/>
        </w:tcBorders>
        <w:shd w:val="clear" w:color="auto" w:fill="FFF8C4" w:themeFill="accent5" w:themeFillTint="3F"/>
      </w:tcPr>
    </w:tblStylePr>
  </w:style>
  <w:style w:type="table" w:styleId="LightShading-Accent6">
    <w:name w:val="Light Shading Accent 6"/>
    <w:basedOn w:val="TableNormal"/>
    <w:uiPriority w:val="60"/>
    <w:semiHidden/>
    <w:unhideWhenUsed/>
    <w:rsid w:val="009E6ED7"/>
    <w:rPr>
      <w:color w:val="69615A" w:themeColor="accent6" w:themeShade="BF"/>
    </w:rPr>
    <w:tblPr>
      <w:tblStyleRowBandSize w:val="1"/>
      <w:tblStyleColBandSize w:val="1"/>
      <w:tblBorders>
        <w:top w:val="single" w:sz="8" w:space="0" w:color="8C8279" w:themeColor="accent6"/>
        <w:bottom w:val="single" w:sz="8" w:space="0" w:color="8C8279" w:themeColor="accent6"/>
      </w:tblBorders>
    </w:tblPr>
    <w:tblStylePr w:type="firstRow">
      <w:pPr>
        <w:spacing w:before="0" w:after="0" w:line="240" w:lineRule="auto"/>
      </w:pPr>
      <w:rPr>
        <w:b/>
        <w:bCs/>
      </w:rPr>
      <w:tblPr/>
      <w:tcPr>
        <w:tcBorders>
          <w:top w:val="single" w:sz="8" w:space="0" w:color="8C8279" w:themeColor="accent6"/>
          <w:left w:val="nil"/>
          <w:bottom w:val="single" w:sz="8" w:space="0" w:color="8C8279" w:themeColor="accent6"/>
          <w:right w:val="nil"/>
          <w:insideH w:val="nil"/>
          <w:insideV w:val="nil"/>
        </w:tcBorders>
      </w:tcPr>
    </w:tblStylePr>
    <w:tblStylePr w:type="lastRow">
      <w:pPr>
        <w:spacing w:before="0" w:after="0" w:line="240" w:lineRule="auto"/>
      </w:pPr>
      <w:rPr>
        <w:b/>
        <w:bCs/>
      </w:rPr>
      <w:tblPr/>
      <w:tcPr>
        <w:tcBorders>
          <w:top w:val="single" w:sz="8" w:space="0" w:color="8C8279" w:themeColor="accent6"/>
          <w:left w:val="nil"/>
          <w:bottom w:val="single" w:sz="8" w:space="0" w:color="8C8279"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2E0DD" w:themeFill="accent6" w:themeFillTint="3F"/>
      </w:tcPr>
    </w:tblStylePr>
    <w:tblStylePr w:type="band1Horz">
      <w:tblPr/>
      <w:tcPr>
        <w:tcBorders>
          <w:left w:val="nil"/>
          <w:right w:val="nil"/>
          <w:insideH w:val="nil"/>
          <w:insideV w:val="nil"/>
        </w:tcBorders>
        <w:shd w:val="clear" w:color="auto" w:fill="E2E0DD" w:themeFill="accent6" w:themeFillTint="3F"/>
      </w:tcPr>
    </w:tblStylePr>
  </w:style>
  <w:style w:type="table" w:styleId="MediumGrid1">
    <w:name w:val="Medium Grid 1"/>
    <w:basedOn w:val="TableNormal"/>
    <w:uiPriority w:val="67"/>
    <w:semiHidden/>
    <w:unhideWhenUsed/>
    <w:rsid w:val="009E6ED7"/>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semiHidden/>
    <w:unhideWhenUsed/>
    <w:rsid w:val="009E6ED7"/>
    <w:tblPr>
      <w:tblStyleRowBandSize w:val="1"/>
      <w:tblStyleColBandSize w:val="1"/>
      <w:tblBorders>
        <w:top w:val="single" w:sz="8" w:space="0" w:color="2AD4FF" w:themeColor="accent1" w:themeTint="BF"/>
        <w:left w:val="single" w:sz="8" w:space="0" w:color="2AD4FF" w:themeColor="accent1" w:themeTint="BF"/>
        <w:bottom w:val="single" w:sz="8" w:space="0" w:color="2AD4FF" w:themeColor="accent1" w:themeTint="BF"/>
        <w:right w:val="single" w:sz="8" w:space="0" w:color="2AD4FF" w:themeColor="accent1" w:themeTint="BF"/>
        <w:insideH w:val="single" w:sz="8" w:space="0" w:color="2AD4FF" w:themeColor="accent1" w:themeTint="BF"/>
        <w:insideV w:val="single" w:sz="8" w:space="0" w:color="2AD4FF" w:themeColor="accent1" w:themeTint="BF"/>
      </w:tblBorders>
    </w:tblPr>
    <w:tcPr>
      <w:shd w:val="clear" w:color="auto" w:fill="B8F0FF" w:themeFill="accent1" w:themeFillTint="3F"/>
    </w:tcPr>
    <w:tblStylePr w:type="firstRow">
      <w:rPr>
        <w:b/>
        <w:bCs/>
      </w:rPr>
    </w:tblStylePr>
    <w:tblStylePr w:type="lastRow">
      <w:rPr>
        <w:b/>
        <w:bCs/>
      </w:rPr>
      <w:tblPr/>
      <w:tcPr>
        <w:tcBorders>
          <w:top w:val="single" w:sz="18" w:space="0" w:color="2AD4FF" w:themeColor="accent1" w:themeTint="BF"/>
        </w:tcBorders>
      </w:tcPr>
    </w:tblStylePr>
    <w:tblStylePr w:type="firstCol">
      <w:rPr>
        <w:b/>
        <w:bCs/>
      </w:rPr>
    </w:tblStylePr>
    <w:tblStylePr w:type="lastCol">
      <w:rPr>
        <w:b/>
        <w:bCs/>
      </w:rPr>
    </w:tblStylePr>
    <w:tblStylePr w:type="band1Vert">
      <w:tblPr/>
      <w:tcPr>
        <w:shd w:val="clear" w:color="auto" w:fill="71E2FF" w:themeFill="accent1" w:themeFillTint="7F"/>
      </w:tcPr>
    </w:tblStylePr>
    <w:tblStylePr w:type="band1Horz">
      <w:tblPr/>
      <w:tcPr>
        <w:shd w:val="clear" w:color="auto" w:fill="71E2FF" w:themeFill="accent1" w:themeFillTint="7F"/>
      </w:tcPr>
    </w:tblStylePr>
  </w:style>
  <w:style w:type="table" w:styleId="MediumGrid1-Accent2">
    <w:name w:val="Medium Grid 1 Accent 2"/>
    <w:basedOn w:val="TableNormal"/>
    <w:uiPriority w:val="67"/>
    <w:semiHidden/>
    <w:unhideWhenUsed/>
    <w:rsid w:val="009E6ED7"/>
    <w:tblPr>
      <w:tblStyleRowBandSize w:val="1"/>
      <w:tblStyleColBandSize w:val="1"/>
      <w:tblBorders>
        <w:top w:val="single" w:sz="8" w:space="0" w:color="B6FF0E" w:themeColor="accent2" w:themeTint="BF"/>
        <w:left w:val="single" w:sz="8" w:space="0" w:color="B6FF0E" w:themeColor="accent2" w:themeTint="BF"/>
        <w:bottom w:val="single" w:sz="8" w:space="0" w:color="B6FF0E" w:themeColor="accent2" w:themeTint="BF"/>
        <w:right w:val="single" w:sz="8" w:space="0" w:color="B6FF0E" w:themeColor="accent2" w:themeTint="BF"/>
        <w:insideH w:val="single" w:sz="8" w:space="0" w:color="B6FF0E" w:themeColor="accent2" w:themeTint="BF"/>
        <w:insideV w:val="single" w:sz="8" w:space="0" w:color="B6FF0E" w:themeColor="accent2" w:themeTint="BF"/>
      </w:tblBorders>
    </w:tblPr>
    <w:tcPr>
      <w:shd w:val="clear" w:color="auto" w:fill="E7FFAF" w:themeFill="accent2" w:themeFillTint="3F"/>
    </w:tcPr>
    <w:tblStylePr w:type="firstRow">
      <w:rPr>
        <w:b/>
        <w:bCs/>
      </w:rPr>
    </w:tblStylePr>
    <w:tblStylePr w:type="lastRow">
      <w:rPr>
        <w:b/>
        <w:bCs/>
      </w:rPr>
      <w:tblPr/>
      <w:tcPr>
        <w:tcBorders>
          <w:top w:val="single" w:sz="18" w:space="0" w:color="B6FF0E" w:themeColor="accent2" w:themeTint="BF"/>
        </w:tcBorders>
      </w:tcPr>
    </w:tblStylePr>
    <w:tblStylePr w:type="firstCol">
      <w:rPr>
        <w:b/>
        <w:bCs/>
      </w:rPr>
    </w:tblStylePr>
    <w:tblStylePr w:type="lastCol">
      <w:rPr>
        <w:b/>
        <w:bCs/>
      </w:rPr>
    </w:tblStylePr>
    <w:tblStylePr w:type="band1Vert">
      <w:tblPr/>
      <w:tcPr>
        <w:shd w:val="clear" w:color="auto" w:fill="CEFF5F" w:themeFill="accent2" w:themeFillTint="7F"/>
      </w:tcPr>
    </w:tblStylePr>
    <w:tblStylePr w:type="band1Horz">
      <w:tblPr/>
      <w:tcPr>
        <w:shd w:val="clear" w:color="auto" w:fill="CEFF5F" w:themeFill="accent2" w:themeFillTint="7F"/>
      </w:tcPr>
    </w:tblStylePr>
  </w:style>
  <w:style w:type="table" w:styleId="MediumGrid1-Accent3">
    <w:name w:val="Medium Grid 1 Accent 3"/>
    <w:basedOn w:val="TableNormal"/>
    <w:uiPriority w:val="67"/>
    <w:semiHidden/>
    <w:unhideWhenUsed/>
    <w:rsid w:val="009E6ED7"/>
    <w:tblPr>
      <w:tblStyleRowBandSize w:val="1"/>
      <w:tblStyleColBandSize w:val="1"/>
      <w:tblBorders>
        <w:top w:val="single" w:sz="8" w:space="0" w:color="F8A757" w:themeColor="accent3" w:themeTint="BF"/>
        <w:left w:val="single" w:sz="8" w:space="0" w:color="F8A757" w:themeColor="accent3" w:themeTint="BF"/>
        <w:bottom w:val="single" w:sz="8" w:space="0" w:color="F8A757" w:themeColor="accent3" w:themeTint="BF"/>
        <w:right w:val="single" w:sz="8" w:space="0" w:color="F8A757" w:themeColor="accent3" w:themeTint="BF"/>
        <w:insideH w:val="single" w:sz="8" w:space="0" w:color="F8A757" w:themeColor="accent3" w:themeTint="BF"/>
        <w:insideV w:val="single" w:sz="8" w:space="0" w:color="F8A757" w:themeColor="accent3" w:themeTint="BF"/>
      </w:tblBorders>
    </w:tblPr>
    <w:tcPr>
      <w:shd w:val="clear" w:color="auto" w:fill="FCE2C7" w:themeFill="accent3" w:themeFillTint="3F"/>
    </w:tcPr>
    <w:tblStylePr w:type="firstRow">
      <w:rPr>
        <w:b/>
        <w:bCs/>
      </w:rPr>
    </w:tblStylePr>
    <w:tblStylePr w:type="lastRow">
      <w:rPr>
        <w:b/>
        <w:bCs/>
      </w:rPr>
      <w:tblPr/>
      <w:tcPr>
        <w:tcBorders>
          <w:top w:val="single" w:sz="18" w:space="0" w:color="F8A757" w:themeColor="accent3" w:themeTint="BF"/>
        </w:tcBorders>
      </w:tcPr>
    </w:tblStylePr>
    <w:tblStylePr w:type="firstCol">
      <w:rPr>
        <w:b/>
        <w:bCs/>
      </w:rPr>
    </w:tblStylePr>
    <w:tblStylePr w:type="lastCol">
      <w:rPr>
        <w:b/>
        <w:bCs/>
      </w:rPr>
    </w:tblStylePr>
    <w:tblStylePr w:type="band1Vert">
      <w:tblPr/>
      <w:tcPr>
        <w:shd w:val="clear" w:color="auto" w:fill="FAC58F" w:themeFill="accent3" w:themeFillTint="7F"/>
      </w:tcPr>
    </w:tblStylePr>
    <w:tblStylePr w:type="band1Horz">
      <w:tblPr/>
      <w:tcPr>
        <w:shd w:val="clear" w:color="auto" w:fill="FAC58F" w:themeFill="accent3" w:themeFillTint="7F"/>
      </w:tcPr>
    </w:tblStylePr>
  </w:style>
  <w:style w:type="table" w:styleId="MediumGrid1-Accent4">
    <w:name w:val="Medium Grid 1 Accent 4"/>
    <w:basedOn w:val="TableNormal"/>
    <w:uiPriority w:val="67"/>
    <w:semiHidden/>
    <w:unhideWhenUsed/>
    <w:rsid w:val="009E6ED7"/>
    <w:tblPr>
      <w:tblStyleRowBandSize w:val="1"/>
      <w:tblStyleColBandSize w:val="1"/>
      <w:tblBorders>
        <w:top w:val="single" w:sz="8" w:space="0" w:color="F600C4" w:themeColor="accent4" w:themeTint="BF"/>
        <w:left w:val="single" w:sz="8" w:space="0" w:color="F600C4" w:themeColor="accent4" w:themeTint="BF"/>
        <w:bottom w:val="single" w:sz="8" w:space="0" w:color="F600C4" w:themeColor="accent4" w:themeTint="BF"/>
        <w:right w:val="single" w:sz="8" w:space="0" w:color="F600C4" w:themeColor="accent4" w:themeTint="BF"/>
        <w:insideH w:val="single" w:sz="8" w:space="0" w:color="F600C4" w:themeColor="accent4" w:themeTint="BF"/>
        <w:insideV w:val="single" w:sz="8" w:space="0" w:color="F600C4" w:themeColor="accent4" w:themeTint="BF"/>
      </w:tblBorders>
    </w:tblPr>
    <w:tcPr>
      <w:shd w:val="clear" w:color="auto" w:fill="FFA8ED" w:themeFill="accent4" w:themeFillTint="3F"/>
    </w:tcPr>
    <w:tblStylePr w:type="firstRow">
      <w:rPr>
        <w:b/>
        <w:bCs/>
      </w:rPr>
    </w:tblStylePr>
    <w:tblStylePr w:type="lastRow">
      <w:rPr>
        <w:b/>
        <w:bCs/>
      </w:rPr>
      <w:tblPr/>
      <w:tcPr>
        <w:tcBorders>
          <w:top w:val="single" w:sz="18" w:space="0" w:color="F600C4" w:themeColor="accent4" w:themeTint="BF"/>
        </w:tcBorders>
      </w:tcPr>
    </w:tblStylePr>
    <w:tblStylePr w:type="firstCol">
      <w:rPr>
        <w:b/>
        <w:bCs/>
      </w:rPr>
    </w:tblStylePr>
    <w:tblStylePr w:type="lastCol">
      <w:rPr>
        <w:b/>
        <w:bCs/>
      </w:rPr>
    </w:tblStylePr>
    <w:tblStylePr w:type="band1Vert">
      <w:tblPr/>
      <w:tcPr>
        <w:shd w:val="clear" w:color="auto" w:fill="FF4FDB" w:themeFill="accent4" w:themeFillTint="7F"/>
      </w:tcPr>
    </w:tblStylePr>
    <w:tblStylePr w:type="band1Horz">
      <w:tblPr/>
      <w:tcPr>
        <w:shd w:val="clear" w:color="auto" w:fill="FF4FDB" w:themeFill="accent4" w:themeFillTint="7F"/>
      </w:tcPr>
    </w:tblStylePr>
  </w:style>
  <w:style w:type="table" w:styleId="MediumGrid1-Accent5">
    <w:name w:val="Medium Grid 1 Accent 5"/>
    <w:basedOn w:val="TableNormal"/>
    <w:uiPriority w:val="67"/>
    <w:semiHidden/>
    <w:unhideWhenUsed/>
    <w:rsid w:val="009E6ED7"/>
    <w:tblPr>
      <w:tblStyleRowBandSize w:val="1"/>
      <w:tblStyleColBandSize w:val="1"/>
      <w:tblBorders>
        <w:top w:val="single" w:sz="8" w:space="0" w:color="FFEB4D" w:themeColor="accent5" w:themeTint="BF"/>
        <w:left w:val="single" w:sz="8" w:space="0" w:color="FFEB4D" w:themeColor="accent5" w:themeTint="BF"/>
        <w:bottom w:val="single" w:sz="8" w:space="0" w:color="FFEB4D" w:themeColor="accent5" w:themeTint="BF"/>
        <w:right w:val="single" w:sz="8" w:space="0" w:color="FFEB4D" w:themeColor="accent5" w:themeTint="BF"/>
        <w:insideH w:val="single" w:sz="8" w:space="0" w:color="FFEB4D" w:themeColor="accent5" w:themeTint="BF"/>
        <w:insideV w:val="single" w:sz="8" w:space="0" w:color="FFEB4D" w:themeColor="accent5" w:themeTint="BF"/>
      </w:tblBorders>
    </w:tblPr>
    <w:tcPr>
      <w:shd w:val="clear" w:color="auto" w:fill="FFF8C4" w:themeFill="accent5" w:themeFillTint="3F"/>
    </w:tcPr>
    <w:tblStylePr w:type="firstRow">
      <w:rPr>
        <w:b/>
        <w:bCs/>
      </w:rPr>
    </w:tblStylePr>
    <w:tblStylePr w:type="lastRow">
      <w:rPr>
        <w:b/>
        <w:bCs/>
      </w:rPr>
      <w:tblPr/>
      <w:tcPr>
        <w:tcBorders>
          <w:top w:val="single" w:sz="18" w:space="0" w:color="FFEB4D" w:themeColor="accent5" w:themeTint="BF"/>
        </w:tcBorders>
      </w:tcPr>
    </w:tblStylePr>
    <w:tblStylePr w:type="firstCol">
      <w:rPr>
        <w:b/>
        <w:bCs/>
      </w:rPr>
    </w:tblStylePr>
    <w:tblStylePr w:type="lastCol">
      <w:rPr>
        <w:b/>
        <w:bCs/>
      </w:rPr>
    </w:tblStylePr>
    <w:tblStylePr w:type="band1Vert">
      <w:tblPr/>
      <w:tcPr>
        <w:shd w:val="clear" w:color="auto" w:fill="FFF288" w:themeFill="accent5" w:themeFillTint="7F"/>
      </w:tcPr>
    </w:tblStylePr>
    <w:tblStylePr w:type="band1Horz">
      <w:tblPr/>
      <w:tcPr>
        <w:shd w:val="clear" w:color="auto" w:fill="FFF288" w:themeFill="accent5" w:themeFillTint="7F"/>
      </w:tcPr>
    </w:tblStylePr>
  </w:style>
  <w:style w:type="table" w:styleId="MediumGrid1-Accent6">
    <w:name w:val="Medium Grid 1 Accent 6"/>
    <w:basedOn w:val="TableNormal"/>
    <w:uiPriority w:val="67"/>
    <w:semiHidden/>
    <w:unhideWhenUsed/>
    <w:rsid w:val="009E6ED7"/>
    <w:tblPr>
      <w:tblStyleRowBandSize w:val="1"/>
      <w:tblStyleColBandSize w:val="1"/>
      <w:tblBorders>
        <w:top w:val="single" w:sz="8" w:space="0" w:color="A8A19A" w:themeColor="accent6" w:themeTint="BF"/>
        <w:left w:val="single" w:sz="8" w:space="0" w:color="A8A19A" w:themeColor="accent6" w:themeTint="BF"/>
        <w:bottom w:val="single" w:sz="8" w:space="0" w:color="A8A19A" w:themeColor="accent6" w:themeTint="BF"/>
        <w:right w:val="single" w:sz="8" w:space="0" w:color="A8A19A" w:themeColor="accent6" w:themeTint="BF"/>
        <w:insideH w:val="single" w:sz="8" w:space="0" w:color="A8A19A" w:themeColor="accent6" w:themeTint="BF"/>
        <w:insideV w:val="single" w:sz="8" w:space="0" w:color="A8A19A" w:themeColor="accent6" w:themeTint="BF"/>
      </w:tblBorders>
    </w:tblPr>
    <w:tcPr>
      <w:shd w:val="clear" w:color="auto" w:fill="E2E0DD" w:themeFill="accent6" w:themeFillTint="3F"/>
    </w:tcPr>
    <w:tblStylePr w:type="firstRow">
      <w:rPr>
        <w:b/>
        <w:bCs/>
      </w:rPr>
    </w:tblStylePr>
    <w:tblStylePr w:type="lastRow">
      <w:rPr>
        <w:b/>
        <w:bCs/>
      </w:rPr>
      <w:tblPr/>
      <w:tcPr>
        <w:tcBorders>
          <w:top w:val="single" w:sz="18" w:space="0" w:color="A8A19A" w:themeColor="accent6" w:themeTint="BF"/>
        </w:tcBorders>
      </w:tcPr>
    </w:tblStylePr>
    <w:tblStylePr w:type="firstCol">
      <w:rPr>
        <w:b/>
        <w:bCs/>
      </w:rPr>
    </w:tblStylePr>
    <w:tblStylePr w:type="lastCol">
      <w:rPr>
        <w:b/>
        <w:bCs/>
      </w:rPr>
    </w:tblStylePr>
    <w:tblStylePr w:type="band1Vert">
      <w:tblPr/>
      <w:tcPr>
        <w:shd w:val="clear" w:color="auto" w:fill="C5C0BC" w:themeFill="accent6" w:themeFillTint="7F"/>
      </w:tcPr>
    </w:tblStylePr>
    <w:tblStylePr w:type="band1Horz">
      <w:tblPr/>
      <w:tcPr>
        <w:shd w:val="clear" w:color="auto" w:fill="C5C0BC" w:themeFill="accent6" w:themeFillTint="7F"/>
      </w:tcPr>
    </w:tblStylePr>
  </w:style>
  <w:style w:type="table" w:styleId="MediumGrid2">
    <w:name w:val="Medium Grid 2"/>
    <w:basedOn w:val="TableNormal"/>
    <w:uiPriority w:val="68"/>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00B5E2" w:themeColor="accent1"/>
        <w:left w:val="single" w:sz="8" w:space="0" w:color="00B5E2" w:themeColor="accent1"/>
        <w:bottom w:val="single" w:sz="8" w:space="0" w:color="00B5E2" w:themeColor="accent1"/>
        <w:right w:val="single" w:sz="8" w:space="0" w:color="00B5E2" w:themeColor="accent1"/>
        <w:insideH w:val="single" w:sz="8" w:space="0" w:color="00B5E2" w:themeColor="accent1"/>
        <w:insideV w:val="single" w:sz="8" w:space="0" w:color="00B5E2" w:themeColor="accent1"/>
      </w:tblBorders>
    </w:tblPr>
    <w:tcPr>
      <w:shd w:val="clear" w:color="auto" w:fill="B8F0FF" w:themeFill="accent1" w:themeFillTint="3F"/>
    </w:tcPr>
    <w:tblStylePr w:type="firstRow">
      <w:rPr>
        <w:b/>
        <w:bCs/>
        <w:color w:val="000000" w:themeColor="text1"/>
      </w:rPr>
      <w:tblPr/>
      <w:tcPr>
        <w:shd w:val="clear" w:color="auto" w:fill="E3F9FF"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6F3FF" w:themeFill="accent1" w:themeFillTint="33"/>
      </w:tcPr>
    </w:tblStylePr>
    <w:tblStylePr w:type="band1Vert">
      <w:tblPr/>
      <w:tcPr>
        <w:shd w:val="clear" w:color="auto" w:fill="71E2FF" w:themeFill="accent1" w:themeFillTint="7F"/>
      </w:tcPr>
    </w:tblStylePr>
    <w:tblStylePr w:type="band1Horz">
      <w:tblPr/>
      <w:tcPr>
        <w:tcBorders>
          <w:insideH w:val="single" w:sz="6" w:space="0" w:color="00B5E2" w:themeColor="accent1"/>
          <w:insideV w:val="single" w:sz="6" w:space="0" w:color="00B5E2" w:themeColor="accent1"/>
        </w:tcBorders>
        <w:shd w:val="clear" w:color="auto" w:fill="71E2FF"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84BD00" w:themeColor="accent2"/>
        <w:left w:val="single" w:sz="8" w:space="0" w:color="84BD00" w:themeColor="accent2"/>
        <w:bottom w:val="single" w:sz="8" w:space="0" w:color="84BD00" w:themeColor="accent2"/>
        <w:right w:val="single" w:sz="8" w:space="0" w:color="84BD00" w:themeColor="accent2"/>
        <w:insideH w:val="single" w:sz="8" w:space="0" w:color="84BD00" w:themeColor="accent2"/>
        <w:insideV w:val="single" w:sz="8" w:space="0" w:color="84BD00" w:themeColor="accent2"/>
      </w:tblBorders>
    </w:tblPr>
    <w:tcPr>
      <w:shd w:val="clear" w:color="auto" w:fill="E7FFAF" w:themeFill="accent2" w:themeFillTint="3F"/>
    </w:tcPr>
    <w:tblStylePr w:type="firstRow">
      <w:rPr>
        <w:b/>
        <w:bCs/>
        <w:color w:val="000000" w:themeColor="text1"/>
      </w:rPr>
      <w:tblPr/>
      <w:tcPr>
        <w:shd w:val="clear" w:color="auto" w:fill="F5FFDF"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BFFBE" w:themeFill="accent2" w:themeFillTint="33"/>
      </w:tcPr>
    </w:tblStylePr>
    <w:tblStylePr w:type="band1Vert">
      <w:tblPr/>
      <w:tcPr>
        <w:shd w:val="clear" w:color="auto" w:fill="CEFF5F" w:themeFill="accent2" w:themeFillTint="7F"/>
      </w:tcPr>
    </w:tblStylePr>
    <w:tblStylePr w:type="band1Horz">
      <w:tblPr/>
      <w:tcPr>
        <w:tcBorders>
          <w:insideH w:val="single" w:sz="6" w:space="0" w:color="84BD00" w:themeColor="accent2"/>
          <w:insideV w:val="single" w:sz="6" w:space="0" w:color="84BD00" w:themeColor="accent2"/>
        </w:tcBorders>
        <w:shd w:val="clear" w:color="auto" w:fill="CEFF5F"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F68B1F" w:themeColor="accent3"/>
        <w:left w:val="single" w:sz="8" w:space="0" w:color="F68B1F" w:themeColor="accent3"/>
        <w:bottom w:val="single" w:sz="8" w:space="0" w:color="F68B1F" w:themeColor="accent3"/>
        <w:right w:val="single" w:sz="8" w:space="0" w:color="F68B1F" w:themeColor="accent3"/>
        <w:insideH w:val="single" w:sz="8" w:space="0" w:color="F68B1F" w:themeColor="accent3"/>
        <w:insideV w:val="single" w:sz="8" w:space="0" w:color="F68B1F" w:themeColor="accent3"/>
      </w:tblBorders>
    </w:tblPr>
    <w:tcPr>
      <w:shd w:val="clear" w:color="auto" w:fill="FCE2C7" w:themeFill="accent3" w:themeFillTint="3F"/>
    </w:tcPr>
    <w:tblStylePr w:type="firstRow">
      <w:rPr>
        <w:b/>
        <w:bCs/>
        <w:color w:val="000000" w:themeColor="text1"/>
      </w:rPr>
      <w:tblPr/>
      <w:tcPr>
        <w:shd w:val="clear" w:color="auto" w:fill="FEF3E8"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7D2" w:themeFill="accent3" w:themeFillTint="33"/>
      </w:tcPr>
    </w:tblStylePr>
    <w:tblStylePr w:type="band1Vert">
      <w:tblPr/>
      <w:tcPr>
        <w:shd w:val="clear" w:color="auto" w:fill="FAC58F" w:themeFill="accent3" w:themeFillTint="7F"/>
      </w:tcPr>
    </w:tblStylePr>
    <w:tblStylePr w:type="band1Horz">
      <w:tblPr/>
      <w:tcPr>
        <w:tcBorders>
          <w:insideH w:val="single" w:sz="6" w:space="0" w:color="F68B1F" w:themeColor="accent3"/>
          <w:insideV w:val="single" w:sz="6" w:space="0" w:color="F68B1F" w:themeColor="accent3"/>
        </w:tcBorders>
        <w:shd w:val="clear" w:color="auto" w:fill="FAC58F"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9E007E" w:themeColor="accent4"/>
        <w:left w:val="single" w:sz="8" w:space="0" w:color="9E007E" w:themeColor="accent4"/>
        <w:bottom w:val="single" w:sz="8" w:space="0" w:color="9E007E" w:themeColor="accent4"/>
        <w:right w:val="single" w:sz="8" w:space="0" w:color="9E007E" w:themeColor="accent4"/>
        <w:insideH w:val="single" w:sz="8" w:space="0" w:color="9E007E" w:themeColor="accent4"/>
        <w:insideV w:val="single" w:sz="8" w:space="0" w:color="9E007E" w:themeColor="accent4"/>
      </w:tblBorders>
    </w:tblPr>
    <w:tcPr>
      <w:shd w:val="clear" w:color="auto" w:fill="FFA8ED" w:themeFill="accent4" w:themeFillTint="3F"/>
    </w:tcPr>
    <w:tblStylePr w:type="firstRow">
      <w:rPr>
        <w:b/>
        <w:bCs/>
        <w:color w:val="000000" w:themeColor="text1"/>
      </w:rPr>
      <w:tblPr/>
      <w:tcPr>
        <w:shd w:val="clear" w:color="auto" w:fill="FFDCF7"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FB8F0" w:themeFill="accent4" w:themeFillTint="33"/>
      </w:tcPr>
    </w:tblStylePr>
    <w:tblStylePr w:type="band1Vert">
      <w:tblPr/>
      <w:tcPr>
        <w:shd w:val="clear" w:color="auto" w:fill="FF4FDB" w:themeFill="accent4" w:themeFillTint="7F"/>
      </w:tcPr>
    </w:tblStylePr>
    <w:tblStylePr w:type="band1Horz">
      <w:tblPr/>
      <w:tcPr>
        <w:tcBorders>
          <w:insideH w:val="single" w:sz="6" w:space="0" w:color="9E007E" w:themeColor="accent4"/>
          <w:insideV w:val="single" w:sz="6" w:space="0" w:color="9E007E" w:themeColor="accent4"/>
        </w:tcBorders>
        <w:shd w:val="clear" w:color="auto" w:fill="FF4FDB"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FFE512" w:themeColor="accent5"/>
        <w:left w:val="single" w:sz="8" w:space="0" w:color="FFE512" w:themeColor="accent5"/>
        <w:bottom w:val="single" w:sz="8" w:space="0" w:color="FFE512" w:themeColor="accent5"/>
        <w:right w:val="single" w:sz="8" w:space="0" w:color="FFE512" w:themeColor="accent5"/>
        <w:insideH w:val="single" w:sz="8" w:space="0" w:color="FFE512" w:themeColor="accent5"/>
        <w:insideV w:val="single" w:sz="8" w:space="0" w:color="FFE512" w:themeColor="accent5"/>
      </w:tblBorders>
    </w:tblPr>
    <w:tcPr>
      <w:shd w:val="clear" w:color="auto" w:fill="FFF8C4" w:themeFill="accent5" w:themeFillTint="3F"/>
    </w:tcPr>
    <w:tblStylePr w:type="firstRow">
      <w:rPr>
        <w:b/>
        <w:bCs/>
        <w:color w:val="000000" w:themeColor="text1"/>
      </w:rPr>
      <w:tblPr/>
      <w:tcPr>
        <w:shd w:val="clear" w:color="auto" w:fill="FFFCE7"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FF9CF" w:themeFill="accent5" w:themeFillTint="33"/>
      </w:tcPr>
    </w:tblStylePr>
    <w:tblStylePr w:type="band1Vert">
      <w:tblPr/>
      <w:tcPr>
        <w:shd w:val="clear" w:color="auto" w:fill="FFF288" w:themeFill="accent5" w:themeFillTint="7F"/>
      </w:tcPr>
    </w:tblStylePr>
    <w:tblStylePr w:type="band1Horz">
      <w:tblPr/>
      <w:tcPr>
        <w:tcBorders>
          <w:insideH w:val="single" w:sz="6" w:space="0" w:color="FFE512" w:themeColor="accent5"/>
          <w:insideV w:val="single" w:sz="6" w:space="0" w:color="FFE512" w:themeColor="accent5"/>
        </w:tcBorders>
        <w:shd w:val="clear" w:color="auto" w:fill="FFF288"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8C8279" w:themeColor="accent6"/>
        <w:left w:val="single" w:sz="8" w:space="0" w:color="8C8279" w:themeColor="accent6"/>
        <w:bottom w:val="single" w:sz="8" w:space="0" w:color="8C8279" w:themeColor="accent6"/>
        <w:right w:val="single" w:sz="8" w:space="0" w:color="8C8279" w:themeColor="accent6"/>
        <w:insideH w:val="single" w:sz="8" w:space="0" w:color="8C8279" w:themeColor="accent6"/>
        <w:insideV w:val="single" w:sz="8" w:space="0" w:color="8C8279" w:themeColor="accent6"/>
      </w:tblBorders>
    </w:tblPr>
    <w:tcPr>
      <w:shd w:val="clear" w:color="auto" w:fill="E2E0DD" w:themeFill="accent6" w:themeFillTint="3F"/>
    </w:tcPr>
    <w:tblStylePr w:type="firstRow">
      <w:rPr>
        <w:b/>
        <w:bCs/>
        <w:color w:val="000000" w:themeColor="text1"/>
      </w:rPr>
      <w:tblPr/>
      <w:tcPr>
        <w:shd w:val="clear" w:color="auto" w:fill="F3F2F1"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8E5E4" w:themeFill="accent6" w:themeFillTint="33"/>
      </w:tcPr>
    </w:tblStylePr>
    <w:tblStylePr w:type="band1Vert">
      <w:tblPr/>
      <w:tcPr>
        <w:shd w:val="clear" w:color="auto" w:fill="C5C0BC" w:themeFill="accent6" w:themeFillTint="7F"/>
      </w:tcPr>
    </w:tblStylePr>
    <w:tblStylePr w:type="band1Horz">
      <w:tblPr/>
      <w:tcPr>
        <w:tcBorders>
          <w:insideH w:val="single" w:sz="6" w:space="0" w:color="8C8279" w:themeColor="accent6"/>
          <w:insideV w:val="single" w:sz="6" w:space="0" w:color="8C8279" w:themeColor="accent6"/>
        </w:tcBorders>
        <w:shd w:val="clear" w:color="auto" w:fill="C5C0BC"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semiHidden/>
    <w:unhideWhenUsed/>
    <w:rsid w:val="009E6ED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semiHidden/>
    <w:unhideWhenUsed/>
    <w:rsid w:val="009E6ED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B8F0FF"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B5E2"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B5E2"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B5E2"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B5E2"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71E2FF"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71E2FF" w:themeFill="accent1" w:themeFillTint="7F"/>
      </w:tcPr>
    </w:tblStylePr>
  </w:style>
  <w:style w:type="table" w:styleId="MediumGrid3-Accent2">
    <w:name w:val="Medium Grid 3 Accent 2"/>
    <w:basedOn w:val="TableNormal"/>
    <w:uiPriority w:val="69"/>
    <w:semiHidden/>
    <w:unhideWhenUsed/>
    <w:rsid w:val="009E6ED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7FFAF"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4BD00"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4BD00"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4BD00"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4BD00"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EFF5F"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EFF5F" w:themeFill="accent2" w:themeFillTint="7F"/>
      </w:tcPr>
    </w:tblStylePr>
  </w:style>
  <w:style w:type="table" w:styleId="MediumGrid3-Accent3">
    <w:name w:val="Medium Grid 3 Accent 3"/>
    <w:basedOn w:val="TableNormal"/>
    <w:uiPriority w:val="69"/>
    <w:semiHidden/>
    <w:unhideWhenUsed/>
    <w:rsid w:val="009E6ED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CE2C7"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68B1F"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68B1F"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68B1F"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68B1F"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AC58F"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AC58F" w:themeFill="accent3" w:themeFillTint="7F"/>
      </w:tcPr>
    </w:tblStylePr>
  </w:style>
  <w:style w:type="table" w:styleId="MediumGrid3-Accent4">
    <w:name w:val="Medium Grid 3 Accent 4"/>
    <w:basedOn w:val="TableNormal"/>
    <w:uiPriority w:val="69"/>
    <w:semiHidden/>
    <w:unhideWhenUsed/>
    <w:rsid w:val="009E6ED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FA8ED"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E007E"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E007E"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E007E"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E007E"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F4FDB"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F4FDB" w:themeFill="accent4" w:themeFillTint="7F"/>
      </w:tcPr>
    </w:tblStylePr>
  </w:style>
  <w:style w:type="table" w:styleId="MediumGrid3-Accent5">
    <w:name w:val="Medium Grid 3 Accent 5"/>
    <w:basedOn w:val="TableNormal"/>
    <w:uiPriority w:val="69"/>
    <w:semiHidden/>
    <w:unhideWhenUsed/>
    <w:rsid w:val="009E6ED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FF8C4"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FE512"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FE512"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FE512"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FE512"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FF288"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FF288" w:themeFill="accent5" w:themeFillTint="7F"/>
      </w:tcPr>
    </w:tblStylePr>
  </w:style>
  <w:style w:type="table" w:styleId="MediumGrid3-Accent6">
    <w:name w:val="Medium Grid 3 Accent 6"/>
    <w:basedOn w:val="TableNormal"/>
    <w:uiPriority w:val="69"/>
    <w:semiHidden/>
    <w:unhideWhenUsed/>
    <w:rsid w:val="009E6ED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2E0DD"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C8279"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C8279"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C8279"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C8279"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5C0BC"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5C0BC" w:themeFill="accent6" w:themeFillTint="7F"/>
      </w:tcPr>
    </w:tblStylePr>
  </w:style>
  <w:style w:type="table" w:styleId="MediumList1">
    <w:name w:val="Medium List 1"/>
    <w:basedOn w:val="TableNormal"/>
    <w:uiPriority w:val="65"/>
    <w:semiHidden/>
    <w:unhideWhenUsed/>
    <w:rsid w:val="009E6ED7"/>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000000"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semiHidden/>
    <w:unhideWhenUsed/>
    <w:rsid w:val="009E6ED7"/>
    <w:rPr>
      <w:color w:val="000000" w:themeColor="text1"/>
    </w:rPr>
    <w:tblPr>
      <w:tblStyleRowBandSize w:val="1"/>
      <w:tblStyleColBandSize w:val="1"/>
      <w:tblBorders>
        <w:top w:val="single" w:sz="8" w:space="0" w:color="00B5E2" w:themeColor="accent1"/>
        <w:bottom w:val="single" w:sz="8" w:space="0" w:color="00B5E2" w:themeColor="accent1"/>
      </w:tblBorders>
    </w:tblPr>
    <w:tblStylePr w:type="firstRow">
      <w:rPr>
        <w:rFonts w:asciiTheme="majorHAnsi" w:eastAsiaTheme="majorEastAsia" w:hAnsiTheme="majorHAnsi" w:cstheme="majorBidi"/>
      </w:rPr>
      <w:tblPr/>
      <w:tcPr>
        <w:tcBorders>
          <w:top w:val="nil"/>
          <w:bottom w:val="single" w:sz="8" w:space="0" w:color="00B5E2" w:themeColor="accent1"/>
        </w:tcBorders>
      </w:tcPr>
    </w:tblStylePr>
    <w:tblStylePr w:type="lastRow">
      <w:rPr>
        <w:b/>
        <w:bCs/>
        <w:color w:val="000000" w:themeColor="text2"/>
      </w:rPr>
      <w:tblPr/>
      <w:tcPr>
        <w:tcBorders>
          <w:top w:val="single" w:sz="8" w:space="0" w:color="00B5E2" w:themeColor="accent1"/>
          <w:bottom w:val="single" w:sz="8" w:space="0" w:color="00B5E2" w:themeColor="accent1"/>
        </w:tcBorders>
      </w:tcPr>
    </w:tblStylePr>
    <w:tblStylePr w:type="firstCol">
      <w:rPr>
        <w:b/>
        <w:bCs/>
      </w:rPr>
    </w:tblStylePr>
    <w:tblStylePr w:type="lastCol">
      <w:rPr>
        <w:b/>
        <w:bCs/>
      </w:rPr>
      <w:tblPr/>
      <w:tcPr>
        <w:tcBorders>
          <w:top w:val="single" w:sz="8" w:space="0" w:color="00B5E2" w:themeColor="accent1"/>
          <w:bottom w:val="single" w:sz="8" w:space="0" w:color="00B5E2" w:themeColor="accent1"/>
        </w:tcBorders>
      </w:tcPr>
    </w:tblStylePr>
    <w:tblStylePr w:type="band1Vert">
      <w:tblPr/>
      <w:tcPr>
        <w:shd w:val="clear" w:color="auto" w:fill="B8F0FF" w:themeFill="accent1" w:themeFillTint="3F"/>
      </w:tcPr>
    </w:tblStylePr>
    <w:tblStylePr w:type="band1Horz">
      <w:tblPr/>
      <w:tcPr>
        <w:shd w:val="clear" w:color="auto" w:fill="B8F0FF" w:themeFill="accent1" w:themeFillTint="3F"/>
      </w:tcPr>
    </w:tblStylePr>
  </w:style>
  <w:style w:type="table" w:styleId="MediumList1-Accent2">
    <w:name w:val="Medium List 1 Accent 2"/>
    <w:basedOn w:val="TableNormal"/>
    <w:uiPriority w:val="65"/>
    <w:semiHidden/>
    <w:unhideWhenUsed/>
    <w:rsid w:val="009E6ED7"/>
    <w:rPr>
      <w:color w:val="000000" w:themeColor="text1"/>
    </w:rPr>
    <w:tblPr>
      <w:tblStyleRowBandSize w:val="1"/>
      <w:tblStyleColBandSize w:val="1"/>
      <w:tblBorders>
        <w:top w:val="single" w:sz="8" w:space="0" w:color="84BD00" w:themeColor="accent2"/>
        <w:bottom w:val="single" w:sz="8" w:space="0" w:color="84BD00" w:themeColor="accent2"/>
      </w:tblBorders>
    </w:tblPr>
    <w:tblStylePr w:type="firstRow">
      <w:rPr>
        <w:rFonts w:asciiTheme="majorHAnsi" w:eastAsiaTheme="majorEastAsia" w:hAnsiTheme="majorHAnsi" w:cstheme="majorBidi"/>
      </w:rPr>
      <w:tblPr/>
      <w:tcPr>
        <w:tcBorders>
          <w:top w:val="nil"/>
          <w:bottom w:val="single" w:sz="8" w:space="0" w:color="84BD00" w:themeColor="accent2"/>
        </w:tcBorders>
      </w:tcPr>
    </w:tblStylePr>
    <w:tblStylePr w:type="lastRow">
      <w:rPr>
        <w:b/>
        <w:bCs/>
        <w:color w:val="000000" w:themeColor="text2"/>
      </w:rPr>
      <w:tblPr/>
      <w:tcPr>
        <w:tcBorders>
          <w:top w:val="single" w:sz="8" w:space="0" w:color="84BD00" w:themeColor="accent2"/>
          <w:bottom w:val="single" w:sz="8" w:space="0" w:color="84BD00" w:themeColor="accent2"/>
        </w:tcBorders>
      </w:tcPr>
    </w:tblStylePr>
    <w:tblStylePr w:type="firstCol">
      <w:rPr>
        <w:b/>
        <w:bCs/>
      </w:rPr>
    </w:tblStylePr>
    <w:tblStylePr w:type="lastCol">
      <w:rPr>
        <w:b/>
        <w:bCs/>
      </w:rPr>
      <w:tblPr/>
      <w:tcPr>
        <w:tcBorders>
          <w:top w:val="single" w:sz="8" w:space="0" w:color="84BD00" w:themeColor="accent2"/>
          <w:bottom w:val="single" w:sz="8" w:space="0" w:color="84BD00" w:themeColor="accent2"/>
        </w:tcBorders>
      </w:tcPr>
    </w:tblStylePr>
    <w:tblStylePr w:type="band1Vert">
      <w:tblPr/>
      <w:tcPr>
        <w:shd w:val="clear" w:color="auto" w:fill="E7FFAF" w:themeFill="accent2" w:themeFillTint="3F"/>
      </w:tcPr>
    </w:tblStylePr>
    <w:tblStylePr w:type="band1Horz">
      <w:tblPr/>
      <w:tcPr>
        <w:shd w:val="clear" w:color="auto" w:fill="E7FFAF" w:themeFill="accent2" w:themeFillTint="3F"/>
      </w:tcPr>
    </w:tblStylePr>
  </w:style>
  <w:style w:type="table" w:styleId="MediumList1-Accent3">
    <w:name w:val="Medium List 1 Accent 3"/>
    <w:basedOn w:val="TableNormal"/>
    <w:uiPriority w:val="65"/>
    <w:semiHidden/>
    <w:unhideWhenUsed/>
    <w:rsid w:val="009E6ED7"/>
    <w:rPr>
      <w:color w:val="000000" w:themeColor="text1"/>
    </w:rPr>
    <w:tblPr>
      <w:tblStyleRowBandSize w:val="1"/>
      <w:tblStyleColBandSize w:val="1"/>
      <w:tblBorders>
        <w:top w:val="single" w:sz="8" w:space="0" w:color="F68B1F" w:themeColor="accent3"/>
        <w:bottom w:val="single" w:sz="8" w:space="0" w:color="F68B1F" w:themeColor="accent3"/>
      </w:tblBorders>
    </w:tblPr>
    <w:tblStylePr w:type="firstRow">
      <w:rPr>
        <w:rFonts w:asciiTheme="majorHAnsi" w:eastAsiaTheme="majorEastAsia" w:hAnsiTheme="majorHAnsi" w:cstheme="majorBidi"/>
      </w:rPr>
      <w:tblPr/>
      <w:tcPr>
        <w:tcBorders>
          <w:top w:val="nil"/>
          <w:bottom w:val="single" w:sz="8" w:space="0" w:color="F68B1F" w:themeColor="accent3"/>
        </w:tcBorders>
      </w:tcPr>
    </w:tblStylePr>
    <w:tblStylePr w:type="lastRow">
      <w:rPr>
        <w:b/>
        <w:bCs/>
        <w:color w:val="000000" w:themeColor="text2"/>
      </w:rPr>
      <w:tblPr/>
      <w:tcPr>
        <w:tcBorders>
          <w:top w:val="single" w:sz="8" w:space="0" w:color="F68B1F" w:themeColor="accent3"/>
          <w:bottom w:val="single" w:sz="8" w:space="0" w:color="F68B1F" w:themeColor="accent3"/>
        </w:tcBorders>
      </w:tcPr>
    </w:tblStylePr>
    <w:tblStylePr w:type="firstCol">
      <w:rPr>
        <w:b/>
        <w:bCs/>
      </w:rPr>
    </w:tblStylePr>
    <w:tblStylePr w:type="lastCol">
      <w:rPr>
        <w:b/>
        <w:bCs/>
      </w:rPr>
      <w:tblPr/>
      <w:tcPr>
        <w:tcBorders>
          <w:top w:val="single" w:sz="8" w:space="0" w:color="F68B1F" w:themeColor="accent3"/>
          <w:bottom w:val="single" w:sz="8" w:space="0" w:color="F68B1F" w:themeColor="accent3"/>
        </w:tcBorders>
      </w:tcPr>
    </w:tblStylePr>
    <w:tblStylePr w:type="band1Vert">
      <w:tblPr/>
      <w:tcPr>
        <w:shd w:val="clear" w:color="auto" w:fill="FCE2C7" w:themeFill="accent3" w:themeFillTint="3F"/>
      </w:tcPr>
    </w:tblStylePr>
    <w:tblStylePr w:type="band1Horz">
      <w:tblPr/>
      <w:tcPr>
        <w:shd w:val="clear" w:color="auto" w:fill="FCE2C7" w:themeFill="accent3" w:themeFillTint="3F"/>
      </w:tcPr>
    </w:tblStylePr>
  </w:style>
  <w:style w:type="table" w:styleId="MediumList1-Accent4">
    <w:name w:val="Medium List 1 Accent 4"/>
    <w:basedOn w:val="TableNormal"/>
    <w:uiPriority w:val="65"/>
    <w:semiHidden/>
    <w:unhideWhenUsed/>
    <w:rsid w:val="009E6ED7"/>
    <w:rPr>
      <w:color w:val="000000" w:themeColor="text1"/>
    </w:rPr>
    <w:tblPr>
      <w:tblStyleRowBandSize w:val="1"/>
      <w:tblStyleColBandSize w:val="1"/>
      <w:tblBorders>
        <w:top w:val="single" w:sz="8" w:space="0" w:color="9E007E" w:themeColor="accent4"/>
        <w:bottom w:val="single" w:sz="8" w:space="0" w:color="9E007E" w:themeColor="accent4"/>
      </w:tblBorders>
    </w:tblPr>
    <w:tblStylePr w:type="firstRow">
      <w:rPr>
        <w:rFonts w:asciiTheme="majorHAnsi" w:eastAsiaTheme="majorEastAsia" w:hAnsiTheme="majorHAnsi" w:cstheme="majorBidi"/>
      </w:rPr>
      <w:tblPr/>
      <w:tcPr>
        <w:tcBorders>
          <w:top w:val="nil"/>
          <w:bottom w:val="single" w:sz="8" w:space="0" w:color="9E007E" w:themeColor="accent4"/>
        </w:tcBorders>
      </w:tcPr>
    </w:tblStylePr>
    <w:tblStylePr w:type="lastRow">
      <w:rPr>
        <w:b/>
        <w:bCs/>
        <w:color w:val="000000" w:themeColor="text2"/>
      </w:rPr>
      <w:tblPr/>
      <w:tcPr>
        <w:tcBorders>
          <w:top w:val="single" w:sz="8" w:space="0" w:color="9E007E" w:themeColor="accent4"/>
          <w:bottom w:val="single" w:sz="8" w:space="0" w:color="9E007E" w:themeColor="accent4"/>
        </w:tcBorders>
      </w:tcPr>
    </w:tblStylePr>
    <w:tblStylePr w:type="firstCol">
      <w:rPr>
        <w:b/>
        <w:bCs/>
      </w:rPr>
    </w:tblStylePr>
    <w:tblStylePr w:type="lastCol">
      <w:rPr>
        <w:b/>
        <w:bCs/>
      </w:rPr>
      <w:tblPr/>
      <w:tcPr>
        <w:tcBorders>
          <w:top w:val="single" w:sz="8" w:space="0" w:color="9E007E" w:themeColor="accent4"/>
          <w:bottom w:val="single" w:sz="8" w:space="0" w:color="9E007E" w:themeColor="accent4"/>
        </w:tcBorders>
      </w:tcPr>
    </w:tblStylePr>
    <w:tblStylePr w:type="band1Vert">
      <w:tblPr/>
      <w:tcPr>
        <w:shd w:val="clear" w:color="auto" w:fill="FFA8ED" w:themeFill="accent4" w:themeFillTint="3F"/>
      </w:tcPr>
    </w:tblStylePr>
    <w:tblStylePr w:type="band1Horz">
      <w:tblPr/>
      <w:tcPr>
        <w:shd w:val="clear" w:color="auto" w:fill="FFA8ED" w:themeFill="accent4" w:themeFillTint="3F"/>
      </w:tcPr>
    </w:tblStylePr>
  </w:style>
  <w:style w:type="table" w:styleId="MediumList1-Accent5">
    <w:name w:val="Medium List 1 Accent 5"/>
    <w:basedOn w:val="TableNormal"/>
    <w:uiPriority w:val="65"/>
    <w:semiHidden/>
    <w:unhideWhenUsed/>
    <w:rsid w:val="009E6ED7"/>
    <w:rPr>
      <w:color w:val="000000" w:themeColor="text1"/>
    </w:rPr>
    <w:tblPr>
      <w:tblStyleRowBandSize w:val="1"/>
      <w:tblStyleColBandSize w:val="1"/>
      <w:tblBorders>
        <w:top w:val="single" w:sz="8" w:space="0" w:color="FFE512" w:themeColor="accent5"/>
        <w:bottom w:val="single" w:sz="8" w:space="0" w:color="FFE512" w:themeColor="accent5"/>
      </w:tblBorders>
    </w:tblPr>
    <w:tblStylePr w:type="firstRow">
      <w:rPr>
        <w:rFonts w:asciiTheme="majorHAnsi" w:eastAsiaTheme="majorEastAsia" w:hAnsiTheme="majorHAnsi" w:cstheme="majorBidi"/>
      </w:rPr>
      <w:tblPr/>
      <w:tcPr>
        <w:tcBorders>
          <w:top w:val="nil"/>
          <w:bottom w:val="single" w:sz="8" w:space="0" w:color="FFE512" w:themeColor="accent5"/>
        </w:tcBorders>
      </w:tcPr>
    </w:tblStylePr>
    <w:tblStylePr w:type="lastRow">
      <w:rPr>
        <w:b/>
        <w:bCs/>
        <w:color w:val="000000" w:themeColor="text2"/>
      </w:rPr>
      <w:tblPr/>
      <w:tcPr>
        <w:tcBorders>
          <w:top w:val="single" w:sz="8" w:space="0" w:color="FFE512" w:themeColor="accent5"/>
          <w:bottom w:val="single" w:sz="8" w:space="0" w:color="FFE512" w:themeColor="accent5"/>
        </w:tcBorders>
      </w:tcPr>
    </w:tblStylePr>
    <w:tblStylePr w:type="firstCol">
      <w:rPr>
        <w:b/>
        <w:bCs/>
      </w:rPr>
    </w:tblStylePr>
    <w:tblStylePr w:type="lastCol">
      <w:rPr>
        <w:b/>
        <w:bCs/>
      </w:rPr>
      <w:tblPr/>
      <w:tcPr>
        <w:tcBorders>
          <w:top w:val="single" w:sz="8" w:space="0" w:color="FFE512" w:themeColor="accent5"/>
          <w:bottom w:val="single" w:sz="8" w:space="0" w:color="FFE512" w:themeColor="accent5"/>
        </w:tcBorders>
      </w:tcPr>
    </w:tblStylePr>
    <w:tblStylePr w:type="band1Vert">
      <w:tblPr/>
      <w:tcPr>
        <w:shd w:val="clear" w:color="auto" w:fill="FFF8C4" w:themeFill="accent5" w:themeFillTint="3F"/>
      </w:tcPr>
    </w:tblStylePr>
    <w:tblStylePr w:type="band1Horz">
      <w:tblPr/>
      <w:tcPr>
        <w:shd w:val="clear" w:color="auto" w:fill="FFF8C4" w:themeFill="accent5" w:themeFillTint="3F"/>
      </w:tcPr>
    </w:tblStylePr>
  </w:style>
  <w:style w:type="table" w:styleId="MediumList1-Accent6">
    <w:name w:val="Medium List 1 Accent 6"/>
    <w:basedOn w:val="TableNormal"/>
    <w:uiPriority w:val="65"/>
    <w:semiHidden/>
    <w:unhideWhenUsed/>
    <w:rsid w:val="009E6ED7"/>
    <w:rPr>
      <w:color w:val="000000" w:themeColor="text1"/>
    </w:rPr>
    <w:tblPr>
      <w:tblStyleRowBandSize w:val="1"/>
      <w:tblStyleColBandSize w:val="1"/>
      <w:tblBorders>
        <w:top w:val="single" w:sz="8" w:space="0" w:color="8C8279" w:themeColor="accent6"/>
        <w:bottom w:val="single" w:sz="8" w:space="0" w:color="8C8279" w:themeColor="accent6"/>
      </w:tblBorders>
    </w:tblPr>
    <w:tblStylePr w:type="firstRow">
      <w:rPr>
        <w:rFonts w:asciiTheme="majorHAnsi" w:eastAsiaTheme="majorEastAsia" w:hAnsiTheme="majorHAnsi" w:cstheme="majorBidi"/>
      </w:rPr>
      <w:tblPr/>
      <w:tcPr>
        <w:tcBorders>
          <w:top w:val="nil"/>
          <w:bottom w:val="single" w:sz="8" w:space="0" w:color="8C8279" w:themeColor="accent6"/>
        </w:tcBorders>
      </w:tcPr>
    </w:tblStylePr>
    <w:tblStylePr w:type="lastRow">
      <w:rPr>
        <w:b/>
        <w:bCs/>
        <w:color w:val="000000" w:themeColor="text2"/>
      </w:rPr>
      <w:tblPr/>
      <w:tcPr>
        <w:tcBorders>
          <w:top w:val="single" w:sz="8" w:space="0" w:color="8C8279" w:themeColor="accent6"/>
          <w:bottom w:val="single" w:sz="8" w:space="0" w:color="8C8279" w:themeColor="accent6"/>
        </w:tcBorders>
      </w:tcPr>
    </w:tblStylePr>
    <w:tblStylePr w:type="firstCol">
      <w:rPr>
        <w:b/>
        <w:bCs/>
      </w:rPr>
    </w:tblStylePr>
    <w:tblStylePr w:type="lastCol">
      <w:rPr>
        <w:b/>
        <w:bCs/>
      </w:rPr>
      <w:tblPr/>
      <w:tcPr>
        <w:tcBorders>
          <w:top w:val="single" w:sz="8" w:space="0" w:color="8C8279" w:themeColor="accent6"/>
          <w:bottom w:val="single" w:sz="8" w:space="0" w:color="8C8279" w:themeColor="accent6"/>
        </w:tcBorders>
      </w:tcPr>
    </w:tblStylePr>
    <w:tblStylePr w:type="band1Vert">
      <w:tblPr/>
      <w:tcPr>
        <w:shd w:val="clear" w:color="auto" w:fill="E2E0DD" w:themeFill="accent6" w:themeFillTint="3F"/>
      </w:tcPr>
    </w:tblStylePr>
    <w:tblStylePr w:type="band1Horz">
      <w:tblPr/>
      <w:tcPr>
        <w:shd w:val="clear" w:color="auto" w:fill="E2E0DD" w:themeFill="accent6" w:themeFillTint="3F"/>
      </w:tcPr>
    </w:tblStylePr>
  </w:style>
  <w:style w:type="table" w:styleId="MediumList2">
    <w:name w:val="Medium List 2"/>
    <w:basedOn w:val="TableNormal"/>
    <w:uiPriority w:val="66"/>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00B5E2" w:themeColor="accent1"/>
        <w:left w:val="single" w:sz="8" w:space="0" w:color="00B5E2" w:themeColor="accent1"/>
        <w:bottom w:val="single" w:sz="8" w:space="0" w:color="00B5E2" w:themeColor="accent1"/>
        <w:right w:val="single" w:sz="8" w:space="0" w:color="00B5E2" w:themeColor="accent1"/>
      </w:tblBorders>
    </w:tblPr>
    <w:tblStylePr w:type="firstRow">
      <w:rPr>
        <w:sz w:val="24"/>
        <w:szCs w:val="24"/>
      </w:rPr>
      <w:tblPr/>
      <w:tcPr>
        <w:tcBorders>
          <w:top w:val="nil"/>
          <w:left w:val="nil"/>
          <w:bottom w:val="single" w:sz="24" w:space="0" w:color="00B5E2" w:themeColor="accent1"/>
          <w:right w:val="nil"/>
          <w:insideH w:val="nil"/>
          <w:insideV w:val="nil"/>
        </w:tcBorders>
        <w:shd w:val="clear" w:color="auto" w:fill="FFFFFF" w:themeFill="background1"/>
      </w:tcPr>
    </w:tblStylePr>
    <w:tblStylePr w:type="lastRow">
      <w:tblPr/>
      <w:tcPr>
        <w:tcBorders>
          <w:top w:val="single" w:sz="8" w:space="0" w:color="00B5E2"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B5E2" w:themeColor="accent1"/>
          <w:insideH w:val="nil"/>
          <w:insideV w:val="nil"/>
        </w:tcBorders>
        <w:shd w:val="clear" w:color="auto" w:fill="FFFFFF" w:themeFill="background1"/>
      </w:tcPr>
    </w:tblStylePr>
    <w:tblStylePr w:type="lastCol">
      <w:tblPr/>
      <w:tcPr>
        <w:tcBorders>
          <w:top w:val="nil"/>
          <w:left w:val="single" w:sz="8" w:space="0" w:color="00B5E2"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B8F0FF" w:themeFill="accent1" w:themeFillTint="3F"/>
      </w:tcPr>
    </w:tblStylePr>
    <w:tblStylePr w:type="band1Horz">
      <w:tblPr/>
      <w:tcPr>
        <w:tcBorders>
          <w:top w:val="nil"/>
          <w:bottom w:val="nil"/>
          <w:insideH w:val="nil"/>
          <w:insideV w:val="nil"/>
        </w:tcBorders>
        <w:shd w:val="clear" w:color="auto" w:fill="B8F0FF"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84BD00" w:themeColor="accent2"/>
        <w:left w:val="single" w:sz="8" w:space="0" w:color="84BD00" w:themeColor="accent2"/>
        <w:bottom w:val="single" w:sz="8" w:space="0" w:color="84BD00" w:themeColor="accent2"/>
        <w:right w:val="single" w:sz="8" w:space="0" w:color="84BD00" w:themeColor="accent2"/>
      </w:tblBorders>
    </w:tblPr>
    <w:tblStylePr w:type="firstRow">
      <w:rPr>
        <w:sz w:val="24"/>
        <w:szCs w:val="24"/>
      </w:rPr>
      <w:tblPr/>
      <w:tcPr>
        <w:tcBorders>
          <w:top w:val="nil"/>
          <w:left w:val="nil"/>
          <w:bottom w:val="single" w:sz="24" w:space="0" w:color="84BD00" w:themeColor="accent2"/>
          <w:right w:val="nil"/>
          <w:insideH w:val="nil"/>
          <w:insideV w:val="nil"/>
        </w:tcBorders>
        <w:shd w:val="clear" w:color="auto" w:fill="FFFFFF" w:themeFill="background1"/>
      </w:tcPr>
    </w:tblStylePr>
    <w:tblStylePr w:type="lastRow">
      <w:tblPr/>
      <w:tcPr>
        <w:tcBorders>
          <w:top w:val="single" w:sz="8" w:space="0" w:color="84BD00"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4BD00" w:themeColor="accent2"/>
          <w:insideH w:val="nil"/>
          <w:insideV w:val="nil"/>
        </w:tcBorders>
        <w:shd w:val="clear" w:color="auto" w:fill="FFFFFF" w:themeFill="background1"/>
      </w:tcPr>
    </w:tblStylePr>
    <w:tblStylePr w:type="lastCol">
      <w:tblPr/>
      <w:tcPr>
        <w:tcBorders>
          <w:top w:val="nil"/>
          <w:left w:val="single" w:sz="8" w:space="0" w:color="84BD00"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7FFAF" w:themeFill="accent2" w:themeFillTint="3F"/>
      </w:tcPr>
    </w:tblStylePr>
    <w:tblStylePr w:type="band1Horz">
      <w:tblPr/>
      <w:tcPr>
        <w:tcBorders>
          <w:top w:val="nil"/>
          <w:bottom w:val="nil"/>
          <w:insideH w:val="nil"/>
          <w:insideV w:val="nil"/>
        </w:tcBorders>
        <w:shd w:val="clear" w:color="auto" w:fill="E7FFAF"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F68B1F" w:themeColor="accent3"/>
        <w:left w:val="single" w:sz="8" w:space="0" w:color="F68B1F" w:themeColor="accent3"/>
        <w:bottom w:val="single" w:sz="8" w:space="0" w:color="F68B1F" w:themeColor="accent3"/>
        <w:right w:val="single" w:sz="8" w:space="0" w:color="F68B1F" w:themeColor="accent3"/>
      </w:tblBorders>
    </w:tblPr>
    <w:tblStylePr w:type="firstRow">
      <w:rPr>
        <w:sz w:val="24"/>
        <w:szCs w:val="24"/>
      </w:rPr>
      <w:tblPr/>
      <w:tcPr>
        <w:tcBorders>
          <w:top w:val="nil"/>
          <w:left w:val="nil"/>
          <w:bottom w:val="single" w:sz="24" w:space="0" w:color="F68B1F" w:themeColor="accent3"/>
          <w:right w:val="nil"/>
          <w:insideH w:val="nil"/>
          <w:insideV w:val="nil"/>
        </w:tcBorders>
        <w:shd w:val="clear" w:color="auto" w:fill="FFFFFF" w:themeFill="background1"/>
      </w:tcPr>
    </w:tblStylePr>
    <w:tblStylePr w:type="lastRow">
      <w:tblPr/>
      <w:tcPr>
        <w:tcBorders>
          <w:top w:val="single" w:sz="8" w:space="0" w:color="F68B1F"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68B1F" w:themeColor="accent3"/>
          <w:insideH w:val="nil"/>
          <w:insideV w:val="nil"/>
        </w:tcBorders>
        <w:shd w:val="clear" w:color="auto" w:fill="FFFFFF" w:themeFill="background1"/>
      </w:tcPr>
    </w:tblStylePr>
    <w:tblStylePr w:type="lastCol">
      <w:tblPr/>
      <w:tcPr>
        <w:tcBorders>
          <w:top w:val="nil"/>
          <w:left w:val="single" w:sz="8" w:space="0" w:color="F68B1F"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CE2C7" w:themeFill="accent3" w:themeFillTint="3F"/>
      </w:tcPr>
    </w:tblStylePr>
    <w:tblStylePr w:type="band1Horz">
      <w:tblPr/>
      <w:tcPr>
        <w:tcBorders>
          <w:top w:val="nil"/>
          <w:bottom w:val="nil"/>
          <w:insideH w:val="nil"/>
          <w:insideV w:val="nil"/>
        </w:tcBorders>
        <w:shd w:val="clear" w:color="auto" w:fill="FCE2C7"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9E007E" w:themeColor="accent4"/>
        <w:left w:val="single" w:sz="8" w:space="0" w:color="9E007E" w:themeColor="accent4"/>
        <w:bottom w:val="single" w:sz="8" w:space="0" w:color="9E007E" w:themeColor="accent4"/>
        <w:right w:val="single" w:sz="8" w:space="0" w:color="9E007E" w:themeColor="accent4"/>
      </w:tblBorders>
    </w:tblPr>
    <w:tblStylePr w:type="firstRow">
      <w:rPr>
        <w:sz w:val="24"/>
        <w:szCs w:val="24"/>
      </w:rPr>
      <w:tblPr/>
      <w:tcPr>
        <w:tcBorders>
          <w:top w:val="nil"/>
          <w:left w:val="nil"/>
          <w:bottom w:val="single" w:sz="24" w:space="0" w:color="9E007E" w:themeColor="accent4"/>
          <w:right w:val="nil"/>
          <w:insideH w:val="nil"/>
          <w:insideV w:val="nil"/>
        </w:tcBorders>
        <w:shd w:val="clear" w:color="auto" w:fill="FFFFFF" w:themeFill="background1"/>
      </w:tcPr>
    </w:tblStylePr>
    <w:tblStylePr w:type="lastRow">
      <w:tblPr/>
      <w:tcPr>
        <w:tcBorders>
          <w:top w:val="single" w:sz="8" w:space="0" w:color="9E007E"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E007E" w:themeColor="accent4"/>
          <w:insideH w:val="nil"/>
          <w:insideV w:val="nil"/>
        </w:tcBorders>
        <w:shd w:val="clear" w:color="auto" w:fill="FFFFFF" w:themeFill="background1"/>
      </w:tcPr>
    </w:tblStylePr>
    <w:tblStylePr w:type="lastCol">
      <w:tblPr/>
      <w:tcPr>
        <w:tcBorders>
          <w:top w:val="nil"/>
          <w:left w:val="single" w:sz="8" w:space="0" w:color="9E007E"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FA8ED" w:themeFill="accent4" w:themeFillTint="3F"/>
      </w:tcPr>
    </w:tblStylePr>
    <w:tblStylePr w:type="band1Horz">
      <w:tblPr/>
      <w:tcPr>
        <w:tcBorders>
          <w:top w:val="nil"/>
          <w:bottom w:val="nil"/>
          <w:insideH w:val="nil"/>
          <w:insideV w:val="nil"/>
        </w:tcBorders>
        <w:shd w:val="clear" w:color="auto" w:fill="FFA8ED"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FFE512" w:themeColor="accent5"/>
        <w:left w:val="single" w:sz="8" w:space="0" w:color="FFE512" w:themeColor="accent5"/>
        <w:bottom w:val="single" w:sz="8" w:space="0" w:color="FFE512" w:themeColor="accent5"/>
        <w:right w:val="single" w:sz="8" w:space="0" w:color="FFE512" w:themeColor="accent5"/>
      </w:tblBorders>
    </w:tblPr>
    <w:tblStylePr w:type="firstRow">
      <w:rPr>
        <w:sz w:val="24"/>
        <w:szCs w:val="24"/>
      </w:rPr>
      <w:tblPr/>
      <w:tcPr>
        <w:tcBorders>
          <w:top w:val="nil"/>
          <w:left w:val="nil"/>
          <w:bottom w:val="single" w:sz="24" w:space="0" w:color="FFE512" w:themeColor="accent5"/>
          <w:right w:val="nil"/>
          <w:insideH w:val="nil"/>
          <w:insideV w:val="nil"/>
        </w:tcBorders>
        <w:shd w:val="clear" w:color="auto" w:fill="FFFFFF" w:themeFill="background1"/>
      </w:tcPr>
    </w:tblStylePr>
    <w:tblStylePr w:type="lastRow">
      <w:tblPr/>
      <w:tcPr>
        <w:tcBorders>
          <w:top w:val="single" w:sz="8" w:space="0" w:color="FFE512"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FE512" w:themeColor="accent5"/>
          <w:insideH w:val="nil"/>
          <w:insideV w:val="nil"/>
        </w:tcBorders>
        <w:shd w:val="clear" w:color="auto" w:fill="FFFFFF" w:themeFill="background1"/>
      </w:tcPr>
    </w:tblStylePr>
    <w:tblStylePr w:type="lastCol">
      <w:tblPr/>
      <w:tcPr>
        <w:tcBorders>
          <w:top w:val="nil"/>
          <w:left w:val="single" w:sz="8" w:space="0" w:color="FFE512"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FF8C4" w:themeFill="accent5" w:themeFillTint="3F"/>
      </w:tcPr>
    </w:tblStylePr>
    <w:tblStylePr w:type="band1Horz">
      <w:tblPr/>
      <w:tcPr>
        <w:tcBorders>
          <w:top w:val="nil"/>
          <w:bottom w:val="nil"/>
          <w:insideH w:val="nil"/>
          <w:insideV w:val="nil"/>
        </w:tcBorders>
        <w:shd w:val="clear" w:color="auto" w:fill="FFF8C4"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8C8279" w:themeColor="accent6"/>
        <w:left w:val="single" w:sz="8" w:space="0" w:color="8C8279" w:themeColor="accent6"/>
        <w:bottom w:val="single" w:sz="8" w:space="0" w:color="8C8279" w:themeColor="accent6"/>
        <w:right w:val="single" w:sz="8" w:space="0" w:color="8C8279" w:themeColor="accent6"/>
      </w:tblBorders>
    </w:tblPr>
    <w:tblStylePr w:type="firstRow">
      <w:rPr>
        <w:sz w:val="24"/>
        <w:szCs w:val="24"/>
      </w:rPr>
      <w:tblPr/>
      <w:tcPr>
        <w:tcBorders>
          <w:top w:val="nil"/>
          <w:left w:val="nil"/>
          <w:bottom w:val="single" w:sz="24" w:space="0" w:color="8C8279" w:themeColor="accent6"/>
          <w:right w:val="nil"/>
          <w:insideH w:val="nil"/>
          <w:insideV w:val="nil"/>
        </w:tcBorders>
        <w:shd w:val="clear" w:color="auto" w:fill="FFFFFF" w:themeFill="background1"/>
      </w:tcPr>
    </w:tblStylePr>
    <w:tblStylePr w:type="lastRow">
      <w:tblPr/>
      <w:tcPr>
        <w:tcBorders>
          <w:top w:val="single" w:sz="8" w:space="0" w:color="8C8279"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C8279" w:themeColor="accent6"/>
          <w:insideH w:val="nil"/>
          <w:insideV w:val="nil"/>
        </w:tcBorders>
        <w:shd w:val="clear" w:color="auto" w:fill="FFFFFF" w:themeFill="background1"/>
      </w:tcPr>
    </w:tblStylePr>
    <w:tblStylePr w:type="lastCol">
      <w:tblPr/>
      <w:tcPr>
        <w:tcBorders>
          <w:top w:val="nil"/>
          <w:left w:val="single" w:sz="8" w:space="0" w:color="8C8279"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2E0DD" w:themeFill="accent6" w:themeFillTint="3F"/>
      </w:tcPr>
    </w:tblStylePr>
    <w:tblStylePr w:type="band1Horz">
      <w:tblPr/>
      <w:tcPr>
        <w:tcBorders>
          <w:top w:val="nil"/>
          <w:bottom w:val="nil"/>
          <w:insideH w:val="nil"/>
          <w:insideV w:val="nil"/>
        </w:tcBorders>
        <w:shd w:val="clear" w:color="auto" w:fill="E2E0DD"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Shading1">
    <w:name w:val="Medium Shading 1"/>
    <w:basedOn w:val="TableNormal"/>
    <w:uiPriority w:val="63"/>
    <w:semiHidden/>
    <w:unhideWhenUsed/>
    <w:rsid w:val="009E6ED7"/>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semiHidden/>
    <w:unhideWhenUsed/>
    <w:rsid w:val="009E6ED7"/>
    <w:tblPr>
      <w:tblStyleRowBandSize w:val="1"/>
      <w:tblStyleColBandSize w:val="1"/>
      <w:tblBorders>
        <w:top w:val="single" w:sz="8" w:space="0" w:color="2AD4FF" w:themeColor="accent1" w:themeTint="BF"/>
        <w:left w:val="single" w:sz="8" w:space="0" w:color="2AD4FF" w:themeColor="accent1" w:themeTint="BF"/>
        <w:bottom w:val="single" w:sz="8" w:space="0" w:color="2AD4FF" w:themeColor="accent1" w:themeTint="BF"/>
        <w:right w:val="single" w:sz="8" w:space="0" w:color="2AD4FF" w:themeColor="accent1" w:themeTint="BF"/>
        <w:insideH w:val="single" w:sz="8" w:space="0" w:color="2AD4FF" w:themeColor="accent1" w:themeTint="BF"/>
      </w:tblBorders>
    </w:tblPr>
    <w:tblStylePr w:type="firstRow">
      <w:pPr>
        <w:spacing w:before="0" w:after="0" w:line="240" w:lineRule="auto"/>
      </w:pPr>
      <w:rPr>
        <w:b/>
        <w:bCs/>
        <w:color w:val="FFFFFF" w:themeColor="background1"/>
      </w:rPr>
      <w:tblPr/>
      <w:tcPr>
        <w:tcBorders>
          <w:top w:val="single" w:sz="8" w:space="0" w:color="2AD4FF" w:themeColor="accent1" w:themeTint="BF"/>
          <w:left w:val="single" w:sz="8" w:space="0" w:color="2AD4FF" w:themeColor="accent1" w:themeTint="BF"/>
          <w:bottom w:val="single" w:sz="8" w:space="0" w:color="2AD4FF" w:themeColor="accent1" w:themeTint="BF"/>
          <w:right w:val="single" w:sz="8" w:space="0" w:color="2AD4FF" w:themeColor="accent1" w:themeTint="BF"/>
          <w:insideH w:val="nil"/>
          <w:insideV w:val="nil"/>
        </w:tcBorders>
        <w:shd w:val="clear" w:color="auto" w:fill="00B5E2" w:themeFill="accent1"/>
      </w:tcPr>
    </w:tblStylePr>
    <w:tblStylePr w:type="lastRow">
      <w:pPr>
        <w:spacing w:before="0" w:after="0" w:line="240" w:lineRule="auto"/>
      </w:pPr>
      <w:rPr>
        <w:b/>
        <w:bCs/>
      </w:rPr>
      <w:tblPr/>
      <w:tcPr>
        <w:tcBorders>
          <w:top w:val="double" w:sz="6" w:space="0" w:color="2AD4FF" w:themeColor="accent1" w:themeTint="BF"/>
          <w:left w:val="single" w:sz="8" w:space="0" w:color="2AD4FF" w:themeColor="accent1" w:themeTint="BF"/>
          <w:bottom w:val="single" w:sz="8" w:space="0" w:color="2AD4FF" w:themeColor="accent1" w:themeTint="BF"/>
          <w:right w:val="single" w:sz="8" w:space="0" w:color="2AD4FF" w:themeColor="accent1" w:themeTint="BF"/>
          <w:insideH w:val="nil"/>
          <w:insideV w:val="nil"/>
        </w:tcBorders>
      </w:tcPr>
    </w:tblStylePr>
    <w:tblStylePr w:type="firstCol">
      <w:rPr>
        <w:b/>
        <w:bCs/>
      </w:rPr>
    </w:tblStylePr>
    <w:tblStylePr w:type="lastCol">
      <w:rPr>
        <w:b/>
        <w:bCs/>
      </w:rPr>
    </w:tblStylePr>
    <w:tblStylePr w:type="band1Vert">
      <w:tblPr/>
      <w:tcPr>
        <w:shd w:val="clear" w:color="auto" w:fill="B8F0FF" w:themeFill="accent1" w:themeFillTint="3F"/>
      </w:tcPr>
    </w:tblStylePr>
    <w:tblStylePr w:type="band1Horz">
      <w:tblPr/>
      <w:tcPr>
        <w:tcBorders>
          <w:insideH w:val="nil"/>
          <w:insideV w:val="nil"/>
        </w:tcBorders>
        <w:shd w:val="clear" w:color="auto" w:fill="B8F0FF"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semiHidden/>
    <w:unhideWhenUsed/>
    <w:rsid w:val="009E6ED7"/>
    <w:tblPr>
      <w:tblStyleRowBandSize w:val="1"/>
      <w:tblStyleColBandSize w:val="1"/>
      <w:tblBorders>
        <w:top w:val="single" w:sz="8" w:space="0" w:color="B6FF0E" w:themeColor="accent2" w:themeTint="BF"/>
        <w:left w:val="single" w:sz="8" w:space="0" w:color="B6FF0E" w:themeColor="accent2" w:themeTint="BF"/>
        <w:bottom w:val="single" w:sz="8" w:space="0" w:color="B6FF0E" w:themeColor="accent2" w:themeTint="BF"/>
        <w:right w:val="single" w:sz="8" w:space="0" w:color="B6FF0E" w:themeColor="accent2" w:themeTint="BF"/>
        <w:insideH w:val="single" w:sz="8" w:space="0" w:color="B6FF0E" w:themeColor="accent2" w:themeTint="BF"/>
      </w:tblBorders>
    </w:tblPr>
    <w:tblStylePr w:type="firstRow">
      <w:pPr>
        <w:spacing w:before="0" w:after="0" w:line="240" w:lineRule="auto"/>
      </w:pPr>
      <w:rPr>
        <w:b/>
        <w:bCs/>
        <w:color w:val="FFFFFF" w:themeColor="background1"/>
      </w:rPr>
      <w:tblPr/>
      <w:tcPr>
        <w:tcBorders>
          <w:top w:val="single" w:sz="8" w:space="0" w:color="B6FF0E" w:themeColor="accent2" w:themeTint="BF"/>
          <w:left w:val="single" w:sz="8" w:space="0" w:color="B6FF0E" w:themeColor="accent2" w:themeTint="BF"/>
          <w:bottom w:val="single" w:sz="8" w:space="0" w:color="B6FF0E" w:themeColor="accent2" w:themeTint="BF"/>
          <w:right w:val="single" w:sz="8" w:space="0" w:color="B6FF0E" w:themeColor="accent2" w:themeTint="BF"/>
          <w:insideH w:val="nil"/>
          <w:insideV w:val="nil"/>
        </w:tcBorders>
        <w:shd w:val="clear" w:color="auto" w:fill="84BD00" w:themeFill="accent2"/>
      </w:tcPr>
    </w:tblStylePr>
    <w:tblStylePr w:type="lastRow">
      <w:pPr>
        <w:spacing w:before="0" w:after="0" w:line="240" w:lineRule="auto"/>
      </w:pPr>
      <w:rPr>
        <w:b/>
        <w:bCs/>
      </w:rPr>
      <w:tblPr/>
      <w:tcPr>
        <w:tcBorders>
          <w:top w:val="double" w:sz="6" w:space="0" w:color="B6FF0E" w:themeColor="accent2" w:themeTint="BF"/>
          <w:left w:val="single" w:sz="8" w:space="0" w:color="B6FF0E" w:themeColor="accent2" w:themeTint="BF"/>
          <w:bottom w:val="single" w:sz="8" w:space="0" w:color="B6FF0E" w:themeColor="accent2" w:themeTint="BF"/>
          <w:right w:val="single" w:sz="8" w:space="0" w:color="B6FF0E" w:themeColor="accent2" w:themeTint="BF"/>
          <w:insideH w:val="nil"/>
          <w:insideV w:val="nil"/>
        </w:tcBorders>
      </w:tcPr>
    </w:tblStylePr>
    <w:tblStylePr w:type="firstCol">
      <w:rPr>
        <w:b/>
        <w:bCs/>
      </w:rPr>
    </w:tblStylePr>
    <w:tblStylePr w:type="lastCol">
      <w:rPr>
        <w:b/>
        <w:bCs/>
      </w:rPr>
    </w:tblStylePr>
    <w:tblStylePr w:type="band1Vert">
      <w:tblPr/>
      <w:tcPr>
        <w:shd w:val="clear" w:color="auto" w:fill="E7FFAF" w:themeFill="accent2" w:themeFillTint="3F"/>
      </w:tcPr>
    </w:tblStylePr>
    <w:tblStylePr w:type="band1Horz">
      <w:tblPr/>
      <w:tcPr>
        <w:tcBorders>
          <w:insideH w:val="nil"/>
          <w:insideV w:val="nil"/>
        </w:tcBorders>
        <w:shd w:val="clear" w:color="auto" w:fill="E7FFAF"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semiHidden/>
    <w:unhideWhenUsed/>
    <w:rsid w:val="009E6ED7"/>
    <w:tblPr>
      <w:tblStyleRowBandSize w:val="1"/>
      <w:tblStyleColBandSize w:val="1"/>
      <w:tblBorders>
        <w:top w:val="single" w:sz="8" w:space="0" w:color="F8A757" w:themeColor="accent3" w:themeTint="BF"/>
        <w:left w:val="single" w:sz="8" w:space="0" w:color="F8A757" w:themeColor="accent3" w:themeTint="BF"/>
        <w:bottom w:val="single" w:sz="8" w:space="0" w:color="F8A757" w:themeColor="accent3" w:themeTint="BF"/>
        <w:right w:val="single" w:sz="8" w:space="0" w:color="F8A757" w:themeColor="accent3" w:themeTint="BF"/>
        <w:insideH w:val="single" w:sz="8" w:space="0" w:color="F8A757" w:themeColor="accent3" w:themeTint="BF"/>
      </w:tblBorders>
    </w:tblPr>
    <w:tblStylePr w:type="firstRow">
      <w:pPr>
        <w:spacing w:before="0" w:after="0" w:line="240" w:lineRule="auto"/>
      </w:pPr>
      <w:rPr>
        <w:b/>
        <w:bCs/>
        <w:color w:val="FFFFFF" w:themeColor="background1"/>
      </w:rPr>
      <w:tblPr/>
      <w:tcPr>
        <w:tcBorders>
          <w:top w:val="single" w:sz="8" w:space="0" w:color="F8A757" w:themeColor="accent3" w:themeTint="BF"/>
          <w:left w:val="single" w:sz="8" w:space="0" w:color="F8A757" w:themeColor="accent3" w:themeTint="BF"/>
          <w:bottom w:val="single" w:sz="8" w:space="0" w:color="F8A757" w:themeColor="accent3" w:themeTint="BF"/>
          <w:right w:val="single" w:sz="8" w:space="0" w:color="F8A757" w:themeColor="accent3" w:themeTint="BF"/>
          <w:insideH w:val="nil"/>
          <w:insideV w:val="nil"/>
        </w:tcBorders>
        <w:shd w:val="clear" w:color="auto" w:fill="F68B1F" w:themeFill="accent3"/>
      </w:tcPr>
    </w:tblStylePr>
    <w:tblStylePr w:type="lastRow">
      <w:pPr>
        <w:spacing w:before="0" w:after="0" w:line="240" w:lineRule="auto"/>
      </w:pPr>
      <w:rPr>
        <w:b/>
        <w:bCs/>
      </w:rPr>
      <w:tblPr/>
      <w:tcPr>
        <w:tcBorders>
          <w:top w:val="double" w:sz="6" w:space="0" w:color="F8A757" w:themeColor="accent3" w:themeTint="BF"/>
          <w:left w:val="single" w:sz="8" w:space="0" w:color="F8A757" w:themeColor="accent3" w:themeTint="BF"/>
          <w:bottom w:val="single" w:sz="8" w:space="0" w:color="F8A757" w:themeColor="accent3" w:themeTint="BF"/>
          <w:right w:val="single" w:sz="8" w:space="0" w:color="F8A757" w:themeColor="accent3" w:themeTint="BF"/>
          <w:insideH w:val="nil"/>
          <w:insideV w:val="nil"/>
        </w:tcBorders>
      </w:tcPr>
    </w:tblStylePr>
    <w:tblStylePr w:type="firstCol">
      <w:rPr>
        <w:b/>
        <w:bCs/>
      </w:rPr>
    </w:tblStylePr>
    <w:tblStylePr w:type="lastCol">
      <w:rPr>
        <w:b/>
        <w:bCs/>
      </w:rPr>
    </w:tblStylePr>
    <w:tblStylePr w:type="band1Vert">
      <w:tblPr/>
      <w:tcPr>
        <w:shd w:val="clear" w:color="auto" w:fill="FCE2C7" w:themeFill="accent3" w:themeFillTint="3F"/>
      </w:tcPr>
    </w:tblStylePr>
    <w:tblStylePr w:type="band1Horz">
      <w:tblPr/>
      <w:tcPr>
        <w:tcBorders>
          <w:insideH w:val="nil"/>
          <w:insideV w:val="nil"/>
        </w:tcBorders>
        <w:shd w:val="clear" w:color="auto" w:fill="FCE2C7"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semiHidden/>
    <w:unhideWhenUsed/>
    <w:rsid w:val="009E6ED7"/>
    <w:tblPr>
      <w:tblStyleRowBandSize w:val="1"/>
      <w:tblStyleColBandSize w:val="1"/>
      <w:tblBorders>
        <w:top w:val="single" w:sz="8" w:space="0" w:color="F600C4" w:themeColor="accent4" w:themeTint="BF"/>
        <w:left w:val="single" w:sz="8" w:space="0" w:color="F600C4" w:themeColor="accent4" w:themeTint="BF"/>
        <w:bottom w:val="single" w:sz="8" w:space="0" w:color="F600C4" w:themeColor="accent4" w:themeTint="BF"/>
        <w:right w:val="single" w:sz="8" w:space="0" w:color="F600C4" w:themeColor="accent4" w:themeTint="BF"/>
        <w:insideH w:val="single" w:sz="8" w:space="0" w:color="F600C4" w:themeColor="accent4" w:themeTint="BF"/>
      </w:tblBorders>
    </w:tblPr>
    <w:tblStylePr w:type="firstRow">
      <w:pPr>
        <w:spacing w:before="0" w:after="0" w:line="240" w:lineRule="auto"/>
      </w:pPr>
      <w:rPr>
        <w:b/>
        <w:bCs/>
        <w:color w:val="FFFFFF" w:themeColor="background1"/>
      </w:rPr>
      <w:tblPr/>
      <w:tcPr>
        <w:tcBorders>
          <w:top w:val="single" w:sz="8" w:space="0" w:color="F600C4" w:themeColor="accent4" w:themeTint="BF"/>
          <w:left w:val="single" w:sz="8" w:space="0" w:color="F600C4" w:themeColor="accent4" w:themeTint="BF"/>
          <w:bottom w:val="single" w:sz="8" w:space="0" w:color="F600C4" w:themeColor="accent4" w:themeTint="BF"/>
          <w:right w:val="single" w:sz="8" w:space="0" w:color="F600C4" w:themeColor="accent4" w:themeTint="BF"/>
          <w:insideH w:val="nil"/>
          <w:insideV w:val="nil"/>
        </w:tcBorders>
        <w:shd w:val="clear" w:color="auto" w:fill="9E007E" w:themeFill="accent4"/>
      </w:tcPr>
    </w:tblStylePr>
    <w:tblStylePr w:type="lastRow">
      <w:pPr>
        <w:spacing w:before="0" w:after="0" w:line="240" w:lineRule="auto"/>
      </w:pPr>
      <w:rPr>
        <w:b/>
        <w:bCs/>
      </w:rPr>
      <w:tblPr/>
      <w:tcPr>
        <w:tcBorders>
          <w:top w:val="double" w:sz="6" w:space="0" w:color="F600C4" w:themeColor="accent4" w:themeTint="BF"/>
          <w:left w:val="single" w:sz="8" w:space="0" w:color="F600C4" w:themeColor="accent4" w:themeTint="BF"/>
          <w:bottom w:val="single" w:sz="8" w:space="0" w:color="F600C4" w:themeColor="accent4" w:themeTint="BF"/>
          <w:right w:val="single" w:sz="8" w:space="0" w:color="F600C4" w:themeColor="accent4" w:themeTint="BF"/>
          <w:insideH w:val="nil"/>
          <w:insideV w:val="nil"/>
        </w:tcBorders>
      </w:tcPr>
    </w:tblStylePr>
    <w:tblStylePr w:type="firstCol">
      <w:rPr>
        <w:b/>
        <w:bCs/>
      </w:rPr>
    </w:tblStylePr>
    <w:tblStylePr w:type="lastCol">
      <w:rPr>
        <w:b/>
        <w:bCs/>
      </w:rPr>
    </w:tblStylePr>
    <w:tblStylePr w:type="band1Vert">
      <w:tblPr/>
      <w:tcPr>
        <w:shd w:val="clear" w:color="auto" w:fill="FFA8ED" w:themeFill="accent4" w:themeFillTint="3F"/>
      </w:tcPr>
    </w:tblStylePr>
    <w:tblStylePr w:type="band1Horz">
      <w:tblPr/>
      <w:tcPr>
        <w:tcBorders>
          <w:insideH w:val="nil"/>
          <w:insideV w:val="nil"/>
        </w:tcBorders>
        <w:shd w:val="clear" w:color="auto" w:fill="FFA8ED"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semiHidden/>
    <w:unhideWhenUsed/>
    <w:rsid w:val="009E6ED7"/>
    <w:tblPr>
      <w:tblStyleRowBandSize w:val="1"/>
      <w:tblStyleColBandSize w:val="1"/>
      <w:tblBorders>
        <w:top w:val="single" w:sz="8" w:space="0" w:color="FFEB4D" w:themeColor="accent5" w:themeTint="BF"/>
        <w:left w:val="single" w:sz="8" w:space="0" w:color="FFEB4D" w:themeColor="accent5" w:themeTint="BF"/>
        <w:bottom w:val="single" w:sz="8" w:space="0" w:color="FFEB4D" w:themeColor="accent5" w:themeTint="BF"/>
        <w:right w:val="single" w:sz="8" w:space="0" w:color="FFEB4D" w:themeColor="accent5" w:themeTint="BF"/>
        <w:insideH w:val="single" w:sz="8" w:space="0" w:color="FFEB4D" w:themeColor="accent5" w:themeTint="BF"/>
      </w:tblBorders>
    </w:tblPr>
    <w:tblStylePr w:type="firstRow">
      <w:pPr>
        <w:spacing w:before="0" w:after="0" w:line="240" w:lineRule="auto"/>
      </w:pPr>
      <w:rPr>
        <w:b/>
        <w:bCs/>
        <w:color w:val="FFFFFF" w:themeColor="background1"/>
      </w:rPr>
      <w:tblPr/>
      <w:tcPr>
        <w:tcBorders>
          <w:top w:val="single" w:sz="8" w:space="0" w:color="FFEB4D" w:themeColor="accent5" w:themeTint="BF"/>
          <w:left w:val="single" w:sz="8" w:space="0" w:color="FFEB4D" w:themeColor="accent5" w:themeTint="BF"/>
          <w:bottom w:val="single" w:sz="8" w:space="0" w:color="FFEB4D" w:themeColor="accent5" w:themeTint="BF"/>
          <w:right w:val="single" w:sz="8" w:space="0" w:color="FFEB4D" w:themeColor="accent5" w:themeTint="BF"/>
          <w:insideH w:val="nil"/>
          <w:insideV w:val="nil"/>
        </w:tcBorders>
        <w:shd w:val="clear" w:color="auto" w:fill="FFE512" w:themeFill="accent5"/>
      </w:tcPr>
    </w:tblStylePr>
    <w:tblStylePr w:type="lastRow">
      <w:pPr>
        <w:spacing w:before="0" w:after="0" w:line="240" w:lineRule="auto"/>
      </w:pPr>
      <w:rPr>
        <w:b/>
        <w:bCs/>
      </w:rPr>
      <w:tblPr/>
      <w:tcPr>
        <w:tcBorders>
          <w:top w:val="double" w:sz="6" w:space="0" w:color="FFEB4D" w:themeColor="accent5" w:themeTint="BF"/>
          <w:left w:val="single" w:sz="8" w:space="0" w:color="FFEB4D" w:themeColor="accent5" w:themeTint="BF"/>
          <w:bottom w:val="single" w:sz="8" w:space="0" w:color="FFEB4D" w:themeColor="accent5" w:themeTint="BF"/>
          <w:right w:val="single" w:sz="8" w:space="0" w:color="FFEB4D" w:themeColor="accent5" w:themeTint="BF"/>
          <w:insideH w:val="nil"/>
          <w:insideV w:val="nil"/>
        </w:tcBorders>
      </w:tcPr>
    </w:tblStylePr>
    <w:tblStylePr w:type="firstCol">
      <w:rPr>
        <w:b/>
        <w:bCs/>
      </w:rPr>
    </w:tblStylePr>
    <w:tblStylePr w:type="lastCol">
      <w:rPr>
        <w:b/>
        <w:bCs/>
      </w:rPr>
    </w:tblStylePr>
    <w:tblStylePr w:type="band1Vert">
      <w:tblPr/>
      <w:tcPr>
        <w:shd w:val="clear" w:color="auto" w:fill="FFF8C4" w:themeFill="accent5" w:themeFillTint="3F"/>
      </w:tcPr>
    </w:tblStylePr>
    <w:tblStylePr w:type="band1Horz">
      <w:tblPr/>
      <w:tcPr>
        <w:tcBorders>
          <w:insideH w:val="nil"/>
          <w:insideV w:val="nil"/>
        </w:tcBorders>
        <w:shd w:val="clear" w:color="auto" w:fill="FFF8C4"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semiHidden/>
    <w:unhideWhenUsed/>
    <w:rsid w:val="009E6ED7"/>
    <w:tblPr>
      <w:tblStyleRowBandSize w:val="1"/>
      <w:tblStyleColBandSize w:val="1"/>
      <w:tblBorders>
        <w:top w:val="single" w:sz="8" w:space="0" w:color="A8A19A" w:themeColor="accent6" w:themeTint="BF"/>
        <w:left w:val="single" w:sz="8" w:space="0" w:color="A8A19A" w:themeColor="accent6" w:themeTint="BF"/>
        <w:bottom w:val="single" w:sz="8" w:space="0" w:color="A8A19A" w:themeColor="accent6" w:themeTint="BF"/>
        <w:right w:val="single" w:sz="8" w:space="0" w:color="A8A19A" w:themeColor="accent6" w:themeTint="BF"/>
        <w:insideH w:val="single" w:sz="8" w:space="0" w:color="A8A19A" w:themeColor="accent6" w:themeTint="BF"/>
      </w:tblBorders>
    </w:tblPr>
    <w:tblStylePr w:type="firstRow">
      <w:pPr>
        <w:spacing w:before="0" w:after="0" w:line="240" w:lineRule="auto"/>
      </w:pPr>
      <w:rPr>
        <w:b/>
        <w:bCs/>
        <w:color w:val="FFFFFF" w:themeColor="background1"/>
      </w:rPr>
      <w:tblPr/>
      <w:tcPr>
        <w:tcBorders>
          <w:top w:val="single" w:sz="8" w:space="0" w:color="A8A19A" w:themeColor="accent6" w:themeTint="BF"/>
          <w:left w:val="single" w:sz="8" w:space="0" w:color="A8A19A" w:themeColor="accent6" w:themeTint="BF"/>
          <w:bottom w:val="single" w:sz="8" w:space="0" w:color="A8A19A" w:themeColor="accent6" w:themeTint="BF"/>
          <w:right w:val="single" w:sz="8" w:space="0" w:color="A8A19A" w:themeColor="accent6" w:themeTint="BF"/>
          <w:insideH w:val="nil"/>
          <w:insideV w:val="nil"/>
        </w:tcBorders>
        <w:shd w:val="clear" w:color="auto" w:fill="8C8279" w:themeFill="accent6"/>
      </w:tcPr>
    </w:tblStylePr>
    <w:tblStylePr w:type="lastRow">
      <w:pPr>
        <w:spacing w:before="0" w:after="0" w:line="240" w:lineRule="auto"/>
      </w:pPr>
      <w:rPr>
        <w:b/>
        <w:bCs/>
      </w:rPr>
      <w:tblPr/>
      <w:tcPr>
        <w:tcBorders>
          <w:top w:val="double" w:sz="6" w:space="0" w:color="A8A19A" w:themeColor="accent6" w:themeTint="BF"/>
          <w:left w:val="single" w:sz="8" w:space="0" w:color="A8A19A" w:themeColor="accent6" w:themeTint="BF"/>
          <w:bottom w:val="single" w:sz="8" w:space="0" w:color="A8A19A" w:themeColor="accent6" w:themeTint="BF"/>
          <w:right w:val="single" w:sz="8" w:space="0" w:color="A8A19A" w:themeColor="accent6" w:themeTint="BF"/>
          <w:insideH w:val="nil"/>
          <w:insideV w:val="nil"/>
        </w:tcBorders>
      </w:tcPr>
    </w:tblStylePr>
    <w:tblStylePr w:type="firstCol">
      <w:rPr>
        <w:b/>
        <w:bCs/>
      </w:rPr>
    </w:tblStylePr>
    <w:tblStylePr w:type="lastCol">
      <w:rPr>
        <w:b/>
        <w:bCs/>
      </w:rPr>
    </w:tblStylePr>
    <w:tblStylePr w:type="band1Vert">
      <w:tblPr/>
      <w:tcPr>
        <w:shd w:val="clear" w:color="auto" w:fill="E2E0DD" w:themeFill="accent6" w:themeFillTint="3F"/>
      </w:tcPr>
    </w:tblStylePr>
    <w:tblStylePr w:type="band1Horz">
      <w:tblPr/>
      <w:tcPr>
        <w:tcBorders>
          <w:insideH w:val="nil"/>
          <w:insideV w:val="nil"/>
        </w:tcBorders>
        <w:shd w:val="clear" w:color="auto" w:fill="E2E0DD"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semiHidden/>
    <w:unhideWhenUsed/>
    <w:rsid w:val="009E6ED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semiHidden/>
    <w:unhideWhenUsed/>
    <w:rsid w:val="009E6ED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B5E2"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B5E2" w:themeFill="accent1"/>
      </w:tcPr>
    </w:tblStylePr>
    <w:tblStylePr w:type="lastCol">
      <w:rPr>
        <w:b/>
        <w:bCs/>
        <w:color w:val="FFFFFF" w:themeColor="background1"/>
      </w:rPr>
      <w:tblPr/>
      <w:tcPr>
        <w:tcBorders>
          <w:left w:val="nil"/>
          <w:right w:val="nil"/>
          <w:insideH w:val="nil"/>
          <w:insideV w:val="nil"/>
        </w:tcBorders>
        <w:shd w:val="clear" w:color="auto" w:fill="00B5E2"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semiHidden/>
    <w:unhideWhenUsed/>
    <w:rsid w:val="009E6ED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4BD00"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4BD00" w:themeFill="accent2"/>
      </w:tcPr>
    </w:tblStylePr>
    <w:tblStylePr w:type="lastCol">
      <w:rPr>
        <w:b/>
        <w:bCs/>
        <w:color w:val="FFFFFF" w:themeColor="background1"/>
      </w:rPr>
      <w:tblPr/>
      <w:tcPr>
        <w:tcBorders>
          <w:left w:val="nil"/>
          <w:right w:val="nil"/>
          <w:insideH w:val="nil"/>
          <w:insideV w:val="nil"/>
        </w:tcBorders>
        <w:shd w:val="clear" w:color="auto" w:fill="84BD00"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semiHidden/>
    <w:unhideWhenUsed/>
    <w:rsid w:val="009E6ED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68B1F"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68B1F" w:themeFill="accent3"/>
      </w:tcPr>
    </w:tblStylePr>
    <w:tblStylePr w:type="lastCol">
      <w:rPr>
        <w:b/>
        <w:bCs/>
        <w:color w:val="FFFFFF" w:themeColor="background1"/>
      </w:rPr>
      <w:tblPr/>
      <w:tcPr>
        <w:tcBorders>
          <w:left w:val="nil"/>
          <w:right w:val="nil"/>
          <w:insideH w:val="nil"/>
          <w:insideV w:val="nil"/>
        </w:tcBorders>
        <w:shd w:val="clear" w:color="auto" w:fill="F68B1F"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semiHidden/>
    <w:unhideWhenUsed/>
    <w:rsid w:val="009E6ED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E007E"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E007E" w:themeFill="accent4"/>
      </w:tcPr>
    </w:tblStylePr>
    <w:tblStylePr w:type="lastCol">
      <w:rPr>
        <w:b/>
        <w:bCs/>
        <w:color w:val="FFFFFF" w:themeColor="background1"/>
      </w:rPr>
      <w:tblPr/>
      <w:tcPr>
        <w:tcBorders>
          <w:left w:val="nil"/>
          <w:right w:val="nil"/>
          <w:insideH w:val="nil"/>
          <w:insideV w:val="nil"/>
        </w:tcBorders>
        <w:shd w:val="clear" w:color="auto" w:fill="9E007E"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semiHidden/>
    <w:unhideWhenUsed/>
    <w:rsid w:val="009E6ED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FE512"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FE512" w:themeFill="accent5"/>
      </w:tcPr>
    </w:tblStylePr>
    <w:tblStylePr w:type="lastCol">
      <w:rPr>
        <w:b/>
        <w:bCs/>
        <w:color w:val="FFFFFF" w:themeColor="background1"/>
      </w:rPr>
      <w:tblPr/>
      <w:tcPr>
        <w:tcBorders>
          <w:left w:val="nil"/>
          <w:right w:val="nil"/>
          <w:insideH w:val="nil"/>
          <w:insideV w:val="nil"/>
        </w:tcBorders>
        <w:shd w:val="clear" w:color="auto" w:fill="FFE512"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semiHidden/>
    <w:unhideWhenUsed/>
    <w:rsid w:val="009E6ED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C8279"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C8279" w:themeFill="accent6"/>
      </w:tcPr>
    </w:tblStylePr>
    <w:tblStylePr w:type="lastCol">
      <w:rPr>
        <w:b/>
        <w:bCs/>
        <w:color w:val="FFFFFF" w:themeColor="background1"/>
      </w:rPr>
      <w:tblPr/>
      <w:tcPr>
        <w:tcBorders>
          <w:left w:val="nil"/>
          <w:right w:val="nil"/>
          <w:insideH w:val="nil"/>
          <w:insideV w:val="nil"/>
        </w:tcBorders>
        <w:shd w:val="clear" w:color="auto" w:fill="8C8279"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Table3Deffects1">
    <w:name w:val="Table 3D effects 1"/>
    <w:basedOn w:val="TableNormal"/>
    <w:uiPriority w:val="99"/>
    <w:semiHidden/>
    <w:unhideWhenUsed/>
    <w:rsid w:val="009E6ED7"/>
    <w:pPr>
      <w:spacing w:line="240" w:lineRule="atLeast"/>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uiPriority w:val="99"/>
    <w:semiHidden/>
    <w:unhideWhenUsed/>
    <w:rsid w:val="009E6ED7"/>
    <w:pPr>
      <w:spacing w:line="240" w:lineRule="atLeast"/>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uiPriority w:val="99"/>
    <w:semiHidden/>
    <w:unhideWhenUsed/>
    <w:rsid w:val="009E6ED7"/>
    <w:pPr>
      <w:spacing w:line="240" w:lineRule="atLeast"/>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uiPriority w:val="99"/>
    <w:semiHidden/>
    <w:unhideWhenUsed/>
    <w:rsid w:val="009E6ED7"/>
    <w:pPr>
      <w:spacing w:line="240" w:lineRule="atLeast"/>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uiPriority w:val="99"/>
    <w:semiHidden/>
    <w:unhideWhenUsed/>
    <w:rsid w:val="009E6ED7"/>
    <w:pPr>
      <w:spacing w:line="240" w:lineRule="atLeast"/>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uiPriority w:val="99"/>
    <w:semiHidden/>
    <w:unhideWhenUsed/>
    <w:rsid w:val="009E6ED7"/>
    <w:pPr>
      <w:spacing w:line="240" w:lineRule="atLeast"/>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uiPriority w:val="99"/>
    <w:semiHidden/>
    <w:unhideWhenUsed/>
    <w:rsid w:val="009E6ED7"/>
    <w:pPr>
      <w:spacing w:line="240" w:lineRule="atLeast"/>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uiPriority w:val="99"/>
    <w:semiHidden/>
    <w:unhideWhenUsed/>
    <w:rsid w:val="009E6ED7"/>
    <w:pPr>
      <w:spacing w:line="240" w:lineRule="atLeast"/>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uiPriority w:val="99"/>
    <w:semiHidden/>
    <w:unhideWhenUsed/>
    <w:rsid w:val="009E6ED7"/>
    <w:pPr>
      <w:spacing w:line="240" w:lineRule="atLeast"/>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uiPriority w:val="99"/>
    <w:semiHidden/>
    <w:unhideWhenUsed/>
    <w:rsid w:val="009E6ED7"/>
    <w:pPr>
      <w:spacing w:line="240" w:lineRule="atLeast"/>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uiPriority w:val="99"/>
    <w:semiHidden/>
    <w:unhideWhenUsed/>
    <w:rsid w:val="009E6ED7"/>
    <w:pPr>
      <w:spacing w:line="240" w:lineRule="atLeast"/>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uiPriority w:val="99"/>
    <w:semiHidden/>
    <w:unhideWhenUsed/>
    <w:rsid w:val="009E6ED7"/>
    <w:pPr>
      <w:spacing w:line="240" w:lineRule="atLeast"/>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uiPriority w:val="99"/>
    <w:semiHidden/>
    <w:unhideWhenUsed/>
    <w:rsid w:val="009E6ED7"/>
    <w:pPr>
      <w:spacing w:line="240" w:lineRule="atLeast"/>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uiPriority w:val="99"/>
    <w:semiHidden/>
    <w:unhideWhenUsed/>
    <w:rsid w:val="009E6ED7"/>
    <w:pPr>
      <w:spacing w:line="240" w:lineRule="atLeast"/>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uiPriority w:val="99"/>
    <w:semiHidden/>
    <w:unhideWhenUsed/>
    <w:rsid w:val="009E6ED7"/>
    <w:pPr>
      <w:spacing w:line="240" w:lineRule="atLeast"/>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uiPriority w:val="99"/>
    <w:semiHidden/>
    <w:unhideWhenUsed/>
    <w:rsid w:val="009E6ED7"/>
    <w:pPr>
      <w:spacing w:line="240" w:lineRule="atLeast"/>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uiPriority w:val="99"/>
    <w:semiHidden/>
    <w:unhideWhenUsed/>
    <w:rsid w:val="009E6ED7"/>
    <w:pPr>
      <w:spacing w:line="240" w:lineRule="atLeast"/>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
    <w:name w:val="Table Grid 1"/>
    <w:basedOn w:val="TableNormal"/>
    <w:uiPriority w:val="99"/>
    <w:semiHidden/>
    <w:unhideWhenUsed/>
    <w:rsid w:val="009E6ED7"/>
    <w:pPr>
      <w:spacing w:line="240" w:lineRule="atLeast"/>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uiPriority w:val="99"/>
    <w:semiHidden/>
    <w:unhideWhenUsed/>
    <w:rsid w:val="009E6ED7"/>
    <w:pPr>
      <w:spacing w:line="240" w:lineRule="atLeast"/>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uiPriority w:val="99"/>
    <w:semiHidden/>
    <w:unhideWhenUsed/>
    <w:rsid w:val="009E6ED7"/>
    <w:pPr>
      <w:spacing w:line="240" w:lineRule="atLeast"/>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uiPriority w:val="99"/>
    <w:semiHidden/>
    <w:unhideWhenUsed/>
    <w:rsid w:val="009E6ED7"/>
    <w:pPr>
      <w:spacing w:line="240" w:lineRule="atLeast"/>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uiPriority w:val="99"/>
    <w:semiHidden/>
    <w:unhideWhenUsed/>
    <w:rsid w:val="009E6ED7"/>
    <w:pPr>
      <w:spacing w:line="240" w:lineRule="atLeast"/>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uiPriority w:val="99"/>
    <w:semiHidden/>
    <w:unhideWhenUsed/>
    <w:rsid w:val="009E6ED7"/>
    <w:pPr>
      <w:spacing w:line="240" w:lineRule="atLeast"/>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uiPriority w:val="99"/>
    <w:semiHidden/>
    <w:unhideWhenUsed/>
    <w:rsid w:val="009E6ED7"/>
    <w:pPr>
      <w:spacing w:line="240" w:lineRule="atLeast"/>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uiPriority w:val="99"/>
    <w:semiHidden/>
    <w:unhideWhenUsed/>
    <w:rsid w:val="009E6ED7"/>
    <w:pPr>
      <w:spacing w:line="240" w:lineRule="atLeast"/>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List1">
    <w:name w:val="Table List 1"/>
    <w:basedOn w:val="TableNormal"/>
    <w:uiPriority w:val="99"/>
    <w:semiHidden/>
    <w:unhideWhenUsed/>
    <w:rsid w:val="009E6ED7"/>
    <w:pPr>
      <w:spacing w:line="240" w:lineRule="atLeast"/>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uiPriority w:val="99"/>
    <w:semiHidden/>
    <w:unhideWhenUsed/>
    <w:rsid w:val="009E6ED7"/>
    <w:pPr>
      <w:spacing w:line="240" w:lineRule="atLeast"/>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uiPriority w:val="99"/>
    <w:semiHidden/>
    <w:unhideWhenUsed/>
    <w:rsid w:val="009E6ED7"/>
    <w:pPr>
      <w:spacing w:line="240" w:lineRule="atLeast"/>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uiPriority w:val="99"/>
    <w:semiHidden/>
    <w:unhideWhenUsed/>
    <w:rsid w:val="009E6ED7"/>
    <w:pPr>
      <w:spacing w:line="240" w:lineRule="atLeast"/>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uiPriority w:val="99"/>
    <w:semiHidden/>
    <w:unhideWhenUsed/>
    <w:rsid w:val="009E6ED7"/>
    <w:pPr>
      <w:spacing w:line="240" w:lineRule="atLeast"/>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uiPriority w:val="99"/>
    <w:semiHidden/>
    <w:unhideWhenUsed/>
    <w:rsid w:val="009E6ED7"/>
    <w:pPr>
      <w:spacing w:line="240" w:lineRule="atLeast"/>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uiPriority w:val="99"/>
    <w:semiHidden/>
    <w:unhideWhenUsed/>
    <w:rsid w:val="009E6ED7"/>
    <w:pPr>
      <w:spacing w:line="240" w:lineRule="atLeast"/>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uiPriority w:val="99"/>
    <w:semiHidden/>
    <w:unhideWhenUsed/>
    <w:rsid w:val="009E6ED7"/>
    <w:pPr>
      <w:spacing w:line="240" w:lineRule="atLeast"/>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eProfessional">
    <w:name w:val="Table Professional"/>
    <w:basedOn w:val="TableNormal"/>
    <w:uiPriority w:val="99"/>
    <w:semiHidden/>
    <w:unhideWhenUsed/>
    <w:rsid w:val="009E6ED7"/>
    <w:pPr>
      <w:spacing w:line="240" w:lineRule="atLeast"/>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uiPriority w:val="99"/>
    <w:semiHidden/>
    <w:unhideWhenUsed/>
    <w:rsid w:val="009E6ED7"/>
    <w:pPr>
      <w:spacing w:line="240" w:lineRule="atLeast"/>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uiPriority w:val="99"/>
    <w:semiHidden/>
    <w:unhideWhenUsed/>
    <w:rsid w:val="009E6ED7"/>
    <w:pPr>
      <w:spacing w:line="240" w:lineRule="atLeast"/>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uiPriority w:val="99"/>
    <w:semiHidden/>
    <w:unhideWhenUsed/>
    <w:rsid w:val="009E6ED7"/>
    <w:pPr>
      <w:spacing w:line="240" w:lineRule="atLeast"/>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uiPriority w:val="99"/>
    <w:semiHidden/>
    <w:unhideWhenUsed/>
    <w:rsid w:val="009E6ED7"/>
    <w:pPr>
      <w:spacing w:line="240" w:lineRule="atLeast"/>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uiPriority w:val="99"/>
    <w:semiHidden/>
    <w:unhideWhenUsed/>
    <w:rsid w:val="009E6ED7"/>
    <w:pPr>
      <w:spacing w:line="240" w:lineRule="atLeast"/>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uiPriority w:val="99"/>
    <w:semiHidden/>
    <w:unhideWhenUsed/>
    <w:rsid w:val="009E6ED7"/>
    <w:pPr>
      <w:spacing w:line="240" w:lineRule="atLeas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uiPriority w:val="99"/>
    <w:semiHidden/>
    <w:unhideWhenUsed/>
    <w:rsid w:val="009E6ED7"/>
    <w:pPr>
      <w:spacing w:line="240" w:lineRule="atLeast"/>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uiPriority w:val="99"/>
    <w:semiHidden/>
    <w:unhideWhenUsed/>
    <w:rsid w:val="009E6ED7"/>
    <w:pPr>
      <w:spacing w:line="240" w:lineRule="atLeast"/>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uiPriority w:val="99"/>
    <w:semiHidden/>
    <w:unhideWhenUsed/>
    <w:rsid w:val="009E6ED7"/>
    <w:pPr>
      <w:spacing w:line="240" w:lineRule="atLeast"/>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Header">
    <w:name w:val="header"/>
    <w:basedOn w:val="Normal"/>
    <w:link w:val="HeaderChar"/>
    <w:uiPriority w:val="99"/>
    <w:unhideWhenUsed/>
    <w:rsid w:val="007F6341"/>
    <w:pPr>
      <w:tabs>
        <w:tab w:val="center" w:pos="4513"/>
        <w:tab w:val="right" w:pos="9026"/>
      </w:tabs>
      <w:spacing w:line="240" w:lineRule="auto"/>
    </w:pPr>
    <w:rPr>
      <w:noProof/>
      <w:sz w:val="14"/>
    </w:rPr>
  </w:style>
  <w:style w:type="character" w:customStyle="1" w:styleId="HeaderChar">
    <w:name w:val="Header Char"/>
    <w:basedOn w:val="DefaultParagraphFont"/>
    <w:link w:val="Header"/>
    <w:uiPriority w:val="99"/>
    <w:rsid w:val="00F66A91"/>
    <w:rPr>
      <w:noProof/>
      <w:kern w:val="18"/>
      <w:sz w:val="14"/>
    </w:rPr>
  </w:style>
  <w:style w:type="paragraph" w:styleId="Footer">
    <w:name w:val="footer"/>
    <w:basedOn w:val="Normal"/>
    <w:link w:val="FooterChar"/>
    <w:uiPriority w:val="99"/>
    <w:unhideWhenUsed/>
    <w:rsid w:val="007F6341"/>
    <w:pPr>
      <w:tabs>
        <w:tab w:val="center" w:pos="4513"/>
        <w:tab w:val="right" w:pos="9026"/>
      </w:tabs>
      <w:spacing w:line="240" w:lineRule="auto"/>
    </w:pPr>
    <w:rPr>
      <w:noProof/>
      <w:sz w:val="14"/>
    </w:rPr>
  </w:style>
  <w:style w:type="character" w:customStyle="1" w:styleId="FooterChar">
    <w:name w:val="Footer Char"/>
    <w:basedOn w:val="DefaultParagraphFont"/>
    <w:link w:val="Footer"/>
    <w:uiPriority w:val="99"/>
    <w:rsid w:val="00F66A91"/>
    <w:rPr>
      <w:noProof/>
      <w:kern w:val="18"/>
      <w:sz w:val="14"/>
    </w:rPr>
  </w:style>
  <w:style w:type="numbering" w:customStyle="1" w:styleId="AECOMNumbering">
    <w:name w:val="AECOM Numbering"/>
    <w:basedOn w:val="NoList"/>
    <w:uiPriority w:val="99"/>
    <w:semiHidden/>
    <w:unhideWhenUsed/>
    <w:rsid w:val="00FF093C"/>
    <w:pPr>
      <w:numPr>
        <w:numId w:val="7"/>
      </w:numPr>
    </w:pPr>
  </w:style>
  <w:style w:type="numbering" w:customStyle="1" w:styleId="AECOMAppendix">
    <w:name w:val="AECOM Appendix"/>
    <w:uiPriority w:val="99"/>
    <w:semiHidden/>
    <w:unhideWhenUsed/>
    <w:rsid w:val="006A3705"/>
    <w:pPr>
      <w:numPr>
        <w:numId w:val="8"/>
      </w:numPr>
    </w:pPr>
  </w:style>
  <w:style w:type="character" w:customStyle="1" w:styleId="Heading6Char">
    <w:name w:val="Heading 6 Char"/>
    <w:basedOn w:val="DefaultParagraphFont"/>
    <w:link w:val="Heading6"/>
    <w:uiPriority w:val="9"/>
    <w:semiHidden/>
    <w:rsid w:val="00F66A91"/>
    <w:rPr>
      <w:rFonts w:asciiTheme="majorHAnsi" w:eastAsiaTheme="majorEastAsia" w:hAnsiTheme="majorHAnsi" w:cstheme="majorBidi"/>
      <w:i/>
      <w:iCs/>
      <w:color w:val="005970" w:themeColor="accent1" w:themeShade="7F"/>
      <w:kern w:val="18"/>
    </w:rPr>
  </w:style>
  <w:style w:type="character" w:customStyle="1" w:styleId="Heading7Char">
    <w:name w:val="Heading 7 Char"/>
    <w:basedOn w:val="DefaultParagraphFont"/>
    <w:link w:val="Heading7"/>
    <w:uiPriority w:val="9"/>
    <w:semiHidden/>
    <w:rsid w:val="00F66A91"/>
    <w:rPr>
      <w:rFonts w:asciiTheme="majorHAnsi" w:eastAsiaTheme="majorEastAsia" w:hAnsiTheme="majorHAnsi" w:cstheme="majorBidi"/>
      <w:i/>
      <w:iCs/>
      <w:color w:val="404040" w:themeColor="text1" w:themeTint="BF"/>
      <w:kern w:val="18"/>
    </w:rPr>
  </w:style>
  <w:style w:type="character" w:customStyle="1" w:styleId="Heading8Char">
    <w:name w:val="Heading 8 Char"/>
    <w:basedOn w:val="DefaultParagraphFont"/>
    <w:link w:val="Heading8"/>
    <w:uiPriority w:val="9"/>
    <w:semiHidden/>
    <w:rsid w:val="00F66A91"/>
    <w:rPr>
      <w:rFonts w:asciiTheme="majorHAnsi" w:eastAsiaTheme="majorEastAsia" w:hAnsiTheme="majorHAnsi" w:cstheme="majorBidi"/>
      <w:color w:val="404040" w:themeColor="text1" w:themeTint="BF"/>
      <w:kern w:val="18"/>
      <w:sz w:val="20"/>
      <w:szCs w:val="20"/>
    </w:rPr>
  </w:style>
  <w:style w:type="character" w:customStyle="1" w:styleId="Heading9Char">
    <w:name w:val="Heading 9 Char"/>
    <w:basedOn w:val="DefaultParagraphFont"/>
    <w:link w:val="Heading9"/>
    <w:uiPriority w:val="9"/>
    <w:semiHidden/>
    <w:rsid w:val="00F66A91"/>
    <w:rPr>
      <w:rFonts w:asciiTheme="majorHAnsi" w:eastAsiaTheme="majorEastAsia" w:hAnsiTheme="majorHAnsi" w:cstheme="majorBidi"/>
      <w:i/>
      <w:iCs/>
      <w:color w:val="404040" w:themeColor="text1" w:themeTint="BF"/>
      <w:kern w:val="18"/>
      <w:sz w:val="20"/>
      <w:szCs w:val="20"/>
    </w:rPr>
  </w:style>
  <w:style w:type="table" w:customStyle="1" w:styleId="Plaingrid">
    <w:name w:val="Plain grid"/>
    <w:basedOn w:val="TableNormal"/>
    <w:uiPriority w:val="99"/>
    <w:semiHidden/>
    <w:unhideWhenUsed/>
    <w:rsid w:val="00E772F5"/>
    <w:tblPr>
      <w:tblCellMar>
        <w:left w:w="0" w:type="dxa"/>
      </w:tblCellMar>
    </w:tblPr>
  </w:style>
  <w:style w:type="paragraph" w:styleId="Title">
    <w:name w:val="Title"/>
    <w:basedOn w:val="Normal"/>
    <w:next w:val="Normal"/>
    <w:link w:val="TitleChar"/>
    <w:uiPriority w:val="10"/>
    <w:semiHidden/>
    <w:unhideWhenUsed/>
    <w:rsid w:val="00AA75D4"/>
    <w:pPr>
      <w:spacing w:after="300" w:line="240" w:lineRule="auto"/>
      <w:contextualSpacing/>
    </w:pPr>
    <w:rPr>
      <w:rFonts w:asciiTheme="majorHAnsi" w:eastAsiaTheme="majorEastAsia" w:hAnsiTheme="majorHAnsi" w:cstheme="majorBidi"/>
      <w:color w:val="FFFFFF" w:themeColor="background1"/>
      <w:kern w:val="28"/>
      <w:sz w:val="48"/>
      <w:szCs w:val="52"/>
    </w:rPr>
  </w:style>
  <w:style w:type="character" w:customStyle="1" w:styleId="TitleChar">
    <w:name w:val="Title Char"/>
    <w:basedOn w:val="DefaultParagraphFont"/>
    <w:link w:val="Title"/>
    <w:uiPriority w:val="10"/>
    <w:semiHidden/>
    <w:rsid w:val="00F66A91"/>
    <w:rPr>
      <w:rFonts w:asciiTheme="majorHAnsi" w:eastAsiaTheme="majorEastAsia" w:hAnsiTheme="majorHAnsi" w:cstheme="majorBidi"/>
      <w:color w:val="FFFFFF" w:themeColor="background1"/>
      <w:kern w:val="28"/>
      <w:sz w:val="48"/>
      <w:szCs w:val="52"/>
    </w:rPr>
  </w:style>
  <w:style w:type="paragraph" w:styleId="TOCHeading">
    <w:name w:val="TOC Heading"/>
    <w:basedOn w:val="Heading1"/>
    <w:next w:val="Normal"/>
    <w:uiPriority w:val="39"/>
    <w:unhideWhenUsed/>
    <w:rsid w:val="000D13AF"/>
    <w:pPr>
      <w:spacing w:line="240" w:lineRule="atLeast"/>
      <w:ind w:left="0" w:firstLine="0"/>
      <w:outlineLvl w:val="9"/>
    </w:pPr>
    <w:rPr>
      <w:sz w:val="28"/>
    </w:rPr>
  </w:style>
  <w:style w:type="paragraph" w:styleId="Subtitle">
    <w:name w:val="Subtitle"/>
    <w:basedOn w:val="Normal"/>
    <w:next w:val="Normal"/>
    <w:link w:val="SubtitleChar"/>
    <w:uiPriority w:val="11"/>
    <w:unhideWhenUsed/>
    <w:rsid w:val="00AA75D4"/>
    <w:pPr>
      <w:numPr>
        <w:ilvl w:val="1"/>
      </w:numPr>
    </w:pPr>
    <w:rPr>
      <w:rFonts w:asciiTheme="majorHAnsi" w:eastAsiaTheme="majorEastAsia" w:hAnsiTheme="majorHAnsi" w:cstheme="majorBidi"/>
      <w:iCs/>
      <w:color w:val="FFFFFF" w:themeColor="background1"/>
      <w:sz w:val="24"/>
      <w:szCs w:val="24"/>
    </w:rPr>
  </w:style>
  <w:style w:type="character" w:customStyle="1" w:styleId="SubtitleChar">
    <w:name w:val="Subtitle Char"/>
    <w:basedOn w:val="DefaultParagraphFont"/>
    <w:link w:val="Subtitle"/>
    <w:uiPriority w:val="11"/>
    <w:rsid w:val="00F66A91"/>
    <w:rPr>
      <w:rFonts w:asciiTheme="majorHAnsi" w:eastAsiaTheme="majorEastAsia" w:hAnsiTheme="majorHAnsi" w:cstheme="majorBidi"/>
      <w:iCs/>
      <w:color w:val="FFFFFF" w:themeColor="background1"/>
      <w:kern w:val="18"/>
      <w:sz w:val="24"/>
      <w:szCs w:val="24"/>
    </w:rPr>
  </w:style>
  <w:style w:type="paragraph" w:styleId="TOC1">
    <w:name w:val="toc 1"/>
    <w:basedOn w:val="Normal"/>
    <w:next w:val="Normal"/>
    <w:autoRedefine/>
    <w:uiPriority w:val="39"/>
    <w:unhideWhenUsed/>
    <w:rsid w:val="003964F2"/>
    <w:pPr>
      <w:tabs>
        <w:tab w:val="clear" w:pos="284"/>
      </w:tabs>
      <w:spacing w:before="240" w:after="120"/>
    </w:pPr>
    <w:rPr>
      <w:rFonts w:cstheme="minorHAnsi"/>
      <w:b/>
      <w:bCs/>
      <w:sz w:val="20"/>
      <w:szCs w:val="20"/>
    </w:rPr>
  </w:style>
  <w:style w:type="paragraph" w:styleId="TOC2">
    <w:name w:val="toc 2"/>
    <w:basedOn w:val="Normal"/>
    <w:next w:val="Normal"/>
    <w:autoRedefine/>
    <w:uiPriority w:val="39"/>
    <w:unhideWhenUsed/>
    <w:rsid w:val="003964F2"/>
    <w:pPr>
      <w:tabs>
        <w:tab w:val="clear" w:pos="284"/>
      </w:tabs>
      <w:spacing w:before="120"/>
      <w:ind w:left="180"/>
    </w:pPr>
    <w:rPr>
      <w:rFonts w:cstheme="minorHAnsi"/>
      <w:i/>
      <w:iCs/>
      <w:sz w:val="20"/>
      <w:szCs w:val="20"/>
    </w:rPr>
  </w:style>
  <w:style w:type="paragraph" w:styleId="TOC3">
    <w:name w:val="toc 3"/>
    <w:basedOn w:val="Normal"/>
    <w:next w:val="Normal"/>
    <w:autoRedefine/>
    <w:uiPriority w:val="39"/>
    <w:unhideWhenUsed/>
    <w:rsid w:val="003964F2"/>
    <w:pPr>
      <w:tabs>
        <w:tab w:val="clear" w:pos="284"/>
      </w:tabs>
      <w:ind w:left="360"/>
    </w:pPr>
    <w:rPr>
      <w:rFonts w:cstheme="minorHAnsi"/>
      <w:sz w:val="20"/>
      <w:szCs w:val="20"/>
    </w:rPr>
  </w:style>
  <w:style w:type="paragraph" w:customStyle="1" w:styleId="Coverdata">
    <w:name w:val="Cover data"/>
    <w:basedOn w:val="Subtitle"/>
    <w:uiPriority w:val="1"/>
    <w:semiHidden/>
    <w:unhideWhenUsed/>
    <w:rsid w:val="00DA79BC"/>
    <w:pPr>
      <w:jc w:val="right"/>
    </w:pPr>
    <w:rPr>
      <w:sz w:val="16"/>
    </w:rPr>
  </w:style>
  <w:style w:type="paragraph" w:customStyle="1" w:styleId="Coverfooter">
    <w:name w:val="Cover footer"/>
    <w:basedOn w:val="Coverdata"/>
    <w:uiPriority w:val="1"/>
    <w:unhideWhenUsed/>
    <w:rsid w:val="00B97816"/>
    <w:pPr>
      <w:spacing w:line="200" w:lineRule="atLeast"/>
      <w:jc w:val="left"/>
    </w:pPr>
    <w:rPr>
      <w:rFonts w:asciiTheme="minorHAnsi" w:hAnsiTheme="minorHAnsi"/>
    </w:rPr>
  </w:style>
  <w:style w:type="paragraph" w:customStyle="1" w:styleId="Subtitleheading">
    <w:name w:val="Subtitle heading"/>
    <w:basedOn w:val="Subtitle"/>
    <w:uiPriority w:val="1"/>
    <w:semiHidden/>
    <w:unhideWhenUsed/>
    <w:rsid w:val="00AA75D4"/>
  </w:style>
  <w:style w:type="character" w:styleId="Strong">
    <w:name w:val="Strong"/>
    <w:basedOn w:val="DefaultParagraphFont"/>
    <w:uiPriority w:val="22"/>
    <w:semiHidden/>
    <w:unhideWhenUsed/>
    <w:rsid w:val="00542F08"/>
    <w:rPr>
      <w:b/>
      <w:bCs/>
    </w:rPr>
  </w:style>
  <w:style w:type="paragraph" w:styleId="CommentText">
    <w:name w:val="annotation text"/>
    <w:basedOn w:val="Normal"/>
    <w:link w:val="CommentTextChar"/>
    <w:uiPriority w:val="99"/>
    <w:semiHidden/>
    <w:unhideWhenUsed/>
    <w:rsid w:val="00542F08"/>
    <w:pPr>
      <w:spacing w:line="240" w:lineRule="auto"/>
    </w:pPr>
    <w:rPr>
      <w:sz w:val="20"/>
      <w:szCs w:val="20"/>
    </w:rPr>
  </w:style>
  <w:style w:type="character" w:customStyle="1" w:styleId="CommentTextChar">
    <w:name w:val="Comment Text Char"/>
    <w:basedOn w:val="DefaultParagraphFont"/>
    <w:link w:val="CommentText"/>
    <w:uiPriority w:val="99"/>
    <w:semiHidden/>
    <w:rsid w:val="00F66A91"/>
    <w:rPr>
      <w:kern w:val="18"/>
      <w:sz w:val="20"/>
      <w:szCs w:val="20"/>
    </w:rPr>
  </w:style>
  <w:style w:type="paragraph" w:styleId="CommentSubject">
    <w:name w:val="annotation subject"/>
    <w:basedOn w:val="CommentText"/>
    <w:next w:val="CommentText"/>
    <w:link w:val="CommentSubjectChar"/>
    <w:uiPriority w:val="99"/>
    <w:semiHidden/>
    <w:unhideWhenUsed/>
    <w:rsid w:val="00542F08"/>
    <w:rPr>
      <w:b/>
      <w:bCs/>
    </w:rPr>
  </w:style>
  <w:style w:type="character" w:customStyle="1" w:styleId="CommentSubjectChar">
    <w:name w:val="Comment Subject Char"/>
    <w:basedOn w:val="CommentTextChar"/>
    <w:link w:val="CommentSubject"/>
    <w:uiPriority w:val="99"/>
    <w:semiHidden/>
    <w:rsid w:val="00F66A91"/>
    <w:rPr>
      <w:b/>
      <w:bCs/>
      <w:kern w:val="18"/>
      <w:sz w:val="20"/>
      <w:szCs w:val="20"/>
    </w:rPr>
  </w:style>
  <w:style w:type="paragraph" w:customStyle="1" w:styleId="Heading">
    <w:name w:val="Heading"/>
    <w:basedOn w:val="BodyText"/>
    <w:next w:val="BodyText"/>
    <w:uiPriority w:val="1"/>
    <w:unhideWhenUsed/>
    <w:rsid w:val="008952D6"/>
    <w:pPr>
      <w:spacing w:after="120"/>
    </w:pPr>
    <w:rPr>
      <w:rFonts w:asciiTheme="majorHAnsi" w:hAnsiTheme="majorHAnsi" w:cstheme="majorHAnsi"/>
      <w:color w:val="000000" w:themeColor="text2"/>
      <w:sz w:val="24"/>
    </w:rPr>
  </w:style>
  <w:style w:type="paragraph" w:styleId="TableofFigures">
    <w:name w:val="table of figures"/>
    <w:basedOn w:val="Normal"/>
    <w:next w:val="Normal"/>
    <w:uiPriority w:val="99"/>
    <w:unhideWhenUsed/>
    <w:rsid w:val="00A34EE8"/>
    <w:pPr>
      <w:tabs>
        <w:tab w:val="clear" w:pos="284"/>
        <w:tab w:val="right" w:leader="dot" w:pos="9360"/>
      </w:tabs>
    </w:pPr>
  </w:style>
  <w:style w:type="numbering" w:customStyle="1" w:styleId="AECOMSectionnumbering">
    <w:name w:val="AECOM Section numbering"/>
    <w:uiPriority w:val="99"/>
    <w:semiHidden/>
    <w:unhideWhenUsed/>
    <w:rsid w:val="0055609F"/>
    <w:pPr>
      <w:numPr>
        <w:numId w:val="10"/>
      </w:numPr>
    </w:pPr>
  </w:style>
  <w:style w:type="paragraph" w:styleId="BalloonText">
    <w:name w:val="Balloon Text"/>
    <w:basedOn w:val="Normal"/>
    <w:link w:val="BalloonTextChar"/>
    <w:uiPriority w:val="99"/>
    <w:semiHidden/>
    <w:unhideWhenUsed/>
    <w:rsid w:val="00F97FCB"/>
    <w:pPr>
      <w:spacing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F66A91"/>
    <w:rPr>
      <w:rFonts w:ascii="Tahoma" w:hAnsi="Tahoma" w:cs="Tahoma"/>
      <w:kern w:val="18"/>
      <w:sz w:val="16"/>
      <w:szCs w:val="16"/>
    </w:rPr>
  </w:style>
  <w:style w:type="paragraph" w:styleId="Quote">
    <w:name w:val="Quote"/>
    <w:basedOn w:val="Normal"/>
    <w:next w:val="Normal"/>
    <w:link w:val="QuoteChar"/>
    <w:uiPriority w:val="22"/>
    <w:qFormat/>
    <w:rsid w:val="00854622"/>
    <w:pPr>
      <w:spacing w:after="120"/>
      <w:ind w:left="851" w:right="567"/>
    </w:pPr>
    <w:rPr>
      <w:i/>
      <w:iCs/>
      <w:color w:val="000000" w:themeColor="text1"/>
    </w:rPr>
  </w:style>
  <w:style w:type="character" w:customStyle="1" w:styleId="QuoteChar">
    <w:name w:val="Quote Char"/>
    <w:basedOn w:val="DefaultParagraphFont"/>
    <w:link w:val="Quote"/>
    <w:uiPriority w:val="20"/>
    <w:semiHidden/>
    <w:rsid w:val="00F66A91"/>
    <w:rPr>
      <w:i/>
      <w:iCs/>
      <w:color w:val="000000" w:themeColor="text1"/>
      <w:kern w:val="18"/>
    </w:rPr>
  </w:style>
  <w:style w:type="numbering" w:styleId="111111">
    <w:name w:val="Outline List 2"/>
    <w:basedOn w:val="NoList"/>
    <w:uiPriority w:val="99"/>
    <w:semiHidden/>
    <w:unhideWhenUsed/>
    <w:rsid w:val="004C255D"/>
    <w:pPr>
      <w:numPr>
        <w:numId w:val="11"/>
      </w:numPr>
    </w:pPr>
  </w:style>
  <w:style w:type="numbering" w:styleId="1ai">
    <w:name w:val="Outline List 1"/>
    <w:basedOn w:val="NoList"/>
    <w:uiPriority w:val="99"/>
    <w:semiHidden/>
    <w:unhideWhenUsed/>
    <w:rsid w:val="004C255D"/>
    <w:pPr>
      <w:numPr>
        <w:numId w:val="12"/>
      </w:numPr>
    </w:pPr>
  </w:style>
  <w:style w:type="numbering" w:styleId="ArticleSection">
    <w:name w:val="Outline List 3"/>
    <w:basedOn w:val="NoList"/>
    <w:uiPriority w:val="99"/>
    <w:semiHidden/>
    <w:unhideWhenUsed/>
    <w:rsid w:val="004C255D"/>
    <w:pPr>
      <w:numPr>
        <w:numId w:val="13"/>
      </w:numPr>
    </w:pPr>
  </w:style>
  <w:style w:type="paragraph" w:styleId="Bibliography">
    <w:name w:val="Bibliography"/>
    <w:basedOn w:val="Normal"/>
    <w:next w:val="Normal"/>
    <w:uiPriority w:val="37"/>
    <w:semiHidden/>
    <w:unhideWhenUsed/>
    <w:rsid w:val="004C255D"/>
  </w:style>
  <w:style w:type="paragraph" w:styleId="BlockText">
    <w:name w:val="Block Text"/>
    <w:basedOn w:val="Normal"/>
    <w:uiPriority w:val="99"/>
    <w:semiHidden/>
    <w:unhideWhenUsed/>
    <w:rsid w:val="004C255D"/>
    <w:pPr>
      <w:pBdr>
        <w:top w:val="single" w:sz="2" w:space="10" w:color="00B5E2" w:themeColor="accent1" w:shadow="1" w:frame="1"/>
        <w:left w:val="single" w:sz="2" w:space="10" w:color="00B5E2" w:themeColor="accent1" w:shadow="1" w:frame="1"/>
        <w:bottom w:val="single" w:sz="2" w:space="10" w:color="00B5E2" w:themeColor="accent1" w:shadow="1" w:frame="1"/>
        <w:right w:val="single" w:sz="2" w:space="10" w:color="00B5E2" w:themeColor="accent1" w:shadow="1" w:frame="1"/>
      </w:pBdr>
      <w:ind w:left="1152" w:right="1152"/>
    </w:pPr>
    <w:rPr>
      <w:rFonts w:eastAsiaTheme="minorEastAsia"/>
      <w:i/>
      <w:iCs/>
      <w:color w:val="00B5E2" w:themeColor="accent1"/>
    </w:rPr>
  </w:style>
  <w:style w:type="paragraph" w:styleId="BodyText2">
    <w:name w:val="Body Text 2"/>
    <w:basedOn w:val="Normal"/>
    <w:link w:val="BodyText2Char"/>
    <w:uiPriority w:val="99"/>
    <w:semiHidden/>
    <w:unhideWhenUsed/>
    <w:rsid w:val="004C255D"/>
    <w:pPr>
      <w:spacing w:after="120" w:line="480" w:lineRule="auto"/>
    </w:pPr>
  </w:style>
  <w:style w:type="character" w:customStyle="1" w:styleId="BodyText2Char">
    <w:name w:val="Body Text 2 Char"/>
    <w:basedOn w:val="DefaultParagraphFont"/>
    <w:link w:val="BodyText2"/>
    <w:uiPriority w:val="99"/>
    <w:semiHidden/>
    <w:rsid w:val="00F66A91"/>
    <w:rPr>
      <w:kern w:val="18"/>
    </w:rPr>
  </w:style>
  <w:style w:type="paragraph" w:styleId="BodyText3">
    <w:name w:val="Body Text 3"/>
    <w:basedOn w:val="Normal"/>
    <w:link w:val="BodyText3Char"/>
    <w:uiPriority w:val="99"/>
    <w:semiHidden/>
    <w:unhideWhenUsed/>
    <w:rsid w:val="004C255D"/>
    <w:pPr>
      <w:spacing w:after="120"/>
    </w:pPr>
    <w:rPr>
      <w:sz w:val="16"/>
      <w:szCs w:val="16"/>
    </w:rPr>
  </w:style>
  <w:style w:type="character" w:customStyle="1" w:styleId="BodyText3Char">
    <w:name w:val="Body Text 3 Char"/>
    <w:basedOn w:val="DefaultParagraphFont"/>
    <w:link w:val="BodyText3"/>
    <w:uiPriority w:val="99"/>
    <w:semiHidden/>
    <w:rsid w:val="00F66A91"/>
    <w:rPr>
      <w:kern w:val="18"/>
      <w:sz w:val="16"/>
      <w:szCs w:val="16"/>
    </w:rPr>
  </w:style>
  <w:style w:type="paragraph" w:styleId="BodyTextFirstIndent">
    <w:name w:val="Body Text First Indent"/>
    <w:basedOn w:val="BodyText"/>
    <w:link w:val="BodyTextFirstIndentChar"/>
    <w:uiPriority w:val="99"/>
    <w:semiHidden/>
    <w:unhideWhenUsed/>
    <w:rsid w:val="004C255D"/>
    <w:pPr>
      <w:spacing w:after="0"/>
      <w:ind w:firstLine="360"/>
    </w:pPr>
  </w:style>
  <w:style w:type="character" w:customStyle="1" w:styleId="BodyTextFirstIndentChar">
    <w:name w:val="Body Text First Indent Char"/>
    <w:basedOn w:val="BodyTextChar"/>
    <w:link w:val="BodyTextFirstIndent"/>
    <w:uiPriority w:val="99"/>
    <w:semiHidden/>
    <w:rsid w:val="00F66A91"/>
    <w:rPr>
      <w:kern w:val="18"/>
    </w:rPr>
  </w:style>
  <w:style w:type="paragraph" w:styleId="BodyTextIndent">
    <w:name w:val="Body Text Indent"/>
    <w:basedOn w:val="Normal"/>
    <w:link w:val="BodyTextIndentChar"/>
    <w:uiPriority w:val="99"/>
    <w:semiHidden/>
    <w:unhideWhenUsed/>
    <w:rsid w:val="004C255D"/>
    <w:pPr>
      <w:spacing w:after="120"/>
      <w:ind w:left="283"/>
    </w:pPr>
  </w:style>
  <w:style w:type="character" w:customStyle="1" w:styleId="BodyTextIndentChar">
    <w:name w:val="Body Text Indent Char"/>
    <w:basedOn w:val="DefaultParagraphFont"/>
    <w:link w:val="BodyTextIndent"/>
    <w:uiPriority w:val="99"/>
    <w:semiHidden/>
    <w:rsid w:val="00F66A91"/>
    <w:rPr>
      <w:kern w:val="18"/>
    </w:rPr>
  </w:style>
  <w:style w:type="paragraph" w:styleId="BodyTextFirstIndent2">
    <w:name w:val="Body Text First Indent 2"/>
    <w:basedOn w:val="BodyTextIndent"/>
    <w:link w:val="BodyTextFirstIndent2Char"/>
    <w:uiPriority w:val="99"/>
    <w:semiHidden/>
    <w:unhideWhenUsed/>
    <w:rsid w:val="004C255D"/>
    <w:pPr>
      <w:spacing w:after="0"/>
      <w:ind w:left="360" w:firstLine="360"/>
    </w:pPr>
  </w:style>
  <w:style w:type="character" w:customStyle="1" w:styleId="BodyTextFirstIndent2Char">
    <w:name w:val="Body Text First Indent 2 Char"/>
    <w:basedOn w:val="BodyTextIndentChar"/>
    <w:link w:val="BodyTextFirstIndent2"/>
    <w:uiPriority w:val="99"/>
    <w:semiHidden/>
    <w:rsid w:val="00F66A91"/>
    <w:rPr>
      <w:kern w:val="18"/>
    </w:rPr>
  </w:style>
  <w:style w:type="paragraph" w:styleId="BodyTextIndent2">
    <w:name w:val="Body Text Indent 2"/>
    <w:basedOn w:val="Normal"/>
    <w:link w:val="BodyTextIndent2Char"/>
    <w:uiPriority w:val="99"/>
    <w:semiHidden/>
    <w:unhideWhenUsed/>
    <w:rsid w:val="004C255D"/>
    <w:pPr>
      <w:spacing w:after="120" w:line="480" w:lineRule="auto"/>
      <w:ind w:left="283"/>
    </w:pPr>
  </w:style>
  <w:style w:type="character" w:customStyle="1" w:styleId="BodyTextIndent2Char">
    <w:name w:val="Body Text Indent 2 Char"/>
    <w:basedOn w:val="DefaultParagraphFont"/>
    <w:link w:val="BodyTextIndent2"/>
    <w:uiPriority w:val="99"/>
    <w:semiHidden/>
    <w:rsid w:val="00F66A91"/>
    <w:rPr>
      <w:kern w:val="18"/>
    </w:rPr>
  </w:style>
  <w:style w:type="paragraph" w:styleId="BodyTextIndent3">
    <w:name w:val="Body Text Indent 3"/>
    <w:basedOn w:val="Normal"/>
    <w:link w:val="BodyTextIndent3Char"/>
    <w:uiPriority w:val="99"/>
    <w:semiHidden/>
    <w:unhideWhenUsed/>
    <w:rsid w:val="004C255D"/>
    <w:pPr>
      <w:spacing w:after="120"/>
      <w:ind w:left="283"/>
    </w:pPr>
    <w:rPr>
      <w:sz w:val="16"/>
      <w:szCs w:val="16"/>
    </w:rPr>
  </w:style>
  <w:style w:type="character" w:customStyle="1" w:styleId="BodyTextIndent3Char">
    <w:name w:val="Body Text Indent 3 Char"/>
    <w:basedOn w:val="DefaultParagraphFont"/>
    <w:link w:val="BodyTextIndent3"/>
    <w:uiPriority w:val="99"/>
    <w:semiHidden/>
    <w:rsid w:val="00F66A91"/>
    <w:rPr>
      <w:kern w:val="18"/>
      <w:sz w:val="16"/>
      <w:szCs w:val="16"/>
    </w:rPr>
  </w:style>
  <w:style w:type="character" w:styleId="BookTitle">
    <w:name w:val="Book Title"/>
    <w:basedOn w:val="DefaultParagraphFont"/>
    <w:uiPriority w:val="33"/>
    <w:semiHidden/>
    <w:unhideWhenUsed/>
    <w:rsid w:val="004C255D"/>
    <w:rPr>
      <w:b/>
      <w:bCs/>
      <w:smallCaps/>
      <w:spacing w:val="5"/>
    </w:rPr>
  </w:style>
  <w:style w:type="paragraph" w:styleId="Closing">
    <w:name w:val="Closing"/>
    <w:basedOn w:val="Normal"/>
    <w:link w:val="ClosingChar"/>
    <w:uiPriority w:val="99"/>
    <w:semiHidden/>
    <w:unhideWhenUsed/>
    <w:rsid w:val="004C255D"/>
    <w:pPr>
      <w:spacing w:line="240" w:lineRule="auto"/>
      <w:ind w:left="4252"/>
    </w:pPr>
  </w:style>
  <w:style w:type="character" w:customStyle="1" w:styleId="ClosingChar">
    <w:name w:val="Closing Char"/>
    <w:basedOn w:val="DefaultParagraphFont"/>
    <w:link w:val="Closing"/>
    <w:uiPriority w:val="99"/>
    <w:semiHidden/>
    <w:rsid w:val="00F66A91"/>
    <w:rPr>
      <w:kern w:val="18"/>
    </w:rPr>
  </w:style>
  <w:style w:type="character" w:styleId="CommentReference">
    <w:name w:val="annotation reference"/>
    <w:basedOn w:val="DefaultParagraphFont"/>
    <w:uiPriority w:val="99"/>
    <w:semiHidden/>
    <w:unhideWhenUsed/>
    <w:rsid w:val="004C255D"/>
    <w:rPr>
      <w:sz w:val="16"/>
      <w:szCs w:val="16"/>
    </w:rPr>
  </w:style>
  <w:style w:type="paragraph" w:styleId="Date">
    <w:name w:val="Date"/>
    <w:basedOn w:val="Normal"/>
    <w:next w:val="Normal"/>
    <w:link w:val="DateChar"/>
    <w:uiPriority w:val="99"/>
    <w:semiHidden/>
    <w:unhideWhenUsed/>
    <w:rsid w:val="004C255D"/>
  </w:style>
  <w:style w:type="character" w:customStyle="1" w:styleId="DateChar">
    <w:name w:val="Date Char"/>
    <w:basedOn w:val="DefaultParagraphFont"/>
    <w:link w:val="Date"/>
    <w:uiPriority w:val="99"/>
    <w:semiHidden/>
    <w:rsid w:val="00F66A91"/>
    <w:rPr>
      <w:kern w:val="18"/>
    </w:rPr>
  </w:style>
  <w:style w:type="paragraph" w:styleId="DocumentMap">
    <w:name w:val="Document Map"/>
    <w:basedOn w:val="Normal"/>
    <w:link w:val="DocumentMapChar"/>
    <w:uiPriority w:val="99"/>
    <w:semiHidden/>
    <w:unhideWhenUsed/>
    <w:rsid w:val="004C255D"/>
    <w:pPr>
      <w:spacing w:line="240" w:lineRule="auto"/>
    </w:pPr>
    <w:rPr>
      <w:rFonts w:ascii="Tahoma" w:hAnsi="Tahoma" w:cs="Tahoma"/>
      <w:sz w:val="16"/>
      <w:szCs w:val="16"/>
    </w:rPr>
  </w:style>
  <w:style w:type="character" w:customStyle="1" w:styleId="DocumentMapChar">
    <w:name w:val="Document Map Char"/>
    <w:basedOn w:val="DefaultParagraphFont"/>
    <w:link w:val="DocumentMap"/>
    <w:uiPriority w:val="99"/>
    <w:semiHidden/>
    <w:rsid w:val="00F66A91"/>
    <w:rPr>
      <w:rFonts w:ascii="Tahoma" w:hAnsi="Tahoma" w:cs="Tahoma"/>
      <w:kern w:val="18"/>
      <w:sz w:val="16"/>
      <w:szCs w:val="16"/>
    </w:rPr>
  </w:style>
  <w:style w:type="paragraph" w:styleId="E-mailSignature">
    <w:name w:val="E-mail Signature"/>
    <w:basedOn w:val="Normal"/>
    <w:link w:val="E-mailSignatureChar"/>
    <w:uiPriority w:val="99"/>
    <w:semiHidden/>
    <w:unhideWhenUsed/>
    <w:rsid w:val="004C255D"/>
    <w:pPr>
      <w:spacing w:line="240" w:lineRule="auto"/>
    </w:pPr>
  </w:style>
  <w:style w:type="character" w:customStyle="1" w:styleId="E-mailSignatureChar">
    <w:name w:val="E-mail Signature Char"/>
    <w:basedOn w:val="DefaultParagraphFont"/>
    <w:link w:val="E-mailSignature"/>
    <w:uiPriority w:val="99"/>
    <w:semiHidden/>
    <w:rsid w:val="00F66A91"/>
    <w:rPr>
      <w:kern w:val="18"/>
    </w:rPr>
  </w:style>
  <w:style w:type="character" w:styleId="Emphasis">
    <w:name w:val="Emphasis"/>
    <w:basedOn w:val="DefaultParagraphFont"/>
    <w:uiPriority w:val="20"/>
    <w:semiHidden/>
    <w:unhideWhenUsed/>
    <w:rsid w:val="004C255D"/>
    <w:rPr>
      <w:i/>
      <w:iCs/>
    </w:rPr>
  </w:style>
  <w:style w:type="character" w:styleId="EndnoteReference">
    <w:name w:val="endnote reference"/>
    <w:basedOn w:val="DefaultParagraphFont"/>
    <w:uiPriority w:val="99"/>
    <w:semiHidden/>
    <w:unhideWhenUsed/>
    <w:rsid w:val="004C255D"/>
    <w:rPr>
      <w:vertAlign w:val="superscript"/>
    </w:rPr>
  </w:style>
  <w:style w:type="paragraph" w:styleId="EndnoteText">
    <w:name w:val="endnote text"/>
    <w:basedOn w:val="Normal"/>
    <w:link w:val="EndnoteTextChar"/>
    <w:uiPriority w:val="99"/>
    <w:semiHidden/>
    <w:unhideWhenUsed/>
    <w:rsid w:val="004C255D"/>
    <w:pPr>
      <w:spacing w:line="240" w:lineRule="auto"/>
    </w:pPr>
    <w:rPr>
      <w:sz w:val="20"/>
      <w:szCs w:val="20"/>
    </w:rPr>
  </w:style>
  <w:style w:type="character" w:customStyle="1" w:styleId="EndnoteTextChar">
    <w:name w:val="Endnote Text Char"/>
    <w:basedOn w:val="DefaultParagraphFont"/>
    <w:link w:val="EndnoteText"/>
    <w:uiPriority w:val="99"/>
    <w:semiHidden/>
    <w:rsid w:val="00F66A91"/>
    <w:rPr>
      <w:kern w:val="18"/>
      <w:sz w:val="20"/>
      <w:szCs w:val="20"/>
    </w:rPr>
  </w:style>
  <w:style w:type="paragraph" w:styleId="EnvelopeAddress">
    <w:name w:val="envelope address"/>
    <w:basedOn w:val="Normal"/>
    <w:uiPriority w:val="99"/>
    <w:semiHidden/>
    <w:unhideWhenUsed/>
    <w:rsid w:val="004C255D"/>
    <w:pPr>
      <w:framePr w:w="7920" w:h="1980" w:hRule="exact" w:hSpace="180" w:wrap="auto" w:hAnchor="page" w:xAlign="center" w:yAlign="bottom"/>
      <w:spacing w:line="240" w:lineRule="auto"/>
      <w:ind w:left="2880"/>
    </w:pPr>
    <w:rPr>
      <w:rFonts w:asciiTheme="majorHAnsi" w:eastAsiaTheme="majorEastAsia" w:hAnsiTheme="majorHAnsi" w:cstheme="majorBidi"/>
      <w:sz w:val="24"/>
      <w:szCs w:val="24"/>
    </w:rPr>
  </w:style>
  <w:style w:type="paragraph" w:styleId="EnvelopeReturn">
    <w:name w:val="envelope return"/>
    <w:basedOn w:val="Normal"/>
    <w:uiPriority w:val="99"/>
    <w:semiHidden/>
    <w:unhideWhenUsed/>
    <w:rsid w:val="004C255D"/>
    <w:pPr>
      <w:spacing w:line="240" w:lineRule="auto"/>
    </w:pPr>
    <w:rPr>
      <w:rFonts w:asciiTheme="majorHAnsi" w:eastAsiaTheme="majorEastAsia" w:hAnsiTheme="majorHAnsi" w:cstheme="majorBidi"/>
      <w:sz w:val="20"/>
      <w:szCs w:val="20"/>
    </w:rPr>
  </w:style>
  <w:style w:type="character" w:styleId="HTMLAcronym">
    <w:name w:val="HTML Acronym"/>
    <w:basedOn w:val="DefaultParagraphFont"/>
    <w:uiPriority w:val="99"/>
    <w:semiHidden/>
    <w:unhideWhenUsed/>
    <w:rsid w:val="004C255D"/>
  </w:style>
  <w:style w:type="paragraph" w:styleId="HTMLAddress">
    <w:name w:val="HTML Address"/>
    <w:basedOn w:val="Normal"/>
    <w:link w:val="HTMLAddressChar"/>
    <w:uiPriority w:val="99"/>
    <w:semiHidden/>
    <w:unhideWhenUsed/>
    <w:rsid w:val="004C255D"/>
    <w:pPr>
      <w:spacing w:line="240" w:lineRule="auto"/>
    </w:pPr>
    <w:rPr>
      <w:i/>
      <w:iCs/>
    </w:rPr>
  </w:style>
  <w:style w:type="character" w:customStyle="1" w:styleId="HTMLAddressChar">
    <w:name w:val="HTML Address Char"/>
    <w:basedOn w:val="DefaultParagraphFont"/>
    <w:link w:val="HTMLAddress"/>
    <w:uiPriority w:val="99"/>
    <w:semiHidden/>
    <w:rsid w:val="00F66A91"/>
    <w:rPr>
      <w:i/>
      <w:iCs/>
      <w:kern w:val="18"/>
    </w:rPr>
  </w:style>
  <w:style w:type="character" w:styleId="HTMLCite">
    <w:name w:val="HTML Cite"/>
    <w:basedOn w:val="DefaultParagraphFont"/>
    <w:uiPriority w:val="99"/>
    <w:semiHidden/>
    <w:unhideWhenUsed/>
    <w:rsid w:val="004C255D"/>
    <w:rPr>
      <w:i/>
      <w:iCs/>
    </w:rPr>
  </w:style>
  <w:style w:type="character" w:styleId="HTMLCode">
    <w:name w:val="HTML Code"/>
    <w:basedOn w:val="DefaultParagraphFont"/>
    <w:uiPriority w:val="99"/>
    <w:semiHidden/>
    <w:unhideWhenUsed/>
    <w:rsid w:val="004C255D"/>
    <w:rPr>
      <w:rFonts w:ascii="Consolas" w:hAnsi="Consolas"/>
      <w:sz w:val="20"/>
      <w:szCs w:val="20"/>
    </w:rPr>
  </w:style>
  <w:style w:type="character" w:styleId="HTMLDefinition">
    <w:name w:val="HTML Definition"/>
    <w:basedOn w:val="DefaultParagraphFont"/>
    <w:uiPriority w:val="99"/>
    <w:semiHidden/>
    <w:unhideWhenUsed/>
    <w:rsid w:val="004C255D"/>
    <w:rPr>
      <w:i/>
      <w:iCs/>
    </w:rPr>
  </w:style>
  <w:style w:type="character" w:styleId="HTMLKeyboard">
    <w:name w:val="HTML Keyboard"/>
    <w:basedOn w:val="DefaultParagraphFont"/>
    <w:uiPriority w:val="99"/>
    <w:semiHidden/>
    <w:unhideWhenUsed/>
    <w:rsid w:val="004C255D"/>
    <w:rPr>
      <w:rFonts w:ascii="Consolas" w:hAnsi="Consolas"/>
      <w:sz w:val="20"/>
      <w:szCs w:val="20"/>
    </w:rPr>
  </w:style>
  <w:style w:type="paragraph" w:styleId="HTMLPreformatted">
    <w:name w:val="HTML Preformatted"/>
    <w:basedOn w:val="Normal"/>
    <w:link w:val="HTMLPreformattedChar"/>
    <w:uiPriority w:val="99"/>
    <w:semiHidden/>
    <w:unhideWhenUsed/>
    <w:rsid w:val="004C255D"/>
    <w:pPr>
      <w:spacing w:line="240" w:lineRule="auto"/>
    </w:pPr>
    <w:rPr>
      <w:rFonts w:ascii="Consolas" w:hAnsi="Consolas"/>
      <w:sz w:val="20"/>
      <w:szCs w:val="20"/>
    </w:rPr>
  </w:style>
  <w:style w:type="character" w:customStyle="1" w:styleId="HTMLPreformattedChar">
    <w:name w:val="HTML Preformatted Char"/>
    <w:basedOn w:val="DefaultParagraphFont"/>
    <w:link w:val="HTMLPreformatted"/>
    <w:uiPriority w:val="99"/>
    <w:semiHidden/>
    <w:rsid w:val="00F66A91"/>
    <w:rPr>
      <w:rFonts w:ascii="Consolas" w:hAnsi="Consolas"/>
      <w:kern w:val="18"/>
      <w:sz w:val="20"/>
      <w:szCs w:val="20"/>
    </w:rPr>
  </w:style>
  <w:style w:type="character" w:styleId="HTMLSample">
    <w:name w:val="HTML Sample"/>
    <w:basedOn w:val="DefaultParagraphFont"/>
    <w:uiPriority w:val="99"/>
    <w:semiHidden/>
    <w:unhideWhenUsed/>
    <w:rsid w:val="004C255D"/>
    <w:rPr>
      <w:rFonts w:ascii="Consolas" w:hAnsi="Consolas"/>
      <w:sz w:val="24"/>
      <w:szCs w:val="24"/>
    </w:rPr>
  </w:style>
  <w:style w:type="character" w:styleId="HTMLTypewriter">
    <w:name w:val="HTML Typewriter"/>
    <w:basedOn w:val="DefaultParagraphFont"/>
    <w:uiPriority w:val="99"/>
    <w:semiHidden/>
    <w:unhideWhenUsed/>
    <w:rsid w:val="004C255D"/>
    <w:rPr>
      <w:rFonts w:ascii="Consolas" w:hAnsi="Consolas"/>
      <w:sz w:val="20"/>
      <w:szCs w:val="20"/>
    </w:rPr>
  </w:style>
  <w:style w:type="character" w:styleId="HTMLVariable">
    <w:name w:val="HTML Variable"/>
    <w:basedOn w:val="DefaultParagraphFont"/>
    <w:uiPriority w:val="99"/>
    <w:semiHidden/>
    <w:unhideWhenUsed/>
    <w:rsid w:val="004C255D"/>
    <w:rPr>
      <w:i/>
      <w:iCs/>
    </w:rPr>
  </w:style>
  <w:style w:type="paragraph" w:styleId="Index1">
    <w:name w:val="index 1"/>
    <w:basedOn w:val="Normal"/>
    <w:next w:val="Normal"/>
    <w:autoRedefine/>
    <w:uiPriority w:val="99"/>
    <w:semiHidden/>
    <w:unhideWhenUsed/>
    <w:rsid w:val="004C255D"/>
    <w:pPr>
      <w:tabs>
        <w:tab w:val="clear" w:pos="284"/>
      </w:tabs>
      <w:spacing w:line="240" w:lineRule="auto"/>
      <w:ind w:left="180" w:hanging="180"/>
    </w:pPr>
  </w:style>
  <w:style w:type="paragraph" w:styleId="Index2">
    <w:name w:val="index 2"/>
    <w:basedOn w:val="Normal"/>
    <w:next w:val="Normal"/>
    <w:autoRedefine/>
    <w:uiPriority w:val="99"/>
    <w:semiHidden/>
    <w:unhideWhenUsed/>
    <w:rsid w:val="004C255D"/>
    <w:pPr>
      <w:tabs>
        <w:tab w:val="clear" w:pos="284"/>
      </w:tabs>
      <w:spacing w:line="240" w:lineRule="auto"/>
      <w:ind w:left="360" w:hanging="180"/>
    </w:pPr>
  </w:style>
  <w:style w:type="paragraph" w:styleId="Index3">
    <w:name w:val="index 3"/>
    <w:basedOn w:val="Normal"/>
    <w:next w:val="Normal"/>
    <w:autoRedefine/>
    <w:uiPriority w:val="99"/>
    <w:semiHidden/>
    <w:unhideWhenUsed/>
    <w:rsid w:val="004C255D"/>
    <w:pPr>
      <w:tabs>
        <w:tab w:val="clear" w:pos="284"/>
      </w:tabs>
      <w:spacing w:line="240" w:lineRule="auto"/>
      <w:ind w:left="540" w:hanging="180"/>
    </w:pPr>
  </w:style>
  <w:style w:type="paragraph" w:styleId="Index4">
    <w:name w:val="index 4"/>
    <w:basedOn w:val="Normal"/>
    <w:next w:val="Normal"/>
    <w:autoRedefine/>
    <w:uiPriority w:val="99"/>
    <w:semiHidden/>
    <w:unhideWhenUsed/>
    <w:rsid w:val="004C255D"/>
    <w:pPr>
      <w:tabs>
        <w:tab w:val="clear" w:pos="284"/>
      </w:tabs>
      <w:spacing w:line="240" w:lineRule="auto"/>
      <w:ind w:left="720" w:hanging="180"/>
    </w:pPr>
  </w:style>
  <w:style w:type="paragraph" w:styleId="Index5">
    <w:name w:val="index 5"/>
    <w:basedOn w:val="Normal"/>
    <w:next w:val="Normal"/>
    <w:autoRedefine/>
    <w:uiPriority w:val="99"/>
    <w:semiHidden/>
    <w:unhideWhenUsed/>
    <w:rsid w:val="004C255D"/>
    <w:pPr>
      <w:tabs>
        <w:tab w:val="clear" w:pos="284"/>
      </w:tabs>
      <w:spacing w:line="240" w:lineRule="auto"/>
      <w:ind w:left="900" w:hanging="180"/>
    </w:pPr>
  </w:style>
  <w:style w:type="paragraph" w:styleId="Index6">
    <w:name w:val="index 6"/>
    <w:basedOn w:val="Normal"/>
    <w:next w:val="Normal"/>
    <w:autoRedefine/>
    <w:uiPriority w:val="99"/>
    <w:semiHidden/>
    <w:unhideWhenUsed/>
    <w:rsid w:val="004C255D"/>
    <w:pPr>
      <w:tabs>
        <w:tab w:val="clear" w:pos="284"/>
      </w:tabs>
      <w:spacing w:line="240" w:lineRule="auto"/>
      <w:ind w:left="1080" w:hanging="180"/>
    </w:pPr>
  </w:style>
  <w:style w:type="paragraph" w:styleId="Index7">
    <w:name w:val="index 7"/>
    <w:basedOn w:val="Normal"/>
    <w:next w:val="Normal"/>
    <w:autoRedefine/>
    <w:uiPriority w:val="99"/>
    <w:semiHidden/>
    <w:unhideWhenUsed/>
    <w:rsid w:val="004C255D"/>
    <w:pPr>
      <w:tabs>
        <w:tab w:val="clear" w:pos="284"/>
      </w:tabs>
      <w:spacing w:line="240" w:lineRule="auto"/>
      <w:ind w:left="1260" w:hanging="180"/>
    </w:pPr>
  </w:style>
  <w:style w:type="paragraph" w:styleId="Index8">
    <w:name w:val="index 8"/>
    <w:basedOn w:val="Normal"/>
    <w:next w:val="Normal"/>
    <w:autoRedefine/>
    <w:uiPriority w:val="99"/>
    <w:semiHidden/>
    <w:unhideWhenUsed/>
    <w:rsid w:val="004C255D"/>
    <w:pPr>
      <w:tabs>
        <w:tab w:val="clear" w:pos="284"/>
      </w:tabs>
      <w:spacing w:line="240" w:lineRule="auto"/>
      <w:ind w:left="1440" w:hanging="180"/>
    </w:pPr>
  </w:style>
  <w:style w:type="paragraph" w:styleId="Index9">
    <w:name w:val="index 9"/>
    <w:basedOn w:val="Normal"/>
    <w:next w:val="Normal"/>
    <w:autoRedefine/>
    <w:uiPriority w:val="99"/>
    <w:semiHidden/>
    <w:unhideWhenUsed/>
    <w:rsid w:val="004C255D"/>
    <w:pPr>
      <w:tabs>
        <w:tab w:val="clear" w:pos="284"/>
      </w:tabs>
      <w:spacing w:line="240" w:lineRule="auto"/>
      <w:ind w:left="1620" w:hanging="180"/>
    </w:pPr>
  </w:style>
  <w:style w:type="paragraph" w:styleId="IndexHeading">
    <w:name w:val="index heading"/>
    <w:basedOn w:val="Normal"/>
    <w:next w:val="Index1"/>
    <w:uiPriority w:val="99"/>
    <w:semiHidden/>
    <w:unhideWhenUsed/>
    <w:rsid w:val="004C255D"/>
    <w:rPr>
      <w:rFonts w:asciiTheme="majorHAnsi" w:eastAsiaTheme="majorEastAsia" w:hAnsiTheme="majorHAnsi" w:cstheme="majorBidi"/>
      <w:b/>
      <w:bCs/>
    </w:rPr>
  </w:style>
  <w:style w:type="character" w:styleId="IntenseEmphasis">
    <w:name w:val="Intense Emphasis"/>
    <w:basedOn w:val="DefaultParagraphFont"/>
    <w:uiPriority w:val="21"/>
    <w:semiHidden/>
    <w:unhideWhenUsed/>
    <w:rsid w:val="004C255D"/>
    <w:rPr>
      <w:b/>
      <w:bCs/>
      <w:i/>
      <w:iCs/>
      <w:color w:val="00B5E2" w:themeColor="accent1"/>
    </w:rPr>
  </w:style>
  <w:style w:type="paragraph" w:styleId="IntenseQuote">
    <w:name w:val="Intense Quote"/>
    <w:basedOn w:val="Normal"/>
    <w:next w:val="Normal"/>
    <w:link w:val="IntenseQuoteChar"/>
    <w:uiPriority w:val="30"/>
    <w:semiHidden/>
    <w:unhideWhenUsed/>
    <w:rsid w:val="004C255D"/>
    <w:pPr>
      <w:pBdr>
        <w:bottom w:val="single" w:sz="4" w:space="4" w:color="00B5E2" w:themeColor="accent1"/>
      </w:pBdr>
      <w:spacing w:before="200" w:after="280"/>
      <w:ind w:left="936" w:right="936"/>
    </w:pPr>
    <w:rPr>
      <w:b/>
      <w:bCs/>
      <w:i/>
      <w:iCs/>
      <w:color w:val="00B5E2" w:themeColor="accent1"/>
    </w:rPr>
  </w:style>
  <w:style w:type="character" w:customStyle="1" w:styleId="IntenseQuoteChar">
    <w:name w:val="Intense Quote Char"/>
    <w:basedOn w:val="DefaultParagraphFont"/>
    <w:link w:val="IntenseQuote"/>
    <w:uiPriority w:val="30"/>
    <w:semiHidden/>
    <w:rsid w:val="00F66A91"/>
    <w:rPr>
      <w:b/>
      <w:bCs/>
      <w:i/>
      <w:iCs/>
      <w:color w:val="00B5E2" w:themeColor="accent1"/>
      <w:kern w:val="18"/>
    </w:rPr>
  </w:style>
  <w:style w:type="character" w:styleId="IntenseReference">
    <w:name w:val="Intense Reference"/>
    <w:basedOn w:val="DefaultParagraphFont"/>
    <w:uiPriority w:val="32"/>
    <w:semiHidden/>
    <w:unhideWhenUsed/>
    <w:rsid w:val="004C255D"/>
    <w:rPr>
      <w:b/>
      <w:bCs/>
      <w:smallCaps/>
      <w:color w:val="84BD00" w:themeColor="accent2"/>
      <w:spacing w:val="5"/>
      <w:u w:val="single"/>
    </w:rPr>
  </w:style>
  <w:style w:type="character" w:styleId="LineNumber">
    <w:name w:val="line number"/>
    <w:basedOn w:val="DefaultParagraphFont"/>
    <w:uiPriority w:val="99"/>
    <w:semiHidden/>
    <w:unhideWhenUsed/>
    <w:rsid w:val="004C255D"/>
  </w:style>
  <w:style w:type="paragraph" w:styleId="List">
    <w:name w:val="List"/>
    <w:basedOn w:val="Normal"/>
    <w:uiPriority w:val="99"/>
    <w:semiHidden/>
    <w:unhideWhenUsed/>
    <w:rsid w:val="004C255D"/>
    <w:pPr>
      <w:ind w:left="283" w:hanging="283"/>
      <w:contextualSpacing/>
    </w:pPr>
  </w:style>
  <w:style w:type="paragraph" w:styleId="List2">
    <w:name w:val="List 2"/>
    <w:basedOn w:val="Normal"/>
    <w:uiPriority w:val="99"/>
    <w:semiHidden/>
    <w:unhideWhenUsed/>
    <w:rsid w:val="004C255D"/>
    <w:pPr>
      <w:ind w:left="566" w:hanging="283"/>
      <w:contextualSpacing/>
    </w:pPr>
  </w:style>
  <w:style w:type="paragraph" w:styleId="List3">
    <w:name w:val="List 3"/>
    <w:basedOn w:val="Normal"/>
    <w:uiPriority w:val="99"/>
    <w:semiHidden/>
    <w:unhideWhenUsed/>
    <w:rsid w:val="004C255D"/>
    <w:pPr>
      <w:ind w:left="849" w:hanging="283"/>
      <w:contextualSpacing/>
    </w:pPr>
  </w:style>
  <w:style w:type="paragraph" w:styleId="List4">
    <w:name w:val="List 4"/>
    <w:basedOn w:val="Normal"/>
    <w:uiPriority w:val="99"/>
    <w:semiHidden/>
    <w:unhideWhenUsed/>
    <w:rsid w:val="004C255D"/>
    <w:pPr>
      <w:ind w:left="1132" w:hanging="283"/>
      <w:contextualSpacing/>
    </w:pPr>
  </w:style>
  <w:style w:type="paragraph" w:styleId="List5">
    <w:name w:val="List 5"/>
    <w:basedOn w:val="Normal"/>
    <w:uiPriority w:val="99"/>
    <w:semiHidden/>
    <w:unhideWhenUsed/>
    <w:rsid w:val="004C255D"/>
    <w:pPr>
      <w:ind w:left="1415" w:hanging="283"/>
      <w:contextualSpacing/>
    </w:pPr>
  </w:style>
  <w:style w:type="paragraph" w:styleId="ListBullet4">
    <w:name w:val="List Bullet 4"/>
    <w:basedOn w:val="Normal"/>
    <w:uiPriority w:val="99"/>
    <w:semiHidden/>
    <w:unhideWhenUsed/>
    <w:rsid w:val="004C255D"/>
    <w:pPr>
      <w:numPr>
        <w:numId w:val="3"/>
      </w:numPr>
      <w:contextualSpacing/>
    </w:pPr>
  </w:style>
  <w:style w:type="paragraph" w:styleId="ListBullet5">
    <w:name w:val="List Bullet 5"/>
    <w:basedOn w:val="Normal"/>
    <w:uiPriority w:val="99"/>
    <w:semiHidden/>
    <w:unhideWhenUsed/>
    <w:rsid w:val="004C255D"/>
    <w:pPr>
      <w:numPr>
        <w:numId w:val="4"/>
      </w:numPr>
      <w:contextualSpacing/>
    </w:pPr>
  </w:style>
  <w:style w:type="paragraph" w:styleId="ListContinue">
    <w:name w:val="List Continue"/>
    <w:basedOn w:val="Normal"/>
    <w:uiPriority w:val="99"/>
    <w:semiHidden/>
    <w:unhideWhenUsed/>
    <w:rsid w:val="004C255D"/>
    <w:pPr>
      <w:spacing w:after="120"/>
      <w:ind w:left="283"/>
      <w:contextualSpacing/>
    </w:pPr>
  </w:style>
  <w:style w:type="paragraph" w:styleId="ListContinue2">
    <w:name w:val="List Continue 2"/>
    <w:basedOn w:val="Normal"/>
    <w:uiPriority w:val="99"/>
    <w:semiHidden/>
    <w:unhideWhenUsed/>
    <w:rsid w:val="004C255D"/>
    <w:pPr>
      <w:spacing w:after="120"/>
      <w:ind w:left="566"/>
      <w:contextualSpacing/>
    </w:pPr>
  </w:style>
  <w:style w:type="paragraph" w:styleId="ListContinue3">
    <w:name w:val="List Continue 3"/>
    <w:basedOn w:val="Normal"/>
    <w:uiPriority w:val="99"/>
    <w:semiHidden/>
    <w:unhideWhenUsed/>
    <w:rsid w:val="004C255D"/>
    <w:pPr>
      <w:spacing w:after="120"/>
      <w:ind w:left="849"/>
      <w:contextualSpacing/>
    </w:pPr>
  </w:style>
  <w:style w:type="paragraph" w:styleId="ListContinue4">
    <w:name w:val="List Continue 4"/>
    <w:basedOn w:val="Normal"/>
    <w:uiPriority w:val="99"/>
    <w:semiHidden/>
    <w:unhideWhenUsed/>
    <w:rsid w:val="004C255D"/>
    <w:pPr>
      <w:spacing w:after="120"/>
      <w:ind w:left="1132"/>
      <w:contextualSpacing/>
    </w:pPr>
  </w:style>
  <w:style w:type="paragraph" w:styleId="ListContinue5">
    <w:name w:val="List Continue 5"/>
    <w:basedOn w:val="Normal"/>
    <w:uiPriority w:val="99"/>
    <w:semiHidden/>
    <w:unhideWhenUsed/>
    <w:rsid w:val="004C255D"/>
    <w:pPr>
      <w:spacing w:after="120"/>
      <w:ind w:left="1415"/>
      <w:contextualSpacing/>
    </w:pPr>
  </w:style>
  <w:style w:type="paragraph" w:styleId="ListNumber4">
    <w:name w:val="List Number 4"/>
    <w:basedOn w:val="Normal"/>
    <w:uiPriority w:val="99"/>
    <w:semiHidden/>
    <w:unhideWhenUsed/>
    <w:rsid w:val="004C255D"/>
    <w:pPr>
      <w:numPr>
        <w:numId w:val="5"/>
      </w:numPr>
      <w:contextualSpacing/>
    </w:pPr>
  </w:style>
  <w:style w:type="paragraph" w:styleId="ListNumber5">
    <w:name w:val="List Number 5"/>
    <w:basedOn w:val="Normal"/>
    <w:uiPriority w:val="99"/>
    <w:semiHidden/>
    <w:unhideWhenUsed/>
    <w:rsid w:val="004C255D"/>
    <w:pPr>
      <w:numPr>
        <w:numId w:val="6"/>
      </w:numPr>
      <w:contextualSpacing/>
    </w:pPr>
  </w:style>
  <w:style w:type="paragraph" w:styleId="ListParagraph">
    <w:name w:val="List Paragraph"/>
    <w:basedOn w:val="Normal"/>
    <w:uiPriority w:val="34"/>
    <w:unhideWhenUsed/>
    <w:rsid w:val="004C255D"/>
    <w:pPr>
      <w:ind w:left="720"/>
      <w:contextualSpacing/>
    </w:pPr>
  </w:style>
  <w:style w:type="paragraph" w:styleId="MacroText">
    <w:name w:val="macro"/>
    <w:link w:val="MacroTextChar"/>
    <w:uiPriority w:val="99"/>
    <w:semiHidden/>
    <w:unhideWhenUsed/>
    <w:rsid w:val="004C255D"/>
    <w:pPr>
      <w:tabs>
        <w:tab w:val="left" w:pos="480"/>
        <w:tab w:val="left" w:pos="960"/>
        <w:tab w:val="left" w:pos="1440"/>
        <w:tab w:val="left" w:pos="1920"/>
        <w:tab w:val="left" w:pos="2400"/>
        <w:tab w:val="left" w:pos="2880"/>
        <w:tab w:val="left" w:pos="3360"/>
        <w:tab w:val="left" w:pos="3840"/>
        <w:tab w:val="left" w:pos="4320"/>
      </w:tabs>
      <w:spacing w:line="240" w:lineRule="atLeast"/>
    </w:pPr>
    <w:rPr>
      <w:rFonts w:ascii="Consolas" w:hAnsi="Consolas"/>
      <w:sz w:val="20"/>
      <w:szCs w:val="20"/>
    </w:rPr>
  </w:style>
  <w:style w:type="character" w:customStyle="1" w:styleId="MacroTextChar">
    <w:name w:val="Macro Text Char"/>
    <w:basedOn w:val="DefaultParagraphFont"/>
    <w:link w:val="MacroText"/>
    <w:uiPriority w:val="99"/>
    <w:semiHidden/>
    <w:rsid w:val="00F66A91"/>
    <w:rPr>
      <w:rFonts w:ascii="Consolas" w:hAnsi="Consolas"/>
      <w:sz w:val="20"/>
      <w:szCs w:val="20"/>
    </w:rPr>
  </w:style>
  <w:style w:type="paragraph" w:styleId="MessageHeader">
    <w:name w:val="Message Header"/>
    <w:basedOn w:val="Normal"/>
    <w:link w:val="MessageHeaderChar"/>
    <w:uiPriority w:val="99"/>
    <w:semiHidden/>
    <w:unhideWhenUsed/>
    <w:rsid w:val="004C255D"/>
    <w:pPr>
      <w:pBdr>
        <w:top w:val="single" w:sz="6" w:space="1" w:color="auto"/>
        <w:left w:val="single" w:sz="6" w:space="1" w:color="auto"/>
        <w:bottom w:val="single" w:sz="6" w:space="1" w:color="auto"/>
        <w:right w:val="single" w:sz="6" w:space="1" w:color="auto"/>
      </w:pBdr>
      <w:shd w:val="pct20" w:color="auto" w:fill="auto"/>
      <w:spacing w:line="240" w:lineRule="auto"/>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uiPriority w:val="99"/>
    <w:semiHidden/>
    <w:rsid w:val="00F66A91"/>
    <w:rPr>
      <w:rFonts w:asciiTheme="majorHAnsi" w:eastAsiaTheme="majorEastAsia" w:hAnsiTheme="majorHAnsi" w:cstheme="majorBidi"/>
      <w:kern w:val="18"/>
      <w:sz w:val="24"/>
      <w:szCs w:val="24"/>
      <w:shd w:val="pct20" w:color="auto" w:fill="auto"/>
    </w:rPr>
  </w:style>
  <w:style w:type="paragraph" w:styleId="NoSpacing">
    <w:name w:val="No Spacing"/>
    <w:uiPriority w:val="1"/>
    <w:semiHidden/>
    <w:unhideWhenUsed/>
    <w:rsid w:val="004C255D"/>
    <w:pPr>
      <w:tabs>
        <w:tab w:val="left" w:pos="284"/>
      </w:tabs>
    </w:pPr>
  </w:style>
  <w:style w:type="paragraph" w:styleId="NormalWeb">
    <w:name w:val="Normal (Web)"/>
    <w:basedOn w:val="Normal"/>
    <w:uiPriority w:val="99"/>
    <w:semiHidden/>
    <w:unhideWhenUsed/>
    <w:rsid w:val="004C255D"/>
    <w:rPr>
      <w:rFonts w:ascii="Times New Roman" w:hAnsi="Times New Roman" w:cs="Times New Roman"/>
      <w:sz w:val="24"/>
      <w:szCs w:val="24"/>
    </w:rPr>
  </w:style>
  <w:style w:type="paragraph" w:styleId="NormalIndent">
    <w:name w:val="Normal Indent"/>
    <w:basedOn w:val="Normal"/>
    <w:uiPriority w:val="99"/>
    <w:semiHidden/>
    <w:unhideWhenUsed/>
    <w:rsid w:val="004C255D"/>
    <w:pPr>
      <w:ind w:left="720"/>
    </w:pPr>
  </w:style>
  <w:style w:type="paragraph" w:styleId="NoteHeading">
    <w:name w:val="Note Heading"/>
    <w:basedOn w:val="Normal"/>
    <w:next w:val="Normal"/>
    <w:link w:val="NoteHeadingChar"/>
    <w:uiPriority w:val="99"/>
    <w:semiHidden/>
    <w:unhideWhenUsed/>
    <w:rsid w:val="004C255D"/>
    <w:pPr>
      <w:spacing w:line="240" w:lineRule="auto"/>
    </w:pPr>
  </w:style>
  <w:style w:type="character" w:customStyle="1" w:styleId="NoteHeadingChar">
    <w:name w:val="Note Heading Char"/>
    <w:basedOn w:val="DefaultParagraphFont"/>
    <w:link w:val="NoteHeading"/>
    <w:uiPriority w:val="99"/>
    <w:semiHidden/>
    <w:rsid w:val="00F66A91"/>
    <w:rPr>
      <w:kern w:val="18"/>
    </w:rPr>
  </w:style>
  <w:style w:type="character" w:styleId="PageNumber">
    <w:name w:val="page number"/>
    <w:basedOn w:val="DefaultParagraphFont"/>
    <w:uiPriority w:val="99"/>
    <w:semiHidden/>
    <w:unhideWhenUsed/>
    <w:rsid w:val="004C255D"/>
  </w:style>
  <w:style w:type="character" w:styleId="PlaceholderText">
    <w:name w:val="Placeholder Text"/>
    <w:basedOn w:val="DefaultParagraphFont"/>
    <w:uiPriority w:val="99"/>
    <w:unhideWhenUsed/>
    <w:rsid w:val="004C255D"/>
    <w:rPr>
      <w:color w:val="808080"/>
    </w:rPr>
  </w:style>
  <w:style w:type="paragraph" w:styleId="PlainText">
    <w:name w:val="Plain Text"/>
    <w:basedOn w:val="Normal"/>
    <w:link w:val="PlainTextChar"/>
    <w:uiPriority w:val="99"/>
    <w:semiHidden/>
    <w:unhideWhenUsed/>
    <w:rsid w:val="004C255D"/>
    <w:pPr>
      <w:spacing w:line="240" w:lineRule="auto"/>
    </w:pPr>
    <w:rPr>
      <w:rFonts w:ascii="Consolas" w:hAnsi="Consolas"/>
      <w:sz w:val="21"/>
      <w:szCs w:val="21"/>
    </w:rPr>
  </w:style>
  <w:style w:type="character" w:customStyle="1" w:styleId="PlainTextChar">
    <w:name w:val="Plain Text Char"/>
    <w:basedOn w:val="DefaultParagraphFont"/>
    <w:link w:val="PlainText"/>
    <w:uiPriority w:val="99"/>
    <w:semiHidden/>
    <w:rsid w:val="00F66A91"/>
    <w:rPr>
      <w:rFonts w:ascii="Consolas" w:hAnsi="Consolas"/>
      <w:kern w:val="18"/>
      <w:sz w:val="21"/>
      <w:szCs w:val="21"/>
    </w:rPr>
  </w:style>
  <w:style w:type="paragraph" w:styleId="Salutation">
    <w:name w:val="Salutation"/>
    <w:basedOn w:val="Normal"/>
    <w:next w:val="Normal"/>
    <w:link w:val="SalutationChar"/>
    <w:uiPriority w:val="99"/>
    <w:semiHidden/>
    <w:unhideWhenUsed/>
    <w:rsid w:val="004C255D"/>
  </w:style>
  <w:style w:type="character" w:customStyle="1" w:styleId="SalutationChar">
    <w:name w:val="Salutation Char"/>
    <w:basedOn w:val="DefaultParagraphFont"/>
    <w:link w:val="Salutation"/>
    <w:uiPriority w:val="99"/>
    <w:semiHidden/>
    <w:rsid w:val="00F66A91"/>
    <w:rPr>
      <w:kern w:val="18"/>
    </w:rPr>
  </w:style>
  <w:style w:type="paragraph" w:styleId="Signature">
    <w:name w:val="Signature"/>
    <w:basedOn w:val="Normal"/>
    <w:link w:val="SignatureChar"/>
    <w:uiPriority w:val="99"/>
    <w:semiHidden/>
    <w:unhideWhenUsed/>
    <w:rsid w:val="004C255D"/>
    <w:pPr>
      <w:spacing w:line="240" w:lineRule="auto"/>
      <w:ind w:left="4252"/>
    </w:pPr>
  </w:style>
  <w:style w:type="character" w:customStyle="1" w:styleId="SignatureChar">
    <w:name w:val="Signature Char"/>
    <w:basedOn w:val="DefaultParagraphFont"/>
    <w:link w:val="Signature"/>
    <w:uiPriority w:val="99"/>
    <w:semiHidden/>
    <w:rsid w:val="00F66A91"/>
    <w:rPr>
      <w:kern w:val="18"/>
    </w:rPr>
  </w:style>
  <w:style w:type="character" w:styleId="SubtleEmphasis">
    <w:name w:val="Subtle Emphasis"/>
    <w:basedOn w:val="DefaultParagraphFont"/>
    <w:uiPriority w:val="19"/>
    <w:semiHidden/>
    <w:unhideWhenUsed/>
    <w:rsid w:val="004C255D"/>
    <w:rPr>
      <w:i/>
      <w:iCs/>
      <w:color w:val="808080" w:themeColor="text1" w:themeTint="7F"/>
    </w:rPr>
  </w:style>
  <w:style w:type="character" w:styleId="SubtleReference">
    <w:name w:val="Subtle Reference"/>
    <w:basedOn w:val="DefaultParagraphFont"/>
    <w:uiPriority w:val="31"/>
    <w:semiHidden/>
    <w:unhideWhenUsed/>
    <w:rsid w:val="004C255D"/>
    <w:rPr>
      <w:smallCaps/>
      <w:color w:val="84BD00" w:themeColor="accent2"/>
      <w:u w:val="single"/>
    </w:rPr>
  </w:style>
  <w:style w:type="paragraph" w:styleId="TableofAuthorities">
    <w:name w:val="table of authorities"/>
    <w:basedOn w:val="Normal"/>
    <w:next w:val="Normal"/>
    <w:uiPriority w:val="99"/>
    <w:semiHidden/>
    <w:unhideWhenUsed/>
    <w:rsid w:val="004C255D"/>
    <w:pPr>
      <w:tabs>
        <w:tab w:val="clear" w:pos="284"/>
      </w:tabs>
      <w:ind w:left="180" w:hanging="180"/>
    </w:pPr>
  </w:style>
  <w:style w:type="paragraph" w:styleId="TOAHeading">
    <w:name w:val="toa heading"/>
    <w:basedOn w:val="Normal"/>
    <w:next w:val="Normal"/>
    <w:uiPriority w:val="99"/>
    <w:semiHidden/>
    <w:unhideWhenUsed/>
    <w:rsid w:val="004C255D"/>
    <w:pPr>
      <w:spacing w:before="120"/>
    </w:pPr>
    <w:rPr>
      <w:rFonts w:asciiTheme="majorHAnsi" w:eastAsiaTheme="majorEastAsia" w:hAnsiTheme="majorHAnsi" w:cstheme="majorBidi"/>
      <w:b/>
      <w:bCs/>
      <w:sz w:val="24"/>
      <w:szCs w:val="24"/>
    </w:rPr>
  </w:style>
  <w:style w:type="paragraph" w:styleId="TOC4">
    <w:name w:val="toc 4"/>
    <w:basedOn w:val="Normal"/>
    <w:next w:val="Normal"/>
    <w:autoRedefine/>
    <w:uiPriority w:val="39"/>
    <w:unhideWhenUsed/>
    <w:rsid w:val="003964F2"/>
    <w:pPr>
      <w:tabs>
        <w:tab w:val="clear" w:pos="284"/>
      </w:tabs>
      <w:ind w:left="540"/>
    </w:pPr>
    <w:rPr>
      <w:rFonts w:cstheme="minorHAnsi"/>
      <w:sz w:val="20"/>
      <w:szCs w:val="20"/>
    </w:rPr>
  </w:style>
  <w:style w:type="paragraph" w:styleId="TOC5">
    <w:name w:val="toc 5"/>
    <w:basedOn w:val="Normal"/>
    <w:next w:val="Normal"/>
    <w:autoRedefine/>
    <w:uiPriority w:val="39"/>
    <w:unhideWhenUsed/>
    <w:rsid w:val="004C255D"/>
    <w:pPr>
      <w:tabs>
        <w:tab w:val="clear" w:pos="284"/>
      </w:tabs>
      <w:ind w:left="720"/>
    </w:pPr>
    <w:rPr>
      <w:rFonts w:cstheme="minorHAnsi"/>
      <w:sz w:val="20"/>
      <w:szCs w:val="20"/>
    </w:rPr>
  </w:style>
  <w:style w:type="paragraph" w:styleId="TOC6">
    <w:name w:val="toc 6"/>
    <w:basedOn w:val="Normal"/>
    <w:next w:val="Normal"/>
    <w:autoRedefine/>
    <w:uiPriority w:val="39"/>
    <w:unhideWhenUsed/>
    <w:rsid w:val="004C255D"/>
    <w:pPr>
      <w:tabs>
        <w:tab w:val="clear" w:pos="284"/>
      </w:tabs>
      <w:ind w:left="900"/>
    </w:pPr>
    <w:rPr>
      <w:rFonts w:cstheme="minorHAnsi"/>
      <w:sz w:val="20"/>
      <w:szCs w:val="20"/>
    </w:rPr>
  </w:style>
  <w:style w:type="paragraph" w:styleId="TOC7">
    <w:name w:val="toc 7"/>
    <w:basedOn w:val="Normal"/>
    <w:next w:val="Normal"/>
    <w:autoRedefine/>
    <w:uiPriority w:val="39"/>
    <w:unhideWhenUsed/>
    <w:rsid w:val="004C255D"/>
    <w:pPr>
      <w:tabs>
        <w:tab w:val="clear" w:pos="284"/>
      </w:tabs>
      <w:ind w:left="1080"/>
    </w:pPr>
    <w:rPr>
      <w:rFonts w:cstheme="minorHAnsi"/>
      <w:sz w:val="20"/>
      <w:szCs w:val="20"/>
    </w:rPr>
  </w:style>
  <w:style w:type="paragraph" w:styleId="TOC8">
    <w:name w:val="toc 8"/>
    <w:basedOn w:val="Normal"/>
    <w:next w:val="Normal"/>
    <w:autoRedefine/>
    <w:uiPriority w:val="39"/>
    <w:unhideWhenUsed/>
    <w:rsid w:val="004C255D"/>
    <w:pPr>
      <w:tabs>
        <w:tab w:val="clear" w:pos="284"/>
      </w:tabs>
      <w:ind w:left="1260"/>
    </w:pPr>
    <w:rPr>
      <w:rFonts w:cstheme="minorHAnsi"/>
      <w:sz w:val="20"/>
      <w:szCs w:val="20"/>
    </w:rPr>
  </w:style>
  <w:style w:type="paragraph" w:styleId="TOC9">
    <w:name w:val="toc 9"/>
    <w:basedOn w:val="Normal"/>
    <w:next w:val="Normal"/>
    <w:autoRedefine/>
    <w:uiPriority w:val="39"/>
    <w:unhideWhenUsed/>
    <w:rsid w:val="004C255D"/>
    <w:pPr>
      <w:tabs>
        <w:tab w:val="clear" w:pos="284"/>
      </w:tabs>
      <w:ind w:left="1440"/>
    </w:pPr>
    <w:rPr>
      <w:rFonts w:cstheme="minorHAnsi"/>
      <w:sz w:val="20"/>
      <w:szCs w:val="20"/>
    </w:rPr>
  </w:style>
  <w:style w:type="paragraph" w:customStyle="1" w:styleId="CVHeading">
    <w:name w:val="CV Heading"/>
    <w:basedOn w:val="BodyText"/>
    <w:uiPriority w:val="24"/>
    <w:qFormat/>
    <w:rsid w:val="004C255D"/>
    <w:rPr>
      <w:rFonts w:asciiTheme="majorHAnsi" w:hAnsiTheme="majorHAnsi"/>
      <w:b/>
      <w:sz w:val="24"/>
    </w:rPr>
  </w:style>
  <w:style w:type="paragraph" w:customStyle="1" w:styleId="CVIntroduction">
    <w:name w:val="CV Introduction"/>
    <w:basedOn w:val="BodyText"/>
    <w:uiPriority w:val="23"/>
    <w:qFormat/>
    <w:rsid w:val="004C255D"/>
    <w:pPr>
      <w:pBdr>
        <w:top w:val="single" w:sz="4" w:space="6" w:color="auto"/>
        <w:bottom w:val="single" w:sz="4" w:space="6" w:color="auto"/>
      </w:pBdr>
    </w:pPr>
    <w:rPr>
      <w:sz w:val="28"/>
    </w:rPr>
  </w:style>
  <w:style w:type="paragraph" w:customStyle="1" w:styleId="CVTitle">
    <w:name w:val="CV Title"/>
    <w:basedOn w:val="Normal"/>
    <w:uiPriority w:val="1"/>
    <w:semiHidden/>
    <w:unhideWhenUsed/>
    <w:rsid w:val="004C255D"/>
    <w:pPr>
      <w:tabs>
        <w:tab w:val="clear" w:pos="284"/>
      </w:tabs>
    </w:pPr>
    <w:rPr>
      <w:rFonts w:asciiTheme="majorHAnsi" w:hAnsiTheme="majorHAnsi"/>
      <w:color w:val="000000" w:themeColor="text1"/>
      <w:sz w:val="32"/>
    </w:rPr>
  </w:style>
  <w:style w:type="table" w:customStyle="1" w:styleId="Tablenoborders">
    <w:name w:val="Table no borders"/>
    <w:basedOn w:val="TableNormal"/>
    <w:uiPriority w:val="99"/>
    <w:semiHidden/>
    <w:unhideWhenUsed/>
    <w:rsid w:val="00C314D3"/>
    <w:tblPr>
      <w:tblCellMar>
        <w:left w:w="0" w:type="dxa"/>
        <w:right w:w="0" w:type="dxa"/>
      </w:tblCellMar>
    </w:tblPr>
  </w:style>
  <w:style w:type="numbering" w:customStyle="1" w:styleId="AECOMTableBullets">
    <w:name w:val="AECOM Table Bullets"/>
    <w:uiPriority w:val="99"/>
    <w:semiHidden/>
    <w:unhideWhenUsed/>
    <w:rsid w:val="002740A7"/>
    <w:pPr>
      <w:numPr>
        <w:numId w:val="16"/>
      </w:numPr>
    </w:pPr>
  </w:style>
  <w:style w:type="numbering" w:customStyle="1" w:styleId="AECOMTableNumbering">
    <w:name w:val="AECOM Table Numbering"/>
    <w:uiPriority w:val="99"/>
    <w:semiHidden/>
    <w:unhideWhenUsed/>
    <w:rsid w:val="002740A7"/>
    <w:pPr>
      <w:numPr>
        <w:numId w:val="17"/>
      </w:numPr>
    </w:pPr>
  </w:style>
  <w:style w:type="paragraph" w:customStyle="1" w:styleId="TableListBullet">
    <w:name w:val="Table List Bullet"/>
    <w:basedOn w:val="Normal"/>
    <w:uiPriority w:val="16"/>
    <w:qFormat/>
    <w:rsid w:val="002740A7"/>
    <w:pPr>
      <w:numPr>
        <w:numId w:val="19"/>
      </w:numPr>
      <w:tabs>
        <w:tab w:val="clear" w:pos="284"/>
      </w:tabs>
      <w:spacing w:after="40" w:line="240" w:lineRule="auto"/>
    </w:pPr>
    <w:rPr>
      <w:sz w:val="16"/>
    </w:rPr>
  </w:style>
  <w:style w:type="paragraph" w:customStyle="1" w:styleId="TableListBullet2">
    <w:name w:val="Table List Bullet 2"/>
    <w:basedOn w:val="Normal"/>
    <w:uiPriority w:val="17"/>
    <w:qFormat/>
    <w:rsid w:val="002740A7"/>
    <w:pPr>
      <w:numPr>
        <w:ilvl w:val="1"/>
        <w:numId w:val="19"/>
      </w:numPr>
      <w:tabs>
        <w:tab w:val="clear" w:pos="284"/>
      </w:tabs>
      <w:spacing w:after="40" w:line="240" w:lineRule="auto"/>
    </w:pPr>
    <w:rPr>
      <w:sz w:val="16"/>
    </w:rPr>
  </w:style>
  <w:style w:type="paragraph" w:customStyle="1" w:styleId="TableListBullet3">
    <w:name w:val="Table List Bullet 3"/>
    <w:basedOn w:val="Normal"/>
    <w:uiPriority w:val="18"/>
    <w:qFormat/>
    <w:rsid w:val="002740A7"/>
    <w:pPr>
      <w:numPr>
        <w:ilvl w:val="2"/>
        <w:numId w:val="19"/>
      </w:numPr>
      <w:tabs>
        <w:tab w:val="clear" w:pos="284"/>
      </w:tabs>
      <w:spacing w:after="40" w:line="240" w:lineRule="auto"/>
    </w:pPr>
    <w:rPr>
      <w:sz w:val="16"/>
    </w:rPr>
  </w:style>
  <w:style w:type="paragraph" w:customStyle="1" w:styleId="TableListNumber">
    <w:name w:val="Table List Number"/>
    <w:basedOn w:val="BodyText"/>
    <w:uiPriority w:val="19"/>
    <w:qFormat/>
    <w:rsid w:val="002740A7"/>
    <w:pPr>
      <w:numPr>
        <w:numId w:val="18"/>
      </w:numPr>
      <w:spacing w:after="40" w:line="240" w:lineRule="auto"/>
    </w:pPr>
    <w:rPr>
      <w:sz w:val="16"/>
    </w:rPr>
  </w:style>
  <w:style w:type="paragraph" w:customStyle="1" w:styleId="TableListNumber2">
    <w:name w:val="Table List Number 2"/>
    <w:basedOn w:val="Normal"/>
    <w:uiPriority w:val="20"/>
    <w:qFormat/>
    <w:rsid w:val="002740A7"/>
    <w:pPr>
      <w:numPr>
        <w:ilvl w:val="1"/>
        <w:numId w:val="18"/>
      </w:numPr>
      <w:tabs>
        <w:tab w:val="clear" w:pos="284"/>
      </w:tabs>
      <w:spacing w:after="40" w:line="240" w:lineRule="auto"/>
    </w:pPr>
    <w:rPr>
      <w:sz w:val="16"/>
    </w:rPr>
  </w:style>
  <w:style w:type="paragraph" w:customStyle="1" w:styleId="TableListNumber3">
    <w:name w:val="Table List Number 3"/>
    <w:basedOn w:val="Normal"/>
    <w:uiPriority w:val="21"/>
    <w:qFormat/>
    <w:rsid w:val="002740A7"/>
    <w:pPr>
      <w:numPr>
        <w:ilvl w:val="2"/>
        <w:numId w:val="18"/>
      </w:numPr>
      <w:tabs>
        <w:tab w:val="clear" w:pos="284"/>
      </w:tabs>
      <w:spacing w:after="40" w:line="240" w:lineRule="auto"/>
    </w:pPr>
    <w:rPr>
      <w:sz w:val="16"/>
    </w:rPr>
  </w:style>
  <w:style w:type="paragraph" w:customStyle="1" w:styleId="Tabletext">
    <w:name w:val="Table text"/>
    <w:basedOn w:val="BodyText"/>
    <w:uiPriority w:val="15"/>
    <w:qFormat/>
    <w:rsid w:val="00AA045B"/>
    <w:pPr>
      <w:spacing w:before="40" w:after="40" w:line="240" w:lineRule="auto"/>
    </w:pPr>
    <w:rPr>
      <w:sz w:val="16"/>
    </w:rPr>
  </w:style>
  <w:style w:type="paragraph" w:customStyle="1" w:styleId="Callout">
    <w:name w:val="Callout"/>
    <w:basedOn w:val="BodyText"/>
    <w:uiPriority w:val="1"/>
    <w:semiHidden/>
    <w:unhideWhenUsed/>
    <w:rsid w:val="00F352C7"/>
    <w:pPr>
      <w:spacing w:after="60"/>
    </w:pPr>
  </w:style>
  <w:style w:type="paragraph" w:customStyle="1" w:styleId="SQL">
    <w:name w:val="SQL"/>
    <w:uiPriority w:val="1"/>
    <w:semiHidden/>
    <w:unhideWhenUsed/>
    <w:rsid w:val="004D4675"/>
    <w:pPr>
      <w:spacing w:after="120" w:line="240" w:lineRule="atLeast"/>
    </w:pPr>
    <w:rPr>
      <w:sz w:val="16"/>
      <w:lang w:val="en-CA"/>
    </w:rPr>
  </w:style>
  <w:style w:type="table" w:customStyle="1" w:styleId="AECOMcolouredtable">
    <w:name w:val="AECOM coloured table"/>
    <w:basedOn w:val="TableNormal"/>
    <w:uiPriority w:val="99"/>
    <w:semiHidden/>
    <w:unhideWhenUsed/>
    <w:rsid w:val="00890ADA"/>
    <w:tblPr>
      <w:tblStyleRowBandSize w:val="1"/>
    </w:tblPr>
    <w:tblStylePr w:type="firstRow">
      <w:rPr>
        <w:b/>
        <w:color w:val="FFFFFF" w:themeColor="background1"/>
      </w:rPr>
      <w:tblPr/>
      <w:tcPr>
        <w:tcBorders>
          <w:bottom w:val="single" w:sz="12" w:space="0" w:color="FFFFFF" w:themeColor="background1"/>
          <w:insideV w:val="single" w:sz="4" w:space="0" w:color="FFFFFF" w:themeColor="background1"/>
        </w:tcBorders>
        <w:shd w:val="clear" w:color="auto" w:fill="00B5E2" w:themeFill="accent1"/>
      </w:tcPr>
    </w:tblStylePr>
    <w:tblStylePr w:type="firstCol">
      <w:rPr>
        <w:b/>
        <w:color w:val="FFFFFF" w:themeColor="background1"/>
      </w:rPr>
      <w:tblPr/>
      <w:tcPr>
        <w:tcBorders>
          <w:right w:val="single" w:sz="12" w:space="0" w:color="FFFFFF" w:themeColor="background1"/>
        </w:tcBorders>
        <w:shd w:val="clear" w:color="auto" w:fill="00B5E2" w:themeFill="accent1"/>
      </w:tcPr>
    </w:tblStylePr>
    <w:tblStylePr w:type="band1Horz">
      <w:tblPr/>
      <w:tcPr>
        <w:shd w:val="clear" w:color="auto" w:fill="C6F3FF" w:themeFill="accent1" w:themeFillTint="33"/>
      </w:tcPr>
    </w:tblStylePr>
    <w:tblStylePr w:type="band2Horz">
      <w:tblPr/>
      <w:tcPr>
        <w:shd w:val="clear" w:color="auto" w:fill="8DE8FF" w:themeFill="accent1" w:themeFillTint="66"/>
      </w:tcPr>
    </w:tblStylePr>
  </w:style>
  <w:style w:type="paragraph" w:customStyle="1" w:styleId="Appendixheading2">
    <w:name w:val="Appendix heading 2"/>
    <w:basedOn w:val="Heading2"/>
    <w:uiPriority w:val="8"/>
    <w:qFormat/>
    <w:rsid w:val="003934D8"/>
    <w:pPr>
      <w:ind w:left="851" w:hanging="851"/>
    </w:pPr>
    <w:rPr>
      <w:rFonts w:cstheme="majorHAnsi"/>
      <w:szCs w:val="36"/>
    </w:rPr>
  </w:style>
  <w:style w:type="paragraph" w:customStyle="1" w:styleId="Numberedtext">
    <w:name w:val="Numbered text"/>
    <w:basedOn w:val="BodyText"/>
    <w:uiPriority w:val="2"/>
    <w:qFormat/>
    <w:rsid w:val="00B908E0"/>
    <w:pPr>
      <w:numPr>
        <w:ilvl w:val="1"/>
        <w:numId w:val="9"/>
      </w:numPr>
    </w:pPr>
    <w:rPr>
      <w:b/>
      <w:color w:val="00B5E2" w:themeColor="accent1"/>
      <w:sz w:val="24"/>
    </w:rPr>
  </w:style>
  <w:style w:type="table" w:customStyle="1" w:styleId="CompassTable">
    <w:name w:val="Compass Table"/>
    <w:basedOn w:val="TableGrid"/>
    <w:uiPriority w:val="99"/>
    <w:rsid w:val="0048315A"/>
    <w:rPr>
      <w:sz w:val="22"/>
      <w:szCs w:val="22"/>
      <w:lang w:val="en-US"/>
    </w:rPr>
    <w:tblPr>
      <w:tblStyleRowBandSize w:val="1"/>
      <w:tblBorders>
        <w:top w:val="single" w:sz="4" w:space="0" w:color="3379BD"/>
        <w:left w:val="single" w:sz="4" w:space="0" w:color="3379BD"/>
        <w:bottom w:val="single" w:sz="4" w:space="0" w:color="3379BD"/>
        <w:right w:val="single" w:sz="4" w:space="0" w:color="3379BD"/>
        <w:insideH w:val="single" w:sz="4" w:space="0" w:color="3379BD"/>
        <w:insideV w:val="single" w:sz="4" w:space="0" w:color="3379BD"/>
      </w:tblBorders>
      <w:tblCellMar>
        <w:top w:w="0" w:type="dxa"/>
        <w:left w:w="108" w:type="dxa"/>
        <w:bottom w:w="0" w:type="dxa"/>
        <w:right w:w="108" w:type="dxa"/>
      </w:tblCellMar>
    </w:tblPr>
    <w:tcPr>
      <w:vAlign w:val="center"/>
    </w:tcPr>
    <w:tblStylePr w:type="firstRow">
      <w:rPr>
        <w:rFonts w:ascii="Calibri" w:hAnsi="Calibri"/>
        <w:b/>
        <w:color w:val="FFFFFF"/>
        <w:sz w:val="22"/>
      </w:rPr>
      <w:tblPr/>
      <w:trPr>
        <w:cantSplit/>
        <w:tblHeader/>
      </w:trPr>
      <w:tcPr>
        <w:shd w:val="clear" w:color="auto" w:fill="233972"/>
      </w:tcPr>
    </w:tblStylePr>
    <w:tblStylePr w:type="lastRow">
      <w:rPr>
        <w:rFonts w:ascii="Calibri" w:hAnsi="Calibri"/>
        <w:color w:val="000000"/>
        <w:sz w:val="20"/>
      </w:rPr>
    </w:tblStylePr>
    <w:tblStylePr w:type="band1Horz">
      <w:rPr>
        <w:rFonts w:ascii="Calibri" w:hAnsi="Calibri"/>
        <w:color w:val="000000"/>
        <w:sz w:val="20"/>
      </w:rPr>
      <w:tblPr/>
      <w:tcPr>
        <w:tcBorders>
          <w:top w:val="single" w:sz="4" w:space="0" w:color="3379BD"/>
          <w:left w:val="single" w:sz="4" w:space="0" w:color="3379BD"/>
          <w:bottom w:val="single" w:sz="4" w:space="0" w:color="3379BD"/>
          <w:right w:val="single" w:sz="4" w:space="0" w:color="3379BD"/>
          <w:insideH w:val="single" w:sz="4" w:space="0" w:color="3379BD"/>
          <w:insideV w:val="single" w:sz="4" w:space="0" w:color="3379BD"/>
        </w:tcBorders>
        <w:shd w:val="clear" w:color="auto" w:fill="DFE3E5"/>
      </w:tcPr>
    </w:tblStylePr>
    <w:tblStylePr w:type="band2Horz">
      <w:rPr>
        <w:rFonts w:ascii="Calibri" w:hAnsi="Calibri"/>
        <w:color w:val="000000"/>
        <w:sz w:val="20"/>
      </w:rPr>
    </w:tblStylePr>
  </w:style>
  <w:style w:type="table" w:customStyle="1" w:styleId="CompassTable1">
    <w:name w:val="Compass Table1"/>
    <w:basedOn w:val="TableGrid"/>
    <w:uiPriority w:val="99"/>
    <w:rsid w:val="0048315A"/>
    <w:rPr>
      <w:sz w:val="22"/>
      <w:szCs w:val="22"/>
      <w:lang w:val="en-US"/>
    </w:rPr>
    <w:tblPr>
      <w:tblStyleRowBandSize w:val="1"/>
      <w:tblBorders>
        <w:top w:val="single" w:sz="4" w:space="0" w:color="3379BD"/>
        <w:left w:val="single" w:sz="4" w:space="0" w:color="3379BD"/>
        <w:bottom w:val="single" w:sz="4" w:space="0" w:color="3379BD"/>
        <w:right w:val="single" w:sz="4" w:space="0" w:color="3379BD"/>
        <w:insideH w:val="single" w:sz="4" w:space="0" w:color="3379BD"/>
        <w:insideV w:val="single" w:sz="4" w:space="0" w:color="3379BD"/>
      </w:tblBorders>
      <w:tblCellMar>
        <w:top w:w="0" w:type="dxa"/>
        <w:left w:w="108" w:type="dxa"/>
        <w:bottom w:w="0" w:type="dxa"/>
        <w:right w:w="108" w:type="dxa"/>
      </w:tblCellMar>
    </w:tblPr>
    <w:tcPr>
      <w:vAlign w:val="center"/>
    </w:tcPr>
    <w:tblStylePr w:type="firstRow">
      <w:rPr>
        <w:rFonts w:ascii="Calibri" w:hAnsi="Calibri"/>
        <w:b/>
        <w:color w:val="FFFFFF"/>
        <w:sz w:val="22"/>
      </w:rPr>
      <w:tblPr/>
      <w:trPr>
        <w:cantSplit/>
        <w:tblHeader/>
      </w:trPr>
      <w:tcPr>
        <w:shd w:val="clear" w:color="auto" w:fill="233972"/>
      </w:tcPr>
    </w:tblStylePr>
    <w:tblStylePr w:type="lastRow">
      <w:rPr>
        <w:rFonts w:ascii="Calibri" w:hAnsi="Calibri"/>
        <w:color w:val="000000"/>
        <w:sz w:val="20"/>
      </w:rPr>
    </w:tblStylePr>
    <w:tblStylePr w:type="band1Horz">
      <w:rPr>
        <w:rFonts w:ascii="Calibri" w:hAnsi="Calibri"/>
        <w:color w:val="000000"/>
        <w:sz w:val="20"/>
      </w:rPr>
      <w:tblPr/>
      <w:tcPr>
        <w:tcBorders>
          <w:top w:val="single" w:sz="4" w:space="0" w:color="3379BD"/>
          <w:left w:val="single" w:sz="4" w:space="0" w:color="3379BD"/>
          <w:bottom w:val="single" w:sz="4" w:space="0" w:color="3379BD"/>
          <w:right w:val="single" w:sz="4" w:space="0" w:color="3379BD"/>
          <w:insideH w:val="single" w:sz="4" w:space="0" w:color="3379BD"/>
          <w:insideV w:val="single" w:sz="4" w:space="0" w:color="3379BD"/>
        </w:tcBorders>
        <w:shd w:val="clear" w:color="auto" w:fill="DFE3E5"/>
      </w:tcPr>
    </w:tblStylePr>
    <w:tblStylePr w:type="band2Horz">
      <w:rPr>
        <w:rFonts w:ascii="Calibri" w:hAnsi="Calibri"/>
        <w:color w:val="000000"/>
        <w:sz w:val="20"/>
      </w:rPr>
    </w:tblStylePr>
  </w:style>
  <w:style w:type="paragraph" w:customStyle="1" w:styleId="2Body-Text">
    <w:name w:val="2 Body-Text"/>
    <w:basedOn w:val="Normal"/>
    <w:link w:val="2Body-TextChar"/>
    <w:qFormat/>
    <w:rsid w:val="00161A02"/>
    <w:pPr>
      <w:tabs>
        <w:tab w:val="clear" w:pos="284"/>
      </w:tabs>
      <w:spacing w:before="120" w:after="120" w:line="240" w:lineRule="auto"/>
    </w:pPr>
    <w:rPr>
      <w:rFonts w:eastAsia="Times New Roman"/>
      <w:kern w:val="0"/>
      <w:sz w:val="22"/>
      <w:szCs w:val="26"/>
    </w:rPr>
  </w:style>
  <w:style w:type="character" w:customStyle="1" w:styleId="2Body-TextChar">
    <w:name w:val="2 Body-Text Char"/>
    <w:basedOn w:val="DefaultParagraphFont"/>
    <w:link w:val="2Body-Text"/>
    <w:rsid w:val="00161A02"/>
    <w:rPr>
      <w:rFonts w:eastAsia="Times New Roman"/>
      <w:sz w:val="22"/>
      <w:szCs w:val="26"/>
      <w:lang w:val="en-US"/>
    </w:rPr>
  </w:style>
  <w:style w:type="table" w:customStyle="1" w:styleId="CompassTable2">
    <w:name w:val="Compass Table2"/>
    <w:basedOn w:val="TableGrid"/>
    <w:uiPriority w:val="99"/>
    <w:rsid w:val="00161A02"/>
    <w:rPr>
      <w:sz w:val="22"/>
      <w:szCs w:val="22"/>
      <w:lang w:val="en-US"/>
    </w:rPr>
    <w:tblPr>
      <w:tblStyleRowBandSize w:val="1"/>
      <w:tblBorders>
        <w:top w:val="single" w:sz="4" w:space="0" w:color="3379BD"/>
        <w:left w:val="single" w:sz="4" w:space="0" w:color="3379BD"/>
        <w:bottom w:val="single" w:sz="4" w:space="0" w:color="3379BD"/>
        <w:right w:val="single" w:sz="4" w:space="0" w:color="3379BD"/>
        <w:insideH w:val="single" w:sz="4" w:space="0" w:color="3379BD"/>
        <w:insideV w:val="single" w:sz="4" w:space="0" w:color="3379BD"/>
      </w:tblBorders>
      <w:tblCellMar>
        <w:top w:w="0" w:type="dxa"/>
        <w:left w:w="108" w:type="dxa"/>
        <w:bottom w:w="0" w:type="dxa"/>
        <w:right w:w="108" w:type="dxa"/>
      </w:tblCellMar>
    </w:tblPr>
    <w:tcPr>
      <w:vAlign w:val="center"/>
    </w:tcPr>
    <w:tblStylePr w:type="firstRow">
      <w:rPr>
        <w:rFonts w:ascii="Calibri" w:hAnsi="Calibri"/>
        <w:b/>
        <w:color w:val="FFFFFF"/>
        <w:sz w:val="22"/>
      </w:rPr>
      <w:tblPr/>
      <w:trPr>
        <w:cantSplit/>
        <w:tblHeader/>
      </w:trPr>
      <w:tcPr>
        <w:shd w:val="clear" w:color="auto" w:fill="233972"/>
      </w:tcPr>
    </w:tblStylePr>
    <w:tblStylePr w:type="lastRow">
      <w:rPr>
        <w:rFonts w:ascii="Calibri" w:hAnsi="Calibri"/>
        <w:color w:val="000000"/>
        <w:sz w:val="20"/>
      </w:rPr>
    </w:tblStylePr>
    <w:tblStylePr w:type="band1Horz">
      <w:rPr>
        <w:rFonts w:ascii="Calibri" w:hAnsi="Calibri"/>
        <w:color w:val="000000"/>
        <w:sz w:val="20"/>
      </w:rPr>
      <w:tblPr/>
      <w:tcPr>
        <w:tcBorders>
          <w:top w:val="single" w:sz="4" w:space="0" w:color="3379BD"/>
          <w:left w:val="single" w:sz="4" w:space="0" w:color="3379BD"/>
          <w:bottom w:val="single" w:sz="4" w:space="0" w:color="3379BD"/>
          <w:right w:val="single" w:sz="4" w:space="0" w:color="3379BD"/>
          <w:insideH w:val="single" w:sz="4" w:space="0" w:color="3379BD"/>
          <w:insideV w:val="single" w:sz="4" w:space="0" w:color="3379BD"/>
        </w:tcBorders>
        <w:shd w:val="clear" w:color="auto" w:fill="DFE3E5"/>
      </w:tcPr>
    </w:tblStylePr>
    <w:tblStylePr w:type="band2Horz">
      <w:rPr>
        <w:rFonts w:ascii="Calibri" w:hAnsi="Calibri"/>
        <w:color w:val="000000"/>
        <w:sz w:val="20"/>
      </w:rPr>
    </w:tblStylePr>
  </w:style>
  <w:style w:type="table" w:customStyle="1" w:styleId="CompassTable3">
    <w:name w:val="Compass Table3"/>
    <w:basedOn w:val="TableGrid"/>
    <w:uiPriority w:val="99"/>
    <w:rsid w:val="00161A02"/>
    <w:rPr>
      <w:sz w:val="22"/>
      <w:szCs w:val="22"/>
      <w:lang w:val="en-US"/>
    </w:rPr>
    <w:tblPr>
      <w:tblStyleRowBandSize w:val="1"/>
      <w:tblBorders>
        <w:top w:val="single" w:sz="4" w:space="0" w:color="3379BD"/>
        <w:left w:val="single" w:sz="4" w:space="0" w:color="3379BD"/>
        <w:bottom w:val="single" w:sz="4" w:space="0" w:color="3379BD"/>
        <w:right w:val="single" w:sz="4" w:space="0" w:color="3379BD"/>
        <w:insideH w:val="single" w:sz="4" w:space="0" w:color="3379BD"/>
        <w:insideV w:val="single" w:sz="4" w:space="0" w:color="3379BD"/>
      </w:tblBorders>
      <w:tblCellMar>
        <w:top w:w="0" w:type="dxa"/>
        <w:left w:w="108" w:type="dxa"/>
        <w:bottom w:w="0" w:type="dxa"/>
        <w:right w:w="108" w:type="dxa"/>
      </w:tblCellMar>
    </w:tblPr>
    <w:tcPr>
      <w:vAlign w:val="center"/>
    </w:tcPr>
    <w:tblStylePr w:type="firstRow">
      <w:rPr>
        <w:rFonts w:ascii="Calibri" w:hAnsi="Calibri"/>
        <w:b/>
        <w:color w:val="FFFFFF"/>
        <w:sz w:val="22"/>
      </w:rPr>
      <w:tblPr/>
      <w:trPr>
        <w:cantSplit/>
        <w:tblHeader/>
      </w:trPr>
      <w:tcPr>
        <w:shd w:val="clear" w:color="auto" w:fill="233972"/>
      </w:tcPr>
    </w:tblStylePr>
    <w:tblStylePr w:type="lastRow">
      <w:rPr>
        <w:rFonts w:ascii="Calibri" w:hAnsi="Calibri"/>
        <w:color w:val="000000"/>
        <w:sz w:val="20"/>
      </w:rPr>
    </w:tblStylePr>
    <w:tblStylePr w:type="band1Horz">
      <w:rPr>
        <w:rFonts w:ascii="Calibri" w:hAnsi="Calibri"/>
        <w:color w:val="000000"/>
        <w:sz w:val="20"/>
      </w:rPr>
      <w:tblPr/>
      <w:tcPr>
        <w:tcBorders>
          <w:top w:val="single" w:sz="4" w:space="0" w:color="3379BD"/>
          <w:left w:val="single" w:sz="4" w:space="0" w:color="3379BD"/>
          <w:bottom w:val="single" w:sz="4" w:space="0" w:color="3379BD"/>
          <w:right w:val="single" w:sz="4" w:space="0" w:color="3379BD"/>
          <w:insideH w:val="single" w:sz="4" w:space="0" w:color="3379BD"/>
          <w:insideV w:val="single" w:sz="4" w:space="0" w:color="3379BD"/>
        </w:tcBorders>
        <w:shd w:val="clear" w:color="auto" w:fill="DFE3E5"/>
      </w:tcPr>
    </w:tblStylePr>
    <w:tblStylePr w:type="band2Horz">
      <w:rPr>
        <w:rFonts w:ascii="Calibri" w:hAnsi="Calibri"/>
        <w:color w:val="000000"/>
        <w:sz w:val="20"/>
      </w:rPr>
    </w:tblStylePr>
  </w:style>
  <w:style w:type="table" w:customStyle="1" w:styleId="CompassTable4">
    <w:name w:val="Compass Table4"/>
    <w:basedOn w:val="TableGrid"/>
    <w:uiPriority w:val="99"/>
    <w:rsid w:val="00A315D3"/>
    <w:rPr>
      <w:sz w:val="22"/>
      <w:szCs w:val="22"/>
      <w:lang w:val="en-US"/>
    </w:rPr>
    <w:tblPr>
      <w:tblStyleRowBandSize w:val="1"/>
      <w:tblBorders>
        <w:top w:val="single" w:sz="4" w:space="0" w:color="3379BD"/>
        <w:left w:val="single" w:sz="4" w:space="0" w:color="3379BD"/>
        <w:bottom w:val="single" w:sz="4" w:space="0" w:color="3379BD"/>
        <w:right w:val="single" w:sz="4" w:space="0" w:color="3379BD"/>
        <w:insideH w:val="single" w:sz="4" w:space="0" w:color="3379BD"/>
        <w:insideV w:val="single" w:sz="4" w:space="0" w:color="3379BD"/>
      </w:tblBorders>
      <w:tblCellMar>
        <w:top w:w="0" w:type="dxa"/>
        <w:left w:w="108" w:type="dxa"/>
        <w:bottom w:w="0" w:type="dxa"/>
        <w:right w:w="108" w:type="dxa"/>
      </w:tblCellMar>
    </w:tblPr>
    <w:tcPr>
      <w:vAlign w:val="center"/>
    </w:tcPr>
    <w:tblStylePr w:type="firstRow">
      <w:rPr>
        <w:rFonts w:ascii="Calibri" w:hAnsi="Calibri"/>
        <w:b/>
        <w:color w:val="FFFFFF"/>
        <w:sz w:val="22"/>
      </w:rPr>
      <w:tblPr/>
      <w:trPr>
        <w:cantSplit/>
        <w:tblHeader/>
      </w:trPr>
      <w:tcPr>
        <w:shd w:val="clear" w:color="auto" w:fill="233972"/>
      </w:tcPr>
    </w:tblStylePr>
    <w:tblStylePr w:type="lastRow">
      <w:rPr>
        <w:rFonts w:ascii="Calibri" w:hAnsi="Calibri"/>
        <w:color w:val="000000"/>
        <w:sz w:val="20"/>
      </w:rPr>
    </w:tblStylePr>
    <w:tblStylePr w:type="band1Horz">
      <w:rPr>
        <w:rFonts w:ascii="Calibri" w:hAnsi="Calibri"/>
        <w:color w:val="000000"/>
        <w:sz w:val="20"/>
      </w:rPr>
      <w:tblPr/>
      <w:tcPr>
        <w:tcBorders>
          <w:top w:val="single" w:sz="4" w:space="0" w:color="3379BD"/>
          <w:left w:val="single" w:sz="4" w:space="0" w:color="3379BD"/>
          <w:bottom w:val="single" w:sz="4" w:space="0" w:color="3379BD"/>
          <w:right w:val="single" w:sz="4" w:space="0" w:color="3379BD"/>
          <w:insideH w:val="single" w:sz="4" w:space="0" w:color="3379BD"/>
          <w:insideV w:val="single" w:sz="4" w:space="0" w:color="3379BD"/>
        </w:tcBorders>
        <w:shd w:val="clear" w:color="auto" w:fill="DFE3E5"/>
      </w:tcPr>
    </w:tblStylePr>
    <w:tblStylePr w:type="band2Horz">
      <w:rPr>
        <w:rFonts w:ascii="Calibri" w:hAnsi="Calibri"/>
        <w:color w:val="000000"/>
        <w:sz w:val="20"/>
      </w:rPr>
    </w:tblStylePr>
  </w:style>
  <w:style w:type="table" w:customStyle="1" w:styleId="CompassTable5">
    <w:name w:val="Compass Table5"/>
    <w:basedOn w:val="TableGrid"/>
    <w:uiPriority w:val="99"/>
    <w:rsid w:val="00A315D3"/>
    <w:rPr>
      <w:sz w:val="22"/>
      <w:szCs w:val="22"/>
      <w:lang w:val="en-US"/>
    </w:rPr>
    <w:tblPr>
      <w:tblStyleRowBandSize w:val="1"/>
      <w:tblBorders>
        <w:top w:val="single" w:sz="4" w:space="0" w:color="3379BD"/>
        <w:left w:val="single" w:sz="4" w:space="0" w:color="3379BD"/>
        <w:bottom w:val="single" w:sz="4" w:space="0" w:color="3379BD"/>
        <w:right w:val="single" w:sz="4" w:space="0" w:color="3379BD"/>
        <w:insideH w:val="single" w:sz="4" w:space="0" w:color="3379BD"/>
        <w:insideV w:val="single" w:sz="4" w:space="0" w:color="3379BD"/>
      </w:tblBorders>
      <w:tblCellMar>
        <w:top w:w="0" w:type="dxa"/>
        <w:left w:w="108" w:type="dxa"/>
        <w:bottom w:w="0" w:type="dxa"/>
        <w:right w:w="108" w:type="dxa"/>
      </w:tblCellMar>
    </w:tblPr>
    <w:tcPr>
      <w:vAlign w:val="center"/>
    </w:tcPr>
    <w:tblStylePr w:type="firstRow">
      <w:rPr>
        <w:rFonts w:ascii="Calibri" w:hAnsi="Calibri"/>
        <w:b/>
        <w:color w:val="FFFFFF"/>
        <w:sz w:val="22"/>
      </w:rPr>
      <w:tblPr/>
      <w:trPr>
        <w:cantSplit/>
        <w:tblHeader/>
      </w:trPr>
      <w:tcPr>
        <w:shd w:val="clear" w:color="auto" w:fill="233972"/>
      </w:tcPr>
    </w:tblStylePr>
    <w:tblStylePr w:type="lastRow">
      <w:rPr>
        <w:rFonts w:ascii="Calibri" w:hAnsi="Calibri"/>
        <w:color w:val="000000"/>
        <w:sz w:val="20"/>
      </w:rPr>
    </w:tblStylePr>
    <w:tblStylePr w:type="band1Horz">
      <w:rPr>
        <w:rFonts w:ascii="Calibri" w:hAnsi="Calibri"/>
        <w:color w:val="000000"/>
        <w:sz w:val="20"/>
      </w:rPr>
      <w:tblPr/>
      <w:tcPr>
        <w:tcBorders>
          <w:top w:val="single" w:sz="4" w:space="0" w:color="3379BD"/>
          <w:left w:val="single" w:sz="4" w:space="0" w:color="3379BD"/>
          <w:bottom w:val="single" w:sz="4" w:space="0" w:color="3379BD"/>
          <w:right w:val="single" w:sz="4" w:space="0" w:color="3379BD"/>
          <w:insideH w:val="single" w:sz="4" w:space="0" w:color="3379BD"/>
          <w:insideV w:val="single" w:sz="4" w:space="0" w:color="3379BD"/>
        </w:tcBorders>
        <w:shd w:val="clear" w:color="auto" w:fill="DFE3E5"/>
      </w:tcPr>
    </w:tblStylePr>
    <w:tblStylePr w:type="band2Horz">
      <w:rPr>
        <w:rFonts w:ascii="Calibri" w:hAnsi="Calibri"/>
        <w:color w:val="000000"/>
        <w:sz w:val="20"/>
      </w:rPr>
    </w:tblStylePr>
  </w:style>
  <w:style w:type="paragraph" w:styleId="Revision">
    <w:name w:val="Revision"/>
    <w:hidden/>
    <w:uiPriority w:val="99"/>
    <w:semiHidden/>
    <w:rsid w:val="00E54194"/>
    <w:rPr>
      <w:kern w:val="18"/>
      <w:lang w:val="en-US"/>
    </w:rPr>
  </w:style>
  <w:style w:type="paragraph" w:customStyle="1" w:styleId="3TableText">
    <w:name w:val="3 Table Text"/>
    <w:basedOn w:val="Normal"/>
    <w:rsid w:val="005269D3"/>
    <w:pPr>
      <w:tabs>
        <w:tab w:val="clear" w:pos="284"/>
      </w:tabs>
      <w:spacing w:before="20" w:after="20" w:line="240" w:lineRule="auto"/>
    </w:pPr>
    <w:rPr>
      <w:rFonts w:eastAsia="Times New Roman"/>
      <w:kern w:val="0"/>
      <w:sz w:val="20"/>
      <w:szCs w:val="24"/>
    </w:rPr>
  </w:style>
  <w:style w:type="paragraph" w:customStyle="1" w:styleId="3TableHeading">
    <w:name w:val="3 Table Heading"/>
    <w:basedOn w:val="3TableText"/>
    <w:rsid w:val="005269D3"/>
    <w:pPr>
      <w:spacing w:before="60" w:after="60"/>
      <w:jc w:val="center"/>
    </w:pPr>
    <w:rPr>
      <w:b/>
      <w:color w:val="FFFFFF"/>
    </w:rPr>
  </w:style>
  <w:style w:type="table" w:customStyle="1" w:styleId="FEMATable">
    <w:name w:val="FEMA Table"/>
    <w:basedOn w:val="TableNormal"/>
    <w:uiPriority w:val="99"/>
    <w:rsid w:val="0023430C"/>
    <w:rPr>
      <w:sz w:val="20"/>
      <w:szCs w:val="22"/>
      <w:lang w:val="en-US"/>
    </w:rPr>
    <w:tblPr>
      <w:tblStyleRowBandSize w:val="1"/>
      <w:tblBorders>
        <w:top w:val="single" w:sz="4" w:space="0" w:color="3381BD"/>
        <w:left w:val="single" w:sz="4" w:space="0" w:color="3381BD"/>
        <w:bottom w:val="single" w:sz="4" w:space="0" w:color="3381BD"/>
        <w:right w:val="single" w:sz="4" w:space="0" w:color="3381BD"/>
        <w:insideH w:val="single" w:sz="4" w:space="0" w:color="3381BD"/>
        <w:insideV w:val="single" w:sz="4" w:space="0" w:color="3381BD"/>
      </w:tblBorders>
    </w:tblPr>
    <w:tcPr>
      <w:shd w:val="clear" w:color="auto" w:fill="auto"/>
    </w:tcPr>
    <w:tblStylePr w:type="firstRow">
      <w:pPr>
        <w:jc w:val="center"/>
      </w:pPr>
      <w:rPr>
        <w:rFonts w:ascii="Calibri" w:hAnsi="Calibri"/>
        <w:b/>
        <w:sz w:val="20"/>
      </w:rPr>
      <w:tblPr/>
      <w:tcPr>
        <w:shd w:val="clear" w:color="auto" w:fill="233972"/>
        <w:vAlign w:val="bottom"/>
      </w:tcPr>
    </w:tblStylePr>
    <w:tblStylePr w:type="band1Horz">
      <w:tblPr/>
      <w:tcPr>
        <w:shd w:val="clear" w:color="auto" w:fill="E9F2F9"/>
      </w:tcPr>
    </w:tblStylePr>
  </w:style>
  <w:style w:type="paragraph" w:customStyle="1" w:styleId="3TextBoxBullets">
    <w:name w:val="3 TextBox Bullets"/>
    <w:basedOn w:val="Normal"/>
    <w:rsid w:val="006B4EA6"/>
    <w:pPr>
      <w:numPr>
        <w:numId w:val="29"/>
      </w:numPr>
      <w:tabs>
        <w:tab w:val="clear" w:pos="284"/>
        <w:tab w:val="left" w:pos="216"/>
      </w:tabs>
      <w:spacing w:after="100" w:line="240" w:lineRule="auto"/>
      <w:ind w:left="216" w:hanging="216"/>
      <w:contextualSpacing/>
    </w:pPr>
    <w:rPr>
      <w:rFonts w:eastAsia="Times New Roman"/>
      <w:kern w:val="0"/>
      <w:sz w:val="20"/>
      <w:szCs w:val="24"/>
    </w:rPr>
  </w:style>
  <w:style w:type="character" w:customStyle="1" w:styleId="UnresolvedMention1">
    <w:name w:val="Unresolved Mention1"/>
    <w:basedOn w:val="DefaultParagraphFont"/>
    <w:uiPriority w:val="99"/>
    <w:semiHidden/>
    <w:unhideWhenUsed/>
    <w:rsid w:val="000E392F"/>
    <w:rPr>
      <w:color w:val="605E5C"/>
      <w:shd w:val="clear" w:color="auto" w:fill="E1DFDD"/>
    </w:rPr>
  </w:style>
  <w:style w:type="paragraph" w:customStyle="1" w:styleId="2SubheadingLevel2">
    <w:name w:val="2 Subheading Level 2"/>
    <w:basedOn w:val="Normal"/>
    <w:next w:val="2Body-Text"/>
    <w:qFormat/>
    <w:rsid w:val="00901BD9"/>
    <w:pPr>
      <w:tabs>
        <w:tab w:val="clear" w:pos="284"/>
      </w:tabs>
      <w:spacing w:before="200" w:after="200" w:line="240" w:lineRule="auto"/>
    </w:pPr>
    <w:rPr>
      <w:rFonts w:asciiTheme="majorHAnsi" w:eastAsia="Times New Roman" w:hAnsiTheme="majorHAnsi" w:cs="Times New Roman"/>
      <w:b/>
      <w:caps/>
      <w:color w:val="F68B1F" w:themeColor="accent3"/>
      <w:kern w:val="0"/>
      <w:sz w:val="22"/>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4885256">
      <w:bodyDiv w:val="1"/>
      <w:marLeft w:val="0"/>
      <w:marRight w:val="0"/>
      <w:marTop w:val="0"/>
      <w:marBottom w:val="0"/>
      <w:divBdr>
        <w:top w:val="none" w:sz="0" w:space="0" w:color="auto"/>
        <w:left w:val="none" w:sz="0" w:space="0" w:color="auto"/>
        <w:bottom w:val="none" w:sz="0" w:space="0" w:color="auto"/>
        <w:right w:val="none" w:sz="0" w:space="0" w:color="auto"/>
      </w:divBdr>
    </w:div>
    <w:div w:id="135538723">
      <w:bodyDiv w:val="1"/>
      <w:marLeft w:val="0"/>
      <w:marRight w:val="0"/>
      <w:marTop w:val="0"/>
      <w:marBottom w:val="0"/>
      <w:divBdr>
        <w:top w:val="none" w:sz="0" w:space="0" w:color="auto"/>
        <w:left w:val="none" w:sz="0" w:space="0" w:color="auto"/>
        <w:bottom w:val="none" w:sz="0" w:space="0" w:color="auto"/>
        <w:right w:val="none" w:sz="0" w:space="0" w:color="auto"/>
      </w:divBdr>
    </w:div>
    <w:div w:id="153760681">
      <w:bodyDiv w:val="1"/>
      <w:marLeft w:val="0"/>
      <w:marRight w:val="0"/>
      <w:marTop w:val="0"/>
      <w:marBottom w:val="0"/>
      <w:divBdr>
        <w:top w:val="none" w:sz="0" w:space="0" w:color="auto"/>
        <w:left w:val="none" w:sz="0" w:space="0" w:color="auto"/>
        <w:bottom w:val="none" w:sz="0" w:space="0" w:color="auto"/>
        <w:right w:val="none" w:sz="0" w:space="0" w:color="auto"/>
      </w:divBdr>
    </w:div>
    <w:div w:id="338823284">
      <w:bodyDiv w:val="1"/>
      <w:marLeft w:val="0"/>
      <w:marRight w:val="0"/>
      <w:marTop w:val="0"/>
      <w:marBottom w:val="0"/>
      <w:divBdr>
        <w:top w:val="none" w:sz="0" w:space="0" w:color="auto"/>
        <w:left w:val="none" w:sz="0" w:space="0" w:color="auto"/>
        <w:bottom w:val="none" w:sz="0" w:space="0" w:color="auto"/>
        <w:right w:val="none" w:sz="0" w:space="0" w:color="auto"/>
      </w:divBdr>
    </w:div>
    <w:div w:id="363217527">
      <w:bodyDiv w:val="1"/>
      <w:marLeft w:val="0"/>
      <w:marRight w:val="0"/>
      <w:marTop w:val="0"/>
      <w:marBottom w:val="0"/>
      <w:divBdr>
        <w:top w:val="none" w:sz="0" w:space="0" w:color="auto"/>
        <w:left w:val="none" w:sz="0" w:space="0" w:color="auto"/>
        <w:bottom w:val="none" w:sz="0" w:space="0" w:color="auto"/>
        <w:right w:val="none" w:sz="0" w:space="0" w:color="auto"/>
      </w:divBdr>
    </w:div>
    <w:div w:id="657415397">
      <w:bodyDiv w:val="1"/>
      <w:marLeft w:val="0"/>
      <w:marRight w:val="0"/>
      <w:marTop w:val="0"/>
      <w:marBottom w:val="0"/>
      <w:divBdr>
        <w:top w:val="none" w:sz="0" w:space="0" w:color="auto"/>
        <w:left w:val="none" w:sz="0" w:space="0" w:color="auto"/>
        <w:bottom w:val="none" w:sz="0" w:space="0" w:color="auto"/>
        <w:right w:val="none" w:sz="0" w:space="0" w:color="auto"/>
      </w:divBdr>
    </w:div>
    <w:div w:id="849030936">
      <w:bodyDiv w:val="1"/>
      <w:marLeft w:val="0"/>
      <w:marRight w:val="0"/>
      <w:marTop w:val="0"/>
      <w:marBottom w:val="0"/>
      <w:divBdr>
        <w:top w:val="none" w:sz="0" w:space="0" w:color="auto"/>
        <w:left w:val="none" w:sz="0" w:space="0" w:color="auto"/>
        <w:bottom w:val="none" w:sz="0" w:space="0" w:color="auto"/>
        <w:right w:val="none" w:sz="0" w:space="0" w:color="auto"/>
      </w:divBdr>
    </w:div>
    <w:div w:id="878862671">
      <w:bodyDiv w:val="1"/>
      <w:marLeft w:val="0"/>
      <w:marRight w:val="0"/>
      <w:marTop w:val="0"/>
      <w:marBottom w:val="0"/>
      <w:divBdr>
        <w:top w:val="none" w:sz="0" w:space="0" w:color="auto"/>
        <w:left w:val="none" w:sz="0" w:space="0" w:color="auto"/>
        <w:bottom w:val="none" w:sz="0" w:space="0" w:color="auto"/>
        <w:right w:val="none" w:sz="0" w:space="0" w:color="auto"/>
      </w:divBdr>
    </w:div>
    <w:div w:id="1018045395">
      <w:bodyDiv w:val="1"/>
      <w:marLeft w:val="0"/>
      <w:marRight w:val="0"/>
      <w:marTop w:val="0"/>
      <w:marBottom w:val="0"/>
      <w:divBdr>
        <w:top w:val="none" w:sz="0" w:space="0" w:color="auto"/>
        <w:left w:val="none" w:sz="0" w:space="0" w:color="auto"/>
        <w:bottom w:val="none" w:sz="0" w:space="0" w:color="auto"/>
        <w:right w:val="none" w:sz="0" w:space="0" w:color="auto"/>
      </w:divBdr>
    </w:div>
    <w:div w:id="1261723456">
      <w:bodyDiv w:val="1"/>
      <w:marLeft w:val="0"/>
      <w:marRight w:val="0"/>
      <w:marTop w:val="0"/>
      <w:marBottom w:val="0"/>
      <w:divBdr>
        <w:top w:val="none" w:sz="0" w:space="0" w:color="auto"/>
        <w:left w:val="none" w:sz="0" w:space="0" w:color="auto"/>
        <w:bottom w:val="none" w:sz="0" w:space="0" w:color="auto"/>
        <w:right w:val="none" w:sz="0" w:space="0" w:color="auto"/>
      </w:divBdr>
    </w:div>
    <w:div w:id="1476143157">
      <w:bodyDiv w:val="1"/>
      <w:marLeft w:val="0"/>
      <w:marRight w:val="0"/>
      <w:marTop w:val="0"/>
      <w:marBottom w:val="0"/>
      <w:divBdr>
        <w:top w:val="none" w:sz="0" w:space="0" w:color="auto"/>
        <w:left w:val="none" w:sz="0" w:space="0" w:color="auto"/>
        <w:bottom w:val="none" w:sz="0" w:space="0" w:color="auto"/>
        <w:right w:val="none" w:sz="0" w:space="0" w:color="auto"/>
      </w:divBdr>
    </w:div>
    <w:div w:id="1648238942">
      <w:bodyDiv w:val="1"/>
      <w:marLeft w:val="0"/>
      <w:marRight w:val="0"/>
      <w:marTop w:val="0"/>
      <w:marBottom w:val="0"/>
      <w:divBdr>
        <w:top w:val="none" w:sz="0" w:space="0" w:color="auto"/>
        <w:left w:val="none" w:sz="0" w:space="0" w:color="auto"/>
        <w:bottom w:val="none" w:sz="0" w:space="0" w:color="auto"/>
        <w:right w:val="none" w:sz="0" w:space="0" w:color="auto"/>
      </w:divBdr>
    </w:div>
    <w:div w:id="1786581541">
      <w:bodyDiv w:val="1"/>
      <w:marLeft w:val="0"/>
      <w:marRight w:val="0"/>
      <w:marTop w:val="0"/>
      <w:marBottom w:val="0"/>
      <w:divBdr>
        <w:top w:val="none" w:sz="0" w:space="0" w:color="auto"/>
        <w:left w:val="none" w:sz="0" w:space="0" w:color="auto"/>
        <w:bottom w:val="none" w:sz="0" w:space="0" w:color="auto"/>
        <w:right w:val="none" w:sz="0" w:space="0" w:color="auto"/>
      </w:divBdr>
    </w:div>
    <w:div w:id="21230669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png"/><Relationship Id="rId18" Type="http://schemas.openxmlformats.org/officeDocument/2006/relationships/chart" Target="charts/chart2.xml"/><Relationship Id="rId26" Type="http://schemas.openxmlformats.org/officeDocument/2006/relationships/footer" Target="footer2.xml"/><Relationship Id="rId39" Type="http://schemas.openxmlformats.org/officeDocument/2006/relationships/theme" Target="theme/theme1.xml"/><Relationship Id="rId3" Type="http://schemas.openxmlformats.org/officeDocument/2006/relationships/styles" Target="styles.xml"/><Relationship Id="rId21" Type="http://schemas.openxmlformats.org/officeDocument/2006/relationships/chart" Target="charts/chart5.xml"/><Relationship Id="rId34" Type="http://schemas.openxmlformats.org/officeDocument/2006/relationships/hyperlink" Target="https://www.fema.gov/media-library-data/1450220012223-ebdf6f4752bbbb4411f69d0ee8b39bc4/Hazus_Dasymetric_Vs_Homogenous_Flyer_2.0.pdf" TargetMode="External"/><Relationship Id="rId42" Type="http://schemas.microsoft.com/office/2011/relationships/people" Target="people.xml"/><Relationship Id="rId7" Type="http://schemas.openxmlformats.org/officeDocument/2006/relationships/footnotes" Target="footnotes.xml"/><Relationship Id="rId12" Type="http://schemas.openxmlformats.org/officeDocument/2006/relationships/footer" Target="footer1.xml"/><Relationship Id="rId17" Type="http://schemas.openxmlformats.org/officeDocument/2006/relationships/chart" Target="charts/chart1.xml"/><Relationship Id="rId25" Type="http://schemas.openxmlformats.org/officeDocument/2006/relationships/chart" Target="charts/chart9.xml"/><Relationship Id="rId33" Type="http://schemas.openxmlformats.org/officeDocument/2006/relationships/hyperlink" Target="https://www.fema.gov/media-library" TargetMode="External"/><Relationship Id="rId38"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yperlink" Target="http://hdsc.nws.noaa.gov/hdsc/pfds/index.html" TargetMode="External"/><Relationship Id="rId20" Type="http://schemas.openxmlformats.org/officeDocument/2006/relationships/chart" Target="charts/chart4.xml"/><Relationship Id="rId29" Type="http://schemas.openxmlformats.org/officeDocument/2006/relationships/image" Target="media/image7.png"/><Relationship Id="rId41" Type="http://schemas.microsoft.com/office/2016/09/relationships/commentsIds" Target="commentsIds.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1.xml"/><Relationship Id="rId24" Type="http://schemas.openxmlformats.org/officeDocument/2006/relationships/chart" Target="charts/chart8.xml"/><Relationship Id="rId32" Type="http://schemas.openxmlformats.org/officeDocument/2006/relationships/image" Target="media/image9.png"/><Relationship Id="rId37" Type="http://schemas.openxmlformats.org/officeDocument/2006/relationships/header" Target="header3.xml"/><Relationship Id="rId40" Type="http://schemas.microsoft.com/office/2011/relationships/commentsExtended" Target="commentsExtended.xml"/><Relationship Id="rId5" Type="http://schemas.openxmlformats.org/officeDocument/2006/relationships/settings" Target="settings.xml"/><Relationship Id="rId15" Type="http://schemas.openxmlformats.org/officeDocument/2006/relationships/image" Target="media/image5.png"/><Relationship Id="rId23" Type="http://schemas.openxmlformats.org/officeDocument/2006/relationships/chart" Target="charts/chart7.xml"/><Relationship Id="rId28" Type="http://schemas.openxmlformats.org/officeDocument/2006/relationships/image" Target="media/image6.png"/><Relationship Id="rId36" Type="http://schemas.openxmlformats.org/officeDocument/2006/relationships/image" Target="media/image10.png"/><Relationship Id="rId10" Type="http://schemas.openxmlformats.org/officeDocument/2006/relationships/image" Target="media/image2.png"/><Relationship Id="rId19" Type="http://schemas.openxmlformats.org/officeDocument/2006/relationships/chart" Target="charts/chart3.xml"/><Relationship Id="rId31" Type="http://schemas.openxmlformats.org/officeDocument/2006/relationships/image" Target="media/image8.png"/><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image" Target="media/image4.jpeg"/><Relationship Id="rId22" Type="http://schemas.openxmlformats.org/officeDocument/2006/relationships/chart" Target="charts/chart6.xml"/><Relationship Id="rId27" Type="http://schemas.openxmlformats.org/officeDocument/2006/relationships/header" Target="header2.xml"/><Relationship Id="rId30" Type="http://schemas.openxmlformats.org/officeDocument/2006/relationships/chart" Target="charts/chart10.xml"/><Relationship Id="rId35" Type="http://schemas.openxmlformats.org/officeDocument/2006/relationships/hyperlink" Target="https://www.fema.gov/media-library-data/1450219382984-bcf364478896e3db06a9f9998cc5d1b1/Hazus_3.0_Dasymetric_Data_Overview_Complete.pdf" TargetMode="External"/><Relationship Id="rId43" Type="http://schemas.microsoft.com/office/2018/08/relationships/commentsExtensible" Target="commentsExtensi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miller\AppData\Roaming\Microsoft\Templates\AECOM_Report.dotm" TargetMode="External"/></Relationships>
</file>

<file path=word/charts/_rels/chart1.xml.rels><?xml version="1.0" encoding="UTF-8" standalone="yes"?>
<Relationships xmlns="http://schemas.openxmlformats.org/package/2006/relationships"><Relationship Id="rId2" Type="http://schemas.openxmlformats.org/officeDocument/2006/relationships/oleObject" Target="file:///\\nadtc1vfs150.na.aecomnet.com\Data\Texas_2d\60657192_TWDB_YellowHouseDraw_BLE\400_PRODUCTION\Engineering\Approximates\Eng\OVERALL\Report\Excess%20Precip%20and%20inflow%20hydrograph%20Template.xlsx" TargetMode="External"/><Relationship Id="rId1" Type="http://schemas.openxmlformats.org/officeDocument/2006/relationships/themeOverride" Target="../theme/themeOverride1.xml"/></Relationships>
</file>

<file path=word/charts/_rels/chart10.xml.rels><?xml version="1.0" encoding="UTF-8" standalone="yes"?>
<Relationships xmlns="http://schemas.openxmlformats.org/package/2006/relationships"><Relationship Id="rId3" Type="http://schemas.microsoft.com/office/2011/relationships/chartStyle" Target="style1.xml"/><Relationship Id="rId2" Type="http://schemas.microsoft.com/office/2011/relationships/chartColorStyle" Target="colors1.xml"/><Relationship Id="rId1" Type="http://schemas.openxmlformats.org/officeDocument/2006/relationships/oleObject" Target="file:///\\nadtc1vfs150.na.aecomnet.com\data\Texas_2d\60657192_TWDB_YellowHouseDraw_BLE\400_PRODUCTION\Engineering\Approximates\Eng\OVERALL\Report\Excess%20Precip%20and%20inflow%20hydrograph%20Template.xlsx" TargetMode="External"/></Relationships>
</file>

<file path=word/charts/_rels/chart2.xml.rels><?xml version="1.0" encoding="UTF-8" standalone="yes"?>
<Relationships xmlns="http://schemas.openxmlformats.org/package/2006/relationships"><Relationship Id="rId2" Type="http://schemas.openxmlformats.org/officeDocument/2006/relationships/oleObject" Target="file:///\\nadtc1vfs150.na.aecomnet.com\Data\Texas_2d\60657192_TWDB_YellowHouseDraw_BLE\400_PRODUCTION\Engineering\Approximates\Eng\OVERALL\Report\Excess%20Precip%20and%20inflow%20hydrograph%20Template.xlsx" TargetMode="External"/><Relationship Id="rId1" Type="http://schemas.openxmlformats.org/officeDocument/2006/relationships/themeOverride" Target="../theme/themeOverride2.xml"/></Relationships>
</file>

<file path=word/charts/_rels/chart3.xml.rels><?xml version="1.0" encoding="UTF-8" standalone="yes"?>
<Relationships xmlns="http://schemas.openxmlformats.org/package/2006/relationships"><Relationship Id="rId2" Type="http://schemas.openxmlformats.org/officeDocument/2006/relationships/oleObject" Target="file:///\\nadtc1vfs150.na.aecomnet.com\Data\Texas_2d\60657192_TWDB_YellowHouseDraw_BLE\400_PRODUCTION\Engineering\Approximates\Eng\OVERALL\Report\Excess%20Precip%20and%20inflow%20hydrograph%20Template.xlsx" TargetMode="External"/><Relationship Id="rId1" Type="http://schemas.openxmlformats.org/officeDocument/2006/relationships/themeOverride" Target="../theme/themeOverride3.xml"/></Relationships>
</file>

<file path=word/charts/_rels/chart4.xml.rels><?xml version="1.0" encoding="UTF-8" standalone="yes"?>
<Relationships xmlns="http://schemas.openxmlformats.org/package/2006/relationships"><Relationship Id="rId2" Type="http://schemas.openxmlformats.org/officeDocument/2006/relationships/oleObject" Target="file:///\\nadtc1vfs150.na.aecomnet.com\Data\Texas_2d\60657192_TWDB_YellowHouseDraw_BLE\400_PRODUCTION\Engineering\Approximates\Eng\OVERALL\Report\Excess%20Precip%20and%20inflow%20hydrograph%20Template.xlsx" TargetMode="External"/><Relationship Id="rId1" Type="http://schemas.openxmlformats.org/officeDocument/2006/relationships/themeOverride" Target="../theme/themeOverride4.xml"/></Relationships>
</file>

<file path=word/charts/_rels/chart5.xml.rels><?xml version="1.0" encoding="UTF-8" standalone="yes"?>
<Relationships xmlns="http://schemas.openxmlformats.org/package/2006/relationships"><Relationship Id="rId2" Type="http://schemas.openxmlformats.org/officeDocument/2006/relationships/oleObject" Target="file:///\\nadtc1vfs150.na.aecomnet.com\Data\Texas_2d\60657192_TWDB_YellowHouseDraw_BLE\400_PRODUCTION\Engineering\Approximates\Eng\OVERALL\Report\Excess%20Precip%20and%20inflow%20hydrograph%20Template.xlsx" TargetMode="External"/><Relationship Id="rId1" Type="http://schemas.openxmlformats.org/officeDocument/2006/relationships/themeOverride" Target="../theme/themeOverride5.xml"/></Relationships>
</file>

<file path=word/charts/_rels/chart6.xml.rels><?xml version="1.0" encoding="UTF-8" standalone="yes"?>
<Relationships xmlns="http://schemas.openxmlformats.org/package/2006/relationships"><Relationship Id="rId2" Type="http://schemas.openxmlformats.org/officeDocument/2006/relationships/package" Target="../embeddings/Microsoft_Excel_Worksheet1.xlsx"/><Relationship Id="rId1" Type="http://schemas.openxmlformats.org/officeDocument/2006/relationships/themeOverride" Target="../theme/themeOverride6.xml"/></Relationships>
</file>

<file path=word/charts/_rels/chart7.xml.rels><?xml version="1.0" encoding="UTF-8" standalone="yes"?>
<Relationships xmlns="http://schemas.openxmlformats.org/package/2006/relationships"><Relationship Id="rId2" Type="http://schemas.openxmlformats.org/officeDocument/2006/relationships/package" Target="../embeddings/Microsoft_Excel_Worksheet2.xlsx"/><Relationship Id="rId1" Type="http://schemas.openxmlformats.org/officeDocument/2006/relationships/themeOverride" Target="../theme/themeOverride7.xml"/></Relationships>
</file>

<file path=word/charts/_rels/chart8.xml.rels><?xml version="1.0" encoding="UTF-8" standalone="yes"?>
<Relationships xmlns="http://schemas.openxmlformats.org/package/2006/relationships"><Relationship Id="rId2" Type="http://schemas.openxmlformats.org/officeDocument/2006/relationships/package" Target="../embeddings/Microsoft_Excel_Worksheet3.xlsx"/><Relationship Id="rId1" Type="http://schemas.openxmlformats.org/officeDocument/2006/relationships/themeOverride" Target="../theme/themeOverride8.xml"/></Relationships>
</file>

<file path=word/charts/_rels/chart9.xml.rels><?xml version="1.0" encoding="UTF-8" standalone="yes"?>
<Relationships xmlns="http://schemas.openxmlformats.org/package/2006/relationships"><Relationship Id="rId2" Type="http://schemas.openxmlformats.org/officeDocument/2006/relationships/package" Target="../embeddings/Microsoft_Excel_Worksheet4.xlsx"/><Relationship Id="rId1" Type="http://schemas.openxmlformats.org/officeDocument/2006/relationships/themeOverride" Target="../theme/themeOverride9.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scatterChart>
        <c:scatterStyle val="smoothMarker"/>
        <c:varyColors val="0"/>
        <c:ser>
          <c:idx val="5"/>
          <c:order val="0"/>
          <c:tx>
            <c:v>1 Percent Plus Annual Chance</c:v>
          </c:tx>
          <c:marker>
            <c:symbol val="none"/>
          </c:marker>
          <c:xVal>
            <c:numRef>
              <c:f>Precip_YHD1!$A$3:$A$243</c:f>
              <c:numCache>
                <c:formatCode>h:mm;@</c:formatCode>
                <c:ptCount val="241"/>
                <c:pt idx="0">
                  <c:v>0</c:v>
                </c:pt>
                <c:pt idx="1">
                  <c:v>4.1666666666666666E-3</c:v>
                </c:pt>
                <c:pt idx="2">
                  <c:v>8.3333333333333332E-3</c:v>
                </c:pt>
                <c:pt idx="3">
                  <c:v>1.2499999999999999E-2</c:v>
                </c:pt>
                <c:pt idx="4">
                  <c:v>1.6666666666666666E-2</c:v>
                </c:pt>
                <c:pt idx="5">
                  <c:v>2.0833333333333332E-2</c:v>
                </c:pt>
                <c:pt idx="6">
                  <c:v>2.4999999999999998E-2</c:v>
                </c:pt>
                <c:pt idx="7">
                  <c:v>2.9166666666666664E-2</c:v>
                </c:pt>
                <c:pt idx="8">
                  <c:v>3.3333333333333333E-2</c:v>
                </c:pt>
                <c:pt idx="9">
                  <c:v>3.7499999999999999E-2</c:v>
                </c:pt>
                <c:pt idx="10">
                  <c:v>4.1666666666666664E-2</c:v>
                </c:pt>
                <c:pt idx="11">
                  <c:v>4.5833333333333337E-2</c:v>
                </c:pt>
                <c:pt idx="12">
                  <c:v>4.9999999999999996E-2</c:v>
                </c:pt>
                <c:pt idx="13">
                  <c:v>5.4166666666666669E-2</c:v>
                </c:pt>
                <c:pt idx="14">
                  <c:v>5.8333333333333327E-2</c:v>
                </c:pt>
                <c:pt idx="15">
                  <c:v>6.25E-2</c:v>
                </c:pt>
                <c:pt idx="16">
                  <c:v>6.6666666666666666E-2</c:v>
                </c:pt>
                <c:pt idx="17">
                  <c:v>7.0833333333333331E-2</c:v>
                </c:pt>
                <c:pt idx="18">
                  <c:v>7.4999999999999997E-2</c:v>
                </c:pt>
                <c:pt idx="19">
                  <c:v>7.9166666666666663E-2</c:v>
                </c:pt>
                <c:pt idx="20">
                  <c:v>8.3333333333333329E-2</c:v>
                </c:pt>
                <c:pt idx="21">
                  <c:v>8.7500000000000008E-2</c:v>
                </c:pt>
                <c:pt idx="22">
                  <c:v>9.1666666666666674E-2</c:v>
                </c:pt>
                <c:pt idx="23">
                  <c:v>9.5833333333333326E-2</c:v>
                </c:pt>
                <c:pt idx="24">
                  <c:v>9.9999999999999992E-2</c:v>
                </c:pt>
                <c:pt idx="25">
                  <c:v>0.10416666666666667</c:v>
                </c:pt>
                <c:pt idx="26">
                  <c:v>0.10833333333333334</c:v>
                </c:pt>
                <c:pt idx="27">
                  <c:v>0.1125</c:v>
                </c:pt>
                <c:pt idx="28">
                  <c:v>0.11666666666666665</c:v>
                </c:pt>
                <c:pt idx="29">
                  <c:v>0.12083333333333333</c:v>
                </c:pt>
                <c:pt idx="30">
                  <c:v>0.125</c:v>
                </c:pt>
                <c:pt idx="31">
                  <c:v>0.12916666666666668</c:v>
                </c:pt>
                <c:pt idx="32">
                  <c:v>0.13333333333333333</c:v>
                </c:pt>
                <c:pt idx="33">
                  <c:v>0.13749999999999998</c:v>
                </c:pt>
                <c:pt idx="34">
                  <c:v>0.14166666666666666</c:v>
                </c:pt>
                <c:pt idx="35">
                  <c:v>0.14583333333333334</c:v>
                </c:pt>
                <c:pt idx="36">
                  <c:v>0.15</c:v>
                </c:pt>
                <c:pt idx="37">
                  <c:v>0.15416666666666667</c:v>
                </c:pt>
                <c:pt idx="38">
                  <c:v>0.15833333333333333</c:v>
                </c:pt>
                <c:pt idx="39">
                  <c:v>0.16250000000000001</c:v>
                </c:pt>
                <c:pt idx="40">
                  <c:v>0.16666666666666666</c:v>
                </c:pt>
                <c:pt idx="41">
                  <c:v>0.17083333333333331</c:v>
                </c:pt>
                <c:pt idx="42">
                  <c:v>0.17500000000000002</c:v>
                </c:pt>
                <c:pt idx="43">
                  <c:v>0.17916666666666667</c:v>
                </c:pt>
                <c:pt idx="44">
                  <c:v>0.18333333333333335</c:v>
                </c:pt>
                <c:pt idx="45">
                  <c:v>0.1875</c:v>
                </c:pt>
                <c:pt idx="46">
                  <c:v>0.19166666666666665</c:v>
                </c:pt>
                <c:pt idx="47">
                  <c:v>0.19583333333333333</c:v>
                </c:pt>
                <c:pt idx="48">
                  <c:v>0.19999999999999998</c:v>
                </c:pt>
                <c:pt idx="49">
                  <c:v>0.20416666666666669</c:v>
                </c:pt>
                <c:pt idx="50">
                  <c:v>0.20833333333333334</c:v>
                </c:pt>
                <c:pt idx="51">
                  <c:v>0.21249999999999999</c:v>
                </c:pt>
                <c:pt idx="52">
                  <c:v>0.21666666666666667</c:v>
                </c:pt>
                <c:pt idx="53">
                  <c:v>0.22083333333333333</c:v>
                </c:pt>
                <c:pt idx="54">
                  <c:v>0.22500000000000001</c:v>
                </c:pt>
                <c:pt idx="55">
                  <c:v>0.22916666666666666</c:v>
                </c:pt>
                <c:pt idx="56">
                  <c:v>0.23333333333333331</c:v>
                </c:pt>
                <c:pt idx="57">
                  <c:v>0.23750000000000002</c:v>
                </c:pt>
                <c:pt idx="58">
                  <c:v>0.24166666666666667</c:v>
                </c:pt>
                <c:pt idx="59">
                  <c:v>0.24583333333333335</c:v>
                </c:pt>
                <c:pt idx="60">
                  <c:v>0.25</c:v>
                </c:pt>
                <c:pt idx="61">
                  <c:v>0.25416666666666665</c:v>
                </c:pt>
                <c:pt idx="62">
                  <c:v>0.25833333333333336</c:v>
                </c:pt>
                <c:pt idx="63">
                  <c:v>0.26250000000000001</c:v>
                </c:pt>
                <c:pt idx="64">
                  <c:v>0.26666666666666666</c:v>
                </c:pt>
                <c:pt idx="65">
                  <c:v>0.27083333333333331</c:v>
                </c:pt>
                <c:pt idx="66">
                  <c:v>0.27499999999999997</c:v>
                </c:pt>
                <c:pt idx="67">
                  <c:v>0.27916666666666667</c:v>
                </c:pt>
                <c:pt idx="68">
                  <c:v>0.28333333333333333</c:v>
                </c:pt>
                <c:pt idx="69">
                  <c:v>0.28750000000000003</c:v>
                </c:pt>
                <c:pt idx="70">
                  <c:v>0.29166666666666669</c:v>
                </c:pt>
                <c:pt idx="71">
                  <c:v>0.29583333333333334</c:v>
                </c:pt>
                <c:pt idx="72">
                  <c:v>0.3</c:v>
                </c:pt>
                <c:pt idx="73">
                  <c:v>0.30416666666666664</c:v>
                </c:pt>
                <c:pt idx="74">
                  <c:v>0.30833333333333335</c:v>
                </c:pt>
                <c:pt idx="75">
                  <c:v>0.3125</c:v>
                </c:pt>
                <c:pt idx="76">
                  <c:v>0.31666666666666665</c:v>
                </c:pt>
                <c:pt idx="77">
                  <c:v>0.32083333333333336</c:v>
                </c:pt>
                <c:pt idx="78">
                  <c:v>0.32500000000000001</c:v>
                </c:pt>
                <c:pt idx="79">
                  <c:v>0.32916666666666666</c:v>
                </c:pt>
                <c:pt idx="80">
                  <c:v>0.33333333333333331</c:v>
                </c:pt>
                <c:pt idx="81">
                  <c:v>0.33749999999999997</c:v>
                </c:pt>
                <c:pt idx="82">
                  <c:v>0.34166666666666662</c:v>
                </c:pt>
                <c:pt idx="83">
                  <c:v>0.34583333333333338</c:v>
                </c:pt>
                <c:pt idx="84">
                  <c:v>0.35000000000000003</c:v>
                </c:pt>
                <c:pt idx="85">
                  <c:v>0.35416666666666669</c:v>
                </c:pt>
                <c:pt idx="86">
                  <c:v>0.35833333333333334</c:v>
                </c:pt>
                <c:pt idx="87">
                  <c:v>0.36249999999999999</c:v>
                </c:pt>
                <c:pt idx="88">
                  <c:v>0.3666666666666667</c:v>
                </c:pt>
                <c:pt idx="89">
                  <c:v>0.37083333333333335</c:v>
                </c:pt>
                <c:pt idx="90">
                  <c:v>0.375</c:v>
                </c:pt>
                <c:pt idx="91">
                  <c:v>0.37916666666666665</c:v>
                </c:pt>
                <c:pt idx="92">
                  <c:v>0.3833333333333333</c:v>
                </c:pt>
                <c:pt idx="93">
                  <c:v>0.38750000000000001</c:v>
                </c:pt>
                <c:pt idx="94">
                  <c:v>0.39166666666666666</c:v>
                </c:pt>
                <c:pt idx="95">
                  <c:v>0.39583333333333331</c:v>
                </c:pt>
                <c:pt idx="96">
                  <c:v>0.39999999999999997</c:v>
                </c:pt>
                <c:pt idx="97">
                  <c:v>0.40416666666666662</c:v>
                </c:pt>
                <c:pt idx="98">
                  <c:v>0.40833333333333338</c:v>
                </c:pt>
                <c:pt idx="99">
                  <c:v>0.41250000000000003</c:v>
                </c:pt>
                <c:pt idx="100">
                  <c:v>0.41666666666666669</c:v>
                </c:pt>
                <c:pt idx="101">
                  <c:v>0.42083333333333334</c:v>
                </c:pt>
                <c:pt idx="102">
                  <c:v>0.42499999999999999</c:v>
                </c:pt>
                <c:pt idx="103">
                  <c:v>0.4291666666666667</c:v>
                </c:pt>
                <c:pt idx="104">
                  <c:v>0.43333333333333335</c:v>
                </c:pt>
                <c:pt idx="105">
                  <c:v>0.4375</c:v>
                </c:pt>
                <c:pt idx="106">
                  <c:v>0.44166666666666665</c:v>
                </c:pt>
                <c:pt idx="107">
                  <c:v>0.4458333333333333</c:v>
                </c:pt>
                <c:pt idx="108">
                  <c:v>0.45</c:v>
                </c:pt>
                <c:pt idx="109">
                  <c:v>0.45416666666666666</c:v>
                </c:pt>
                <c:pt idx="110">
                  <c:v>0.45833333333333331</c:v>
                </c:pt>
                <c:pt idx="111">
                  <c:v>0.46249999999999997</c:v>
                </c:pt>
                <c:pt idx="112">
                  <c:v>0.46666666666666662</c:v>
                </c:pt>
                <c:pt idx="113">
                  <c:v>0.47083333333333338</c:v>
                </c:pt>
                <c:pt idx="114">
                  <c:v>0.47500000000000003</c:v>
                </c:pt>
                <c:pt idx="115">
                  <c:v>0.47916666666666669</c:v>
                </c:pt>
                <c:pt idx="116">
                  <c:v>0.48333333333333334</c:v>
                </c:pt>
                <c:pt idx="117">
                  <c:v>0.48749999999999999</c:v>
                </c:pt>
                <c:pt idx="118">
                  <c:v>0.4916666666666667</c:v>
                </c:pt>
                <c:pt idx="119">
                  <c:v>0.49583333333333335</c:v>
                </c:pt>
                <c:pt idx="120">
                  <c:v>0.5</c:v>
                </c:pt>
                <c:pt idx="121">
                  <c:v>0.50416666666666665</c:v>
                </c:pt>
                <c:pt idx="122">
                  <c:v>0.5083333333333333</c:v>
                </c:pt>
                <c:pt idx="123">
                  <c:v>0.51250000000000007</c:v>
                </c:pt>
                <c:pt idx="124">
                  <c:v>0.51666666666666672</c:v>
                </c:pt>
                <c:pt idx="125">
                  <c:v>0.52083333333333337</c:v>
                </c:pt>
                <c:pt idx="126">
                  <c:v>0.52500000000000002</c:v>
                </c:pt>
                <c:pt idx="127">
                  <c:v>0.52916666666666667</c:v>
                </c:pt>
                <c:pt idx="128">
                  <c:v>0.53333333333333333</c:v>
                </c:pt>
                <c:pt idx="129">
                  <c:v>0.53749999999999998</c:v>
                </c:pt>
                <c:pt idx="130">
                  <c:v>0.54166666666666663</c:v>
                </c:pt>
                <c:pt idx="131">
                  <c:v>0.54583333333333328</c:v>
                </c:pt>
                <c:pt idx="132">
                  <c:v>0.54999999999999993</c:v>
                </c:pt>
                <c:pt idx="133">
                  <c:v>0.5541666666666667</c:v>
                </c:pt>
                <c:pt idx="134">
                  <c:v>0.55833333333333335</c:v>
                </c:pt>
                <c:pt idx="135">
                  <c:v>0.5625</c:v>
                </c:pt>
                <c:pt idx="136">
                  <c:v>0.56666666666666665</c:v>
                </c:pt>
                <c:pt idx="137">
                  <c:v>0.5708333333333333</c:v>
                </c:pt>
                <c:pt idx="138">
                  <c:v>0.57500000000000007</c:v>
                </c:pt>
                <c:pt idx="139">
                  <c:v>0.57916666666666672</c:v>
                </c:pt>
                <c:pt idx="140">
                  <c:v>0.58333333333333337</c:v>
                </c:pt>
                <c:pt idx="141">
                  <c:v>0.58750000000000002</c:v>
                </c:pt>
                <c:pt idx="142">
                  <c:v>0.59166666666666667</c:v>
                </c:pt>
                <c:pt idx="143">
                  <c:v>0.59583333333333333</c:v>
                </c:pt>
                <c:pt idx="144">
                  <c:v>0.6</c:v>
                </c:pt>
                <c:pt idx="145">
                  <c:v>0.60416666666666663</c:v>
                </c:pt>
                <c:pt idx="146">
                  <c:v>0.60833333333333328</c:v>
                </c:pt>
                <c:pt idx="147">
                  <c:v>0.61249999999999993</c:v>
                </c:pt>
                <c:pt idx="148">
                  <c:v>0.6166666666666667</c:v>
                </c:pt>
                <c:pt idx="149">
                  <c:v>0.62083333333333335</c:v>
                </c:pt>
                <c:pt idx="150">
                  <c:v>0.625</c:v>
                </c:pt>
                <c:pt idx="151">
                  <c:v>0.62916666666666665</c:v>
                </c:pt>
                <c:pt idx="152">
                  <c:v>0.6333333333333333</c:v>
                </c:pt>
                <c:pt idx="153">
                  <c:v>0.63750000000000007</c:v>
                </c:pt>
                <c:pt idx="154">
                  <c:v>0.64166666666666672</c:v>
                </c:pt>
                <c:pt idx="155">
                  <c:v>0.64583333333333337</c:v>
                </c:pt>
                <c:pt idx="156">
                  <c:v>0.65</c:v>
                </c:pt>
                <c:pt idx="157">
                  <c:v>0.65416666666666667</c:v>
                </c:pt>
                <c:pt idx="158">
                  <c:v>0.65833333333333333</c:v>
                </c:pt>
                <c:pt idx="159">
                  <c:v>0.66249999999999998</c:v>
                </c:pt>
                <c:pt idx="160">
                  <c:v>0.66666666666666663</c:v>
                </c:pt>
                <c:pt idx="161">
                  <c:v>0.67083333333333339</c:v>
                </c:pt>
                <c:pt idx="162">
                  <c:v>0.67499999999999993</c:v>
                </c:pt>
                <c:pt idx="163">
                  <c:v>0.6791666666666667</c:v>
                </c:pt>
                <c:pt idx="164">
                  <c:v>0.68333333333333324</c:v>
                </c:pt>
                <c:pt idx="165">
                  <c:v>0.6875</c:v>
                </c:pt>
                <c:pt idx="166">
                  <c:v>0.69166666666666676</c:v>
                </c:pt>
                <c:pt idx="167">
                  <c:v>0.6958333333333333</c:v>
                </c:pt>
                <c:pt idx="168">
                  <c:v>0.70000000000000007</c:v>
                </c:pt>
                <c:pt idx="169">
                  <c:v>0.70416666666666661</c:v>
                </c:pt>
                <c:pt idx="170">
                  <c:v>0.70833333333333337</c:v>
                </c:pt>
                <c:pt idx="171">
                  <c:v>0.71250000000000002</c:v>
                </c:pt>
                <c:pt idx="172">
                  <c:v>0.71666666666666667</c:v>
                </c:pt>
                <c:pt idx="173">
                  <c:v>0.72083333333333333</c:v>
                </c:pt>
                <c:pt idx="174">
                  <c:v>0.72499999999999998</c:v>
                </c:pt>
                <c:pt idx="175">
                  <c:v>0.72916666666666663</c:v>
                </c:pt>
                <c:pt idx="176">
                  <c:v>0.73333333333333339</c:v>
                </c:pt>
                <c:pt idx="177">
                  <c:v>0.73749999999999993</c:v>
                </c:pt>
                <c:pt idx="178">
                  <c:v>0.7416666666666667</c:v>
                </c:pt>
                <c:pt idx="179">
                  <c:v>0.74583333333333324</c:v>
                </c:pt>
                <c:pt idx="180">
                  <c:v>0.75</c:v>
                </c:pt>
                <c:pt idx="181">
                  <c:v>0.75416666666666676</c:v>
                </c:pt>
                <c:pt idx="182">
                  <c:v>0.7583333333333333</c:v>
                </c:pt>
                <c:pt idx="183">
                  <c:v>0.76250000000000007</c:v>
                </c:pt>
                <c:pt idx="184">
                  <c:v>0.76666666666666661</c:v>
                </c:pt>
                <c:pt idx="185">
                  <c:v>0.77083333333333337</c:v>
                </c:pt>
                <c:pt idx="186">
                  <c:v>0.77500000000000002</c:v>
                </c:pt>
                <c:pt idx="187">
                  <c:v>0.77916666666666667</c:v>
                </c:pt>
                <c:pt idx="188">
                  <c:v>0.78333333333333333</c:v>
                </c:pt>
                <c:pt idx="189">
                  <c:v>0.78749999999999998</c:v>
                </c:pt>
                <c:pt idx="190">
                  <c:v>0.79166666666666663</c:v>
                </c:pt>
                <c:pt idx="191">
                  <c:v>0.79583333333333339</c:v>
                </c:pt>
                <c:pt idx="192">
                  <c:v>0.79999999999999993</c:v>
                </c:pt>
                <c:pt idx="193">
                  <c:v>0.8041666666666667</c:v>
                </c:pt>
                <c:pt idx="194">
                  <c:v>0.80833333333333324</c:v>
                </c:pt>
                <c:pt idx="195">
                  <c:v>0.8125</c:v>
                </c:pt>
                <c:pt idx="196">
                  <c:v>0.81666666666666676</c:v>
                </c:pt>
                <c:pt idx="197">
                  <c:v>0.8208333333333333</c:v>
                </c:pt>
                <c:pt idx="198">
                  <c:v>0.82500000000000007</c:v>
                </c:pt>
                <c:pt idx="199">
                  <c:v>0.82916666666666661</c:v>
                </c:pt>
                <c:pt idx="200">
                  <c:v>0.83333333333333337</c:v>
                </c:pt>
                <c:pt idx="201">
                  <c:v>0.83750000000000002</c:v>
                </c:pt>
                <c:pt idx="202">
                  <c:v>0.84166666666666667</c:v>
                </c:pt>
                <c:pt idx="203">
                  <c:v>0.84583333333333333</c:v>
                </c:pt>
                <c:pt idx="204">
                  <c:v>0.85</c:v>
                </c:pt>
                <c:pt idx="205">
                  <c:v>0.85416666666666663</c:v>
                </c:pt>
                <c:pt idx="206">
                  <c:v>0.85833333333333339</c:v>
                </c:pt>
                <c:pt idx="207">
                  <c:v>0.86249999999999993</c:v>
                </c:pt>
                <c:pt idx="208">
                  <c:v>0.8666666666666667</c:v>
                </c:pt>
                <c:pt idx="209">
                  <c:v>0.87083333333333324</c:v>
                </c:pt>
                <c:pt idx="210">
                  <c:v>0.875</c:v>
                </c:pt>
                <c:pt idx="211">
                  <c:v>0.87916666666666676</c:v>
                </c:pt>
                <c:pt idx="212">
                  <c:v>0.8833333333333333</c:v>
                </c:pt>
                <c:pt idx="213">
                  <c:v>0.88750000000000007</c:v>
                </c:pt>
                <c:pt idx="214">
                  <c:v>0.89166666666666661</c:v>
                </c:pt>
                <c:pt idx="215">
                  <c:v>0.89583333333333337</c:v>
                </c:pt>
                <c:pt idx="216">
                  <c:v>0.9</c:v>
                </c:pt>
                <c:pt idx="217">
                  <c:v>0.90416666666666667</c:v>
                </c:pt>
                <c:pt idx="218">
                  <c:v>0.90833333333333333</c:v>
                </c:pt>
                <c:pt idx="219">
                  <c:v>0.91249999999999998</c:v>
                </c:pt>
                <c:pt idx="220">
                  <c:v>0.91666666666666663</c:v>
                </c:pt>
                <c:pt idx="221">
                  <c:v>0.92083333333333339</c:v>
                </c:pt>
                <c:pt idx="222">
                  <c:v>0.92499999999999993</c:v>
                </c:pt>
                <c:pt idx="223">
                  <c:v>0.9291666666666667</c:v>
                </c:pt>
                <c:pt idx="224">
                  <c:v>0.93333333333333324</c:v>
                </c:pt>
                <c:pt idx="225">
                  <c:v>0.9375</c:v>
                </c:pt>
                <c:pt idx="226">
                  <c:v>0.94166666666666676</c:v>
                </c:pt>
                <c:pt idx="227">
                  <c:v>0.9458333333333333</c:v>
                </c:pt>
                <c:pt idx="228">
                  <c:v>0.95000000000000007</c:v>
                </c:pt>
                <c:pt idx="229">
                  <c:v>0.95416666666666661</c:v>
                </c:pt>
                <c:pt idx="230">
                  <c:v>0.95833333333333337</c:v>
                </c:pt>
                <c:pt idx="231">
                  <c:v>0.96250000000000002</c:v>
                </c:pt>
                <c:pt idx="232">
                  <c:v>0.96666666666666667</c:v>
                </c:pt>
                <c:pt idx="233">
                  <c:v>0.97083333333333333</c:v>
                </c:pt>
                <c:pt idx="234">
                  <c:v>0.97499999999999998</c:v>
                </c:pt>
                <c:pt idx="235">
                  <c:v>0.97916666666666663</c:v>
                </c:pt>
                <c:pt idx="236">
                  <c:v>0.98333333333333339</c:v>
                </c:pt>
                <c:pt idx="237">
                  <c:v>0.98749999999999993</c:v>
                </c:pt>
                <c:pt idx="238">
                  <c:v>0.9916666666666667</c:v>
                </c:pt>
                <c:pt idx="239">
                  <c:v>0.99583333333333324</c:v>
                </c:pt>
                <c:pt idx="240">
                  <c:v>1</c:v>
                </c:pt>
              </c:numCache>
            </c:numRef>
          </c:xVal>
          <c:yVal>
            <c:numRef>
              <c:f>Precip_YHD1!$G$3:$G$243</c:f>
              <c:numCache>
                <c:formatCode>General</c:formatCode>
                <c:ptCount val="241"/>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c:v>
                </c:pt>
                <c:pt idx="76">
                  <c:v>0</c:v>
                </c:pt>
                <c:pt idx="77">
                  <c:v>0</c:v>
                </c:pt>
                <c:pt idx="78">
                  <c:v>0</c:v>
                </c:pt>
                <c:pt idx="79">
                  <c:v>0</c:v>
                </c:pt>
                <c:pt idx="80">
                  <c:v>0</c:v>
                </c:pt>
                <c:pt idx="81">
                  <c:v>0.01</c:v>
                </c:pt>
                <c:pt idx="82">
                  <c:v>0.01</c:v>
                </c:pt>
                <c:pt idx="83">
                  <c:v>0.01</c:v>
                </c:pt>
                <c:pt idx="84">
                  <c:v>0.01</c:v>
                </c:pt>
                <c:pt idx="85">
                  <c:v>0.01</c:v>
                </c:pt>
                <c:pt idx="86">
                  <c:v>0.01</c:v>
                </c:pt>
                <c:pt idx="87">
                  <c:v>0.01</c:v>
                </c:pt>
                <c:pt idx="88">
                  <c:v>0.01</c:v>
                </c:pt>
                <c:pt idx="89">
                  <c:v>0.01</c:v>
                </c:pt>
                <c:pt idx="90">
                  <c:v>0.01</c:v>
                </c:pt>
                <c:pt idx="91">
                  <c:v>0.01</c:v>
                </c:pt>
                <c:pt idx="92">
                  <c:v>0.01</c:v>
                </c:pt>
                <c:pt idx="93">
                  <c:v>0.01</c:v>
                </c:pt>
                <c:pt idx="94">
                  <c:v>0.01</c:v>
                </c:pt>
                <c:pt idx="95">
                  <c:v>0.01</c:v>
                </c:pt>
                <c:pt idx="96">
                  <c:v>0.01</c:v>
                </c:pt>
                <c:pt idx="97">
                  <c:v>0.01</c:v>
                </c:pt>
                <c:pt idx="98">
                  <c:v>0.01</c:v>
                </c:pt>
                <c:pt idx="99">
                  <c:v>0.01</c:v>
                </c:pt>
                <c:pt idx="100">
                  <c:v>0.01</c:v>
                </c:pt>
                <c:pt idx="101">
                  <c:v>0.02</c:v>
                </c:pt>
                <c:pt idx="102">
                  <c:v>0.02</c:v>
                </c:pt>
                <c:pt idx="103">
                  <c:v>0.02</c:v>
                </c:pt>
                <c:pt idx="104">
                  <c:v>0.02</c:v>
                </c:pt>
                <c:pt idx="105">
                  <c:v>0.02</c:v>
                </c:pt>
                <c:pt idx="106">
                  <c:v>0.02</c:v>
                </c:pt>
                <c:pt idx="107">
                  <c:v>0.03</c:v>
                </c:pt>
                <c:pt idx="108">
                  <c:v>0.03</c:v>
                </c:pt>
                <c:pt idx="109">
                  <c:v>0.03</c:v>
                </c:pt>
                <c:pt idx="110">
                  <c:v>0.03</c:v>
                </c:pt>
                <c:pt idx="111">
                  <c:v>0.05</c:v>
                </c:pt>
                <c:pt idx="112">
                  <c:v>0.05</c:v>
                </c:pt>
                <c:pt idx="113">
                  <c:v>0.06</c:v>
                </c:pt>
                <c:pt idx="114">
                  <c:v>0.06</c:v>
                </c:pt>
                <c:pt idx="115">
                  <c:v>7.0000000000000007E-2</c:v>
                </c:pt>
                <c:pt idx="116">
                  <c:v>0.13</c:v>
                </c:pt>
                <c:pt idx="117">
                  <c:v>0.15</c:v>
                </c:pt>
                <c:pt idx="118">
                  <c:v>0.17</c:v>
                </c:pt>
                <c:pt idx="119">
                  <c:v>0.15</c:v>
                </c:pt>
                <c:pt idx="120">
                  <c:v>0.36</c:v>
                </c:pt>
                <c:pt idx="121">
                  <c:v>0.67</c:v>
                </c:pt>
                <c:pt idx="122">
                  <c:v>0.24</c:v>
                </c:pt>
                <c:pt idx="123">
                  <c:v>0.14000000000000001</c:v>
                </c:pt>
                <c:pt idx="124">
                  <c:v>0.19</c:v>
                </c:pt>
                <c:pt idx="125">
                  <c:v>0.17</c:v>
                </c:pt>
                <c:pt idx="126">
                  <c:v>0.09</c:v>
                </c:pt>
                <c:pt idx="127">
                  <c:v>0.08</c:v>
                </c:pt>
                <c:pt idx="128">
                  <c:v>0.08</c:v>
                </c:pt>
                <c:pt idx="129">
                  <c:v>7.0000000000000007E-2</c:v>
                </c:pt>
                <c:pt idx="130">
                  <c:v>7.0000000000000007E-2</c:v>
                </c:pt>
                <c:pt idx="131">
                  <c:v>0.05</c:v>
                </c:pt>
                <c:pt idx="132">
                  <c:v>0.04</c:v>
                </c:pt>
                <c:pt idx="133">
                  <c:v>0.04</c:v>
                </c:pt>
                <c:pt idx="134">
                  <c:v>0.04</c:v>
                </c:pt>
                <c:pt idx="135">
                  <c:v>0.04</c:v>
                </c:pt>
                <c:pt idx="136">
                  <c:v>0.03</c:v>
                </c:pt>
                <c:pt idx="137">
                  <c:v>0.03</c:v>
                </c:pt>
                <c:pt idx="138">
                  <c:v>0.03</c:v>
                </c:pt>
                <c:pt idx="139">
                  <c:v>0.03</c:v>
                </c:pt>
                <c:pt idx="140">
                  <c:v>0.03</c:v>
                </c:pt>
                <c:pt idx="141">
                  <c:v>0.02</c:v>
                </c:pt>
                <c:pt idx="142">
                  <c:v>0.02</c:v>
                </c:pt>
                <c:pt idx="143">
                  <c:v>0.02</c:v>
                </c:pt>
                <c:pt idx="144">
                  <c:v>0.02</c:v>
                </c:pt>
                <c:pt idx="145">
                  <c:v>0.02</c:v>
                </c:pt>
                <c:pt idx="146">
                  <c:v>0.02</c:v>
                </c:pt>
                <c:pt idx="147">
                  <c:v>0.02</c:v>
                </c:pt>
                <c:pt idx="148">
                  <c:v>0.02</c:v>
                </c:pt>
                <c:pt idx="149">
                  <c:v>0.02</c:v>
                </c:pt>
                <c:pt idx="150">
                  <c:v>0.02</c:v>
                </c:pt>
                <c:pt idx="151">
                  <c:v>0.02</c:v>
                </c:pt>
                <c:pt idx="152">
                  <c:v>0.02</c:v>
                </c:pt>
                <c:pt idx="153">
                  <c:v>0.02</c:v>
                </c:pt>
                <c:pt idx="154">
                  <c:v>0.02</c:v>
                </c:pt>
                <c:pt idx="155">
                  <c:v>0.01</c:v>
                </c:pt>
                <c:pt idx="156">
                  <c:v>0.01</c:v>
                </c:pt>
                <c:pt idx="157">
                  <c:v>0.01</c:v>
                </c:pt>
                <c:pt idx="158">
                  <c:v>0.01</c:v>
                </c:pt>
                <c:pt idx="159">
                  <c:v>0.01</c:v>
                </c:pt>
                <c:pt idx="160">
                  <c:v>0.01</c:v>
                </c:pt>
                <c:pt idx="161">
                  <c:v>0.01</c:v>
                </c:pt>
                <c:pt idx="162">
                  <c:v>0.01</c:v>
                </c:pt>
                <c:pt idx="163">
                  <c:v>0.01</c:v>
                </c:pt>
                <c:pt idx="164">
                  <c:v>0.01</c:v>
                </c:pt>
                <c:pt idx="165">
                  <c:v>0.01</c:v>
                </c:pt>
                <c:pt idx="166">
                  <c:v>0.01</c:v>
                </c:pt>
                <c:pt idx="167">
                  <c:v>0.01</c:v>
                </c:pt>
                <c:pt idx="168">
                  <c:v>0.01</c:v>
                </c:pt>
                <c:pt idx="169">
                  <c:v>0.01</c:v>
                </c:pt>
                <c:pt idx="170">
                  <c:v>0.01</c:v>
                </c:pt>
                <c:pt idx="171">
                  <c:v>0.01</c:v>
                </c:pt>
                <c:pt idx="172">
                  <c:v>0.01</c:v>
                </c:pt>
                <c:pt idx="173">
                  <c:v>0.01</c:v>
                </c:pt>
                <c:pt idx="174">
                  <c:v>0.01</c:v>
                </c:pt>
                <c:pt idx="175">
                  <c:v>0.01</c:v>
                </c:pt>
                <c:pt idx="176">
                  <c:v>0.01</c:v>
                </c:pt>
                <c:pt idx="177">
                  <c:v>0.01</c:v>
                </c:pt>
                <c:pt idx="178">
                  <c:v>0.01</c:v>
                </c:pt>
                <c:pt idx="179">
                  <c:v>0.01</c:v>
                </c:pt>
                <c:pt idx="180">
                  <c:v>0.01</c:v>
                </c:pt>
                <c:pt idx="181">
                  <c:v>0.01</c:v>
                </c:pt>
                <c:pt idx="182">
                  <c:v>0.01</c:v>
                </c:pt>
                <c:pt idx="183">
                  <c:v>0.01</c:v>
                </c:pt>
                <c:pt idx="184">
                  <c:v>0.01</c:v>
                </c:pt>
                <c:pt idx="185">
                  <c:v>0.01</c:v>
                </c:pt>
                <c:pt idx="186">
                  <c:v>0.01</c:v>
                </c:pt>
                <c:pt idx="187">
                  <c:v>0.01</c:v>
                </c:pt>
                <c:pt idx="188">
                  <c:v>0.01</c:v>
                </c:pt>
                <c:pt idx="189">
                  <c:v>0.01</c:v>
                </c:pt>
                <c:pt idx="190">
                  <c:v>0.01</c:v>
                </c:pt>
                <c:pt idx="191">
                  <c:v>0.01</c:v>
                </c:pt>
                <c:pt idx="192">
                  <c:v>0.01</c:v>
                </c:pt>
                <c:pt idx="193">
                  <c:v>0.01</c:v>
                </c:pt>
                <c:pt idx="194">
                  <c:v>0.01</c:v>
                </c:pt>
                <c:pt idx="195">
                  <c:v>0.01</c:v>
                </c:pt>
                <c:pt idx="196">
                  <c:v>0.01</c:v>
                </c:pt>
                <c:pt idx="197">
                  <c:v>0.01</c:v>
                </c:pt>
                <c:pt idx="198">
                  <c:v>0.01</c:v>
                </c:pt>
                <c:pt idx="199">
                  <c:v>0.01</c:v>
                </c:pt>
                <c:pt idx="200">
                  <c:v>0.01</c:v>
                </c:pt>
                <c:pt idx="201">
                  <c:v>0.01</c:v>
                </c:pt>
                <c:pt idx="202">
                  <c:v>0.01</c:v>
                </c:pt>
                <c:pt idx="203">
                  <c:v>0.01</c:v>
                </c:pt>
                <c:pt idx="204">
                  <c:v>0.01</c:v>
                </c:pt>
                <c:pt idx="205">
                  <c:v>0.01</c:v>
                </c:pt>
                <c:pt idx="206">
                  <c:v>0.01</c:v>
                </c:pt>
                <c:pt idx="207">
                  <c:v>0.01</c:v>
                </c:pt>
                <c:pt idx="208">
                  <c:v>0.01</c:v>
                </c:pt>
                <c:pt idx="209">
                  <c:v>0.01</c:v>
                </c:pt>
                <c:pt idx="210">
                  <c:v>0.01</c:v>
                </c:pt>
                <c:pt idx="211">
                  <c:v>0.01</c:v>
                </c:pt>
                <c:pt idx="212">
                  <c:v>0.01</c:v>
                </c:pt>
                <c:pt idx="213">
                  <c:v>0.01</c:v>
                </c:pt>
                <c:pt idx="214">
                  <c:v>0.01</c:v>
                </c:pt>
                <c:pt idx="215">
                  <c:v>0.01</c:v>
                </c:pt>
                <c:pt idx="216">
                  <c:v>0.01</c:v>
                </c:pt>
                <c:pt idx="217">
                  <c:v>0.01</c:v>
                </c:pt>
                <c:pt idx="218">
                  <c:v>0.01</c:v>
                </c:pt>
                <c:pt idx="219">
                  <c:v>0.01</c:v>
                </c:pt>
                <c:pt idx="220">
                  <c:v>0.01</c:v>
                </c:pt>
                <c:pt idx="221">
                  <c:v>0.01</c:v>
                </c:pt>
                <c:pt idx="222">
                  <c:v>0.01</c:v>
                </c:pt>
                <c:pt idx="223">
                  <c:v>0.01</c:v>
                </c:pt>
                <c:pt idx="224">
                  <c:v>0.01</c:v>
                </c:pt>
                <c:pt idx="225">
                  <c:v>0.01</c:v>
                </c:pt>
                <c:pt idx="226">
                  <c:v>0.01</c:v>
                </c:pt>
                <c:pt idx="227">
                  <c:v>0.01</c:v>
                </c:pt>
                <c:pt idx="228">
                  <c:v>0.01</c:v>
                </c:pt>
                <c:pt idx="229">
                  <c:v>0.01</c:v>
                </c:pt>
                <c:pt idx="230">
                  <c:v>0.01</c:v>
                </c:pt>
                <c:pt idx="231">
                  <c:v>0.01</c:v>
                </c:pt>
                <c:pt idx="232">
                  <c:v>0.01</c:v>
                </c:pt>
                <c:pt idx="233">
                  <c:v>0.01</c:v>
                </c:pt>
                <c:pt idx="234">
                  <c:v>0.01</c:v>
                </c:pt>
                <c:pt idx="235">
                  <c:v>0.01</c:v>
                </c:pt>
                <c:pt idx="236">
                  <c:v>0.01</c:v>
                </c:pt>
                <c:pt idx="237">
                  <c:v>0.01</c:v>
                </c:pt>
                <c:pt idx="238">
                  <c:v>0.01</c:v>
                </c:pt>
                <c:pt idx="239">
                  <c:v>0.01</c:v>
                </c:pt>
                <c:pt idx="240">
                  <c:v>0.01</c:v>
                </c:pt>
              </c:numCache>
            </c:numRef>
          </c:yVal>
          <c:smooth val="1"/>
          <c:extLst xmlns:c16r2="http://schemas.microsoft.com/office/drawing/2015/06/chart">
            <c:ext xmlns:c16="http://schemas.microsoft.com/office/drawing/2014/chart" uri="{C3380CC4-5D6E-409C-BE32-E72D297353CC}">
              <c16:uniqueId val="{00000000-80A8-4490-AE15-47FBA0DFC8E5}"/>
            </c:ext>
          </c:extLst>
        </c:ser>
        <c:ser>
          <c:idx val="4"/>
          <c:order val="1"/>
          <c:tx>
            <c:v>0.2 Percent Annual Chance</c:v>
          </c:tx>
          <c:spPr>
            <a:ln>
              <a:solidFill>
                <a:schemeClr val="accent2"/>
              </a:solidFill>
            </a:ln>
          </c:spPr>
          <c:marker>
            <c:symbol val="none"/>
          </c:marker>
          <c:xVal>
            <c:numRef>
              <c:f>Precip_YHD1!$A$3:$A$243</c:f>
              <c:numCache>
                <c:formatCode>h:mm;@</c:formatCode>
                <c:ptCount val="241"/>
                <c:pt idx="0">
                  <c:v>0</c:v>
                </c:pt>
                <c:pt idx="1">
                  <c:v>4.1666666666666666E-3</c:v>
                </c:pt>
                <c:pt idx="2">
                  <c:v>8.3333333333333332E-3</c:v>
                </c:pt>
                <c:pt idx="3">
                  <c:v>1.2499999999999999E-2</c:v>
                </c:pt>
                <c:pt idx="4">
                  <c:v>1.6666666666666666E-2</c:v>
                </c:pt>
                <c:pt idx="5">
                  <c:v>2.0833333333333332E-2</c:v>
                </c:pt>
                <c:pt idx="6">
                  <c:v>2.4999999999999998E-2</c:v>
                </c:pt>
                <c:pt idx="7">
                  <c:v>2.9166666666666664E-2</c:v>
                </c:pt>
                <c:pt idx="8">
                  <c:v>3.3333333333333333E-2</c:v>
                </c:pt>
                <c:pt idx="9">
                  <c:v>3.7499999999999999E-2</c:v>
                </c:pt>
                <c:pt idx="10">
                  <c:v>4.1666666666666664E-2</c:v>
                </c:pt>
                <c:pt idx="11">
                  <c:v>4.5833333333333337E-2</c:v>
                </c:pt>
                <c:pt idx="12">
                  <c:v>4.9999999999999996E-2</c:v>
                </c:pt>
                <c:pt idx="13">
                  <c:v>5.4166666666666669E-2</c:v>
                </c:pt>
                <c:pt idx="14">
                  <c:v>5.8333333333333327E-2</c:v>
                </c:pt>
                <c:pt idx="15">
                  <c:v>6.25E-2</c:v>
                </c:pt>
                <c:pt idx="16">
                  <c:v>6.6666666666666666E-2</c:v>
                </c:pt>
                <c:pt idx="17">
                  <c:v>7.0833333333333331E-2</c:v>
                </c:pt>
                <c:pt idx="18">
                  <c:v>7.4999999999999997E-2</c:v>
                </c:pt>
                <c:pt idx="19">
                  <c:v>7.9166666666666663E-2</c:v>
                </c:pt>
                <c:pt idx="20">
                  <c:v>8.3333333333333329E-2</c:v>
                </c:pt>
                <c:pt idx="21">
                  <c:v>8.7500000000000008E-2</c:v>
                </c:pt>
                <c:pt idx="22">
                  <c:v>9.1666666666666674E-2</c:v>
                </c:pt>
                <c:pt idx="23">
                  <c:v>9.5833333333333326E-2</c:v>
                </c:pt>
                <c:pt idx="24">
                  <c:v>9.9999999999999992E-2</c:v>
                </c:pt>
                <c:pt idx="25">
                  <c:v>0.10416666666666667</c:v>
                </c:pt>
                <c:pt idx="26">
                  <c:v>0.10833333333333334</c:v>
                </c:pt>
                <c:pt idx="27">
                  <c:v>0.1125</c:v>
                </c:pt>
                <c:pt idx="28">
                  <c:v>0.11666666666666665</c:v>
                </c:pt>
                <c:pt idx="29">
                  <c:v>0.12083333333333333</c:v>
                </c:pt>
                <c:pt idx="30">
                  <c:v>0.125</c:v>
                </c:pt>
                <c:pt idx="31">
                  <c:v>0.12916666666666668</c:v>
                </c:pt>
                <c:pt idx="32">
                  <c:v>0.13333333333333333</c:v>
                </c:pt>
                <c:pt idx="33">
                  <c:v>0.13749999999999998</c:v>
                </c:pt>
                <c:pt idx="34">
                  <c:v>0.14166666666666666</c:v>
                </c:pt>
                <c:pt idx="35">
                  <c:v>0.14583333333333334</c:v>
                </c:pt>
                <c:pt idx="36">
                  <c:v>0.15</c:v>
                </c:pt>
                <c:pt idx="37">
                  <c:v>0.15416666666666667</c:v>
                </c:pt>
                <c:pt idx="38">
                  <c:v>0.15833333333333333</c:v>
                </c:pt>
                <c:pt idx="39">
                  <c:v>0.16250000000000001</c:v>
                </c:pt>
                <c:pt idx="40">
                  <c:v>0.16666666666666666</c:v>
                </c:pt>
                <c:pt idx="41">
                  <c:v>0.17083333333333331</c:v>
                </c:pt>
                <c:pt idx="42">
                  <c:v>0.17500000000000002</c:v>
                </c:pt>
                <c:pt idx="43">
                  <c:v>0.17916666666666667</c:v>
                </c:pt>
                <c:pt idx="44">
                  <c:v>0.18333333333333335</c:v>
                </c:pt>
                <c:pt idx="45">
                  <c:v>0.1875</c:v>
                </c:pt>
                <c:pt idx="46">
                  <c:v>0.19166666666666665</c:v>
                </c:pt>
                <c:pt idx="47">
                  <c:v>0.19583333333333333</c:v>
                </c:pt>
                <c:pt idx="48">
                  <c:v>0.19999999999999998</c:v>
                </c:pt>
                <c:pt idx="49">
                  <c:v>0.20416666666666669</c:v>
                </c:pt>
                <c:pt idx="50">
                  <c:v>0.20833333333333334</c:v>
                </c:pt>
                <c:pt idx="51">
                  <c:v>0.21249999999999999</c:v>
                </c:pt>
                <c:pt idx="52">
                  <c:v>0.21666666666666667</c:v>
                </c:pt>
                <c:pt idx="53">
                  <c:v>0.22083333333333333</c:v>
                </c:pt>
                <c:pt idx="54">
                  <c:v>0.22500000000000001</c:v>
                </c:pt>
                <c:pt idx="55">
                  <c:v>0.22916666666666666</c:v>
                </c:pt>
                <c:pt idx="56">
                  <c:v>0.23333333333333331</c:v>
                </c:pt>
                <c:pt idx="57">
                  <c:v>0.23750000000000002</c:v>
                </c:pt>
                <c:pt idx="58">
                  <c:v>0.24166666666666667</c:v>
                </c:pt>
                <c:pt idx="59">
                  <c:v>0.24583333333333335</c:v>
                </c:pt>
                <c:pt idx="60">
                  <c:v>0.25</c:v>
                </c:pt>
                <c:pt idx="61">
                  <c:v>0.25416666666666665</c:v>
                </c:pt>
                <c:pt idx="62">
                  <c:v>0.25833333333333336</c:v>
                </c:pt>
                <c:pt idx="63">
                  <c:v>0.26250000000000001</c:v>
                </c:pt>
                <c:pt idx="64">
                  <c:v>0.26666666666666666</c:v>
                </c:pt>
                <c:pt idx="65">
                  <c:v>0.27083333333333331</c:v>
                </c:pt>
                <c:pt idx="66">
                  <c:v>0.27499999999999997</c:v>
                </c:pt>
                <c:pt idx="67">
                  <c:v>0.27916666666666667</c:v>
                </c:pt>
                <c:pt idx="68">
                  <c:v>0.28333333333333333</c:v>
                </c:pt>
                <c:pt idx="69">
                  <c:v>0.28750000000000003</c:v>
                </c:pt>
                <c:pt idx="70">
                  <c:v>0.29166666666666669</c:v>
                </c:pt>
                <c:pt idx="71">
                  <c:v>0.29583333333333334</c:v>
                </c:pt>
                <c:pt idx="72">
                  <c:v>0.3</c:v>
                </c:pt>
                <c:pt idx="73">
                  <c:v>0.30416666666666664</c:v>
                </c:pt>
                <c:pt idx="74">
                  <c:v>0.30833333333333335</c:v>
                </c:pt>
                <c:pt idx="75">
                  <c:v>0.3125</c:v>
                </c:pt>
                <c:pt idx="76">
                  <c:v>0.31666666666666665</c:v>
                </c:pt>
                <c:pt idx="77">
                  <c:v>0.32083333333333336</c:v>
                </c:pt>
                <c:pt idx="78">
                  <c:v>0.32500000000000001</c:v>
                </c:pt>
                <c:pt idx="79">
                  <c:v>0.32916666666666666</c:v>
                </c:pt>
                <c:pt idx="80">
                  <c:v>0.33333333333333331</c:v>
                </c:pt>
                <c:pt idx="81">
                  <c:v>0.33749999999999997</c:v>
                </c:pt>
                <c:pt idx="82">
                  <c:v>0.34166666666666662</c:v>
                </c:pt>
                <c:pt idx="83">
                  <c:v>0.34583333333333338</c:v>
                </c:pt>
                <c:pt idx="84">
                  <c:v>0.35000000000000003</c:v>
                </c:pt>
                <c:pt idx="85">
                  <c:v>0.35416666666666669</c:v>
                </c:pt>
                <c:pt idx="86">
                  <c:v>0.35833333333333334</c:v>
                </c:pt>
                <c:pt idx="87">
                  <c:v>0.36249999999999999</c:v>
                </c:pt>
                <c:pt idx="88">
                  <c:v>0.3666666666666667</c:v>
                </c:pt>
                <c:pt idx="89">
                  <c:v>0.37083333333333335</c:v>
                </c:pt>
                <c:pt idx="90">
                  <c:v>0.375</c:v>
                </c:pt>
                <c:pt idx="91">
                  <c:v>0.37916666666666665</c:v>
                </c:pt>
                <c:pt idx="92">
                  <c:v>0.3833333333333333</c:v>
                </c:pt>
                <c:pt idx="93">
                  <c:v>0.38750000000000001</c:v>
                </c:pt>
                <c:pt idx="94">
                  <c:v>0.39166666666666666</c:v>
                </c:pt>
                <c:pt idx="95">
                  <c:v>0.39583333333333331</c:v>
                </c:pt>
                <c:pt idx="96">
                  <c:v>0.39999999999999997</c:v>
                </c:pt>
                <c:pt idx="97">
                  <c:v>0.40416666666666662</c:v>
                </c:pt>
                <c:pt idx="98">
                  <c:v>0.40833333333333338</c:v>
                </c:pt>
                <c:pt idx="99">
                  <c:v>0.41250000000000003</c:v>
                </c:pt>
                <c:pt idx="100">
                  <c:v>0.41666666666666669</c:v>
                </c:pt>
                <c:pt idx="101">
                  <c:v>0.42083333333333334</c:v>
                </c:pt>
                <c:pt idx="102">
                  <c:v>0.42499999999999999</c:v>
                </c:pt>
                <c:pt idx="103">
                  <c:v>0.4291666666666667</c:v>
                </c:pt>
                <c:pt idx="104">
                  <c:v>0.43333333333333335</c:v>
                </c:pt>
                <c:pt idx="105">
                  <c:v>0.4375</c:v>
                </c:pt>
                <c:pt idx="106">
                  <c:v>0.44166666666666665</c:v>
                </c:pt>
                <c:pt idx="107">
                  <c:v>0.4458333333333333</c:v>
                </c:pt>
                <c:pt idx="108">
                  <c:v>0.45</c:v>
                </c:pt>
                <c:pt idx="109">
                  <c:v>0.45416666666666666</c:v>
                </c:pt>
                <c:pt idx="110">
                  <c:v>0.45833333333333331</c:v>
                </c:pt>
                <c:pt idx="111">
                  <c:v>0.46249999999999997</c:v>
                </c:pt>
                <c:pt idx="112">
                  <c:v>0.46666666666666662</c:v>
                </c:pt>
                <c:pt idx="113">
                  <c:v>0.47083333333333338</c:v>
                </c:pt>
                <c:pt idx="114">
                  <c:v>0.47500000000000003</c:v>
                </c:pt>
                <c:pt idx="115">
                  <c:v>0.47916666666666669</c:v>
                </c:pt>
                <c:pt idx="116">
                  <c:v>0.48333333333333334</c:v>
                </c:pt>
                <c:pt idx="117">
                  <c:v>0.48749999999999999</c:v>
                </c:pt>
                <c:pt idx="118">
                  <c:v>0.4916666666666667</c:v>
                </c:pt>
                <c:pt idx="119">
                  <c:v>0.49583333333333335</c:v>
                </c:pt>
                <c:pt idx="120">
                  <c:v>0.5</c:v>
                </c:pt>
                <c:pt idx="121">
                  <c:v>0.50416666666666665</c:v>
                </c:pt>
                <c:pt idx="122">
                  <c:v>0.5083333333333333</c:v>
                </c:pt>
                <c:pt idx="123">
                  <c:v>0.51250000000000007</c:v>
                </c:pt>
                <c:pt idx="124">
                  <c:v>0.51666666666666672</c:v>
                </c:pt>
                <c:pt idx="125">
                  <c:v>0.52083333333333337</c:v>
                </c:pt>
                <c:pt idx="126">
                  <c:v>0.52500000000000002</c:v>
                </c:pt>
                <c:pt idx="127">
                  <c:v>0.52916666666666667</c:v>
                </c:pt>
                <c:pt idx="128">
                  <c:v>0.53333333333333333</c:v>
                </c:pt>
                <c:pt idx="129">
                  <c:v>0.53749999999999998</c:v>
                </c:pt>
                <c:pt idx="130">
                  <c:v>0.54166666666666663</c:v>
                </c:pt>
                <c:pt idx="131">
                  <c:v>0.54583333333333328</c:v>
                </c:pt>
                <c:pt idx="132">
                  <c:v>0.54999999999999993</c:v>
                </c:pt>
                <c:pt idx="133">
                  <c:v>0.5541666666666667</c:v>
                </c:pt>
                <c:pt idx="134">
                  <c:v>0.55833333333333335</c:v>
                </c:pt>
                <c:pt idx="135">
                  <c:v>0.5625</c:v>
                </c:pt>
                <c:pt idx="136">
                  <c:v>0.56666666666666665</c:v>
                </c:pt>
                <c:pt idx="137">
                  <c:v>0.5708333333333333</c:v>
                </c:pt>
                <c:pt idx="138">
                  <c:v>0.57500000000000007</c:v>
                </c:pt>
                <c:pt idx="139">
                  <c:v>0.57916666666666672</c:v>
                </c:pt>
                <c:pt idx="140">
                  <c:v>0.58333333333333337</c:v>
                </c:pt>
                <c:pt idx="141">
                  <c:v>0.58750000000000002</c:v>
                </c:pt>
                <c:pt idx="142">
                  <c:v>0.59166666666666667</c:v>
                </c:pt>
                <c:pt idx="143">
                  <c:v>0.59583333333333333</c:v>
                </c:pt>
                <c:pt idx="144">
                  <c:v>0.6</c:v>
                </c:pt>
                <c:pt idx="145">
                  <c:v>0.60416666666666663</c:v>
                </c:pt>
                <c:pt idx="146">
                  <c:v>0.60833333333333328</c:v>
                </c:pt>
                <c:pt idx="147">
                  <c:v>0.61249999999999993</c:v>
                </c:pt>
                <c:pt idx="148">
                  <c:v>0.6166666666666667</c:v>
                </c:pt>
                <c:pt idx="149">
                  <c:v>0.62083333333333335</c:v>
                </c:pt>
                <c:pt idx="150">
                  <c:v>0.625</c:v>
                </c:pt>
                <c:pt idx="151">
                  <c:v>0.62916666666666665</c:v>
                </c:pt>
                <c:pt idx="152">
                  <c:v>0.6333333333333333</c:v>
                </c:pt>
                <c:pt idx="153">
                  <c:v>0.63750000000000007</c:v>
                </c:pt>
                <c:pt idx="154">
                  <c:v>0.64166666666666672</c:v>
                </c:pt>
                <c:pt idx="155">
                  <c:v>0.64583333333333337</c:v>
                </c:pt>
                <c:pt idx="156">
                  <c:v>0.65</c:v>
                </c:pt>
                <c:pt idx="157">
                  <c:v>0.65416666666666667</c:v>
                </c:pt>
                <c:pt idx="158">
                  <c:v>0.65833333333333333</c:v>
                </c:pt>
                <c:pt idx="159">
                  <c:v>0.66249999999999998</c:v>
                </c:pt>
                <c:pt idx="160">
                  <c:v>0.66666666666666663</c:v>
                </c:pt>
                <c:pt idx="161">
                  <c:v>0.67083333333333339</c:v>
                </c:pt>
                <c:pt idx="162">
                  <c:v>0.67499999999999993</c:v>
                </c:pt>
                <c:pt idx="163">
                  <c:v>0.6791666666666667</c:v>
                </c:pt>
                <c:pt idx="164">
                  <c:v>0.68333333333333324</c:v>
                </c:pt>
                <c:pt idx="165">
                  <c:v>0.6875</c:v>
                </c:pt>
                <c:pt idx="166">
                  <c:v>0.69166666666666676</c:v>
                </c:pt>
                <c:pt idx="167">
                  <c:v>0.6958333333333333</c:v>
                </c:pt>
                <c:pt idx="168">
                  <c:v>0.70000000000000007</c:v>
                </c:pt>
                <c:pt idx="169">
                  <c:v>0.70416666666666661</c:v>
                </c:pt>
                <c:pt idx="170">
                  <c:v>0.70833333333333337</c:v>
                </c:pt>
                <c:pt idx="171">
                  <c:v>0.71250000000000002</c:v>
                </c:pt>
                <c:pt idx="172">
                  <c:v>0.71666666666666667</c:v>
                </c:pt>
                <c:pt idx="173">
                  <c:v>0.72083333333333333</c:v>
                </c:pt>
                <c:pt idx="174">
                  <c:v>0.72499999999999998</c:v>
                </c:pt>
                <c:pt idx="175">
                  <c:v>0.72916666666666663</c:v>
                </c:pt>
                <c:pt idx="176">
                  <c:v>0.73333333333333339</c:v>
                </c:pt>
                <c:pt idx="177">
                  <c:v>0.73749999999999993</c:v>
                </c:pt>
                <c:pt idx="178">
                  <c:v>0.7416666666666667</c:v>
                </c:pt>
                <c:pt idx="179">
                  <c:v>0.74583333333333324</c:v>
                </c:pt>
                <c:pt idx="180">
                  <c:v>0.75</c:v>
                </c:pt>
                <c:pt idx="181">
                  <c:v>0.75416666666666676</c:v>
                </c:pt>
                <c:pt idx="182">
                  <c:v>0.7583333333333333</c:v>
                </c:pt>
                <c:pt idx="183">
                  <c:v>0.76250000000000007</c:v>
                </c:pt>
                <c:pt idx="184">
                  <c:v>0.76666666666666661</c:v>
                </c:pt>
                <c:pt idx="185">
                  <c:v>0.77083333333333337</c:v>
                </c:pt>
                <c:pt idx="186">
                  <c:v>0.77500000000000002</c:v>
                </c:pt>
                <c:pt idx="187">
                  <c:v>0.77916666666666667</c:v>
                </c:pt>
                <c:pt idx="188">
                  <c:v>0.78333333333333333</c:v>
                </c:pt>
                <c:pt idx="189">
                  <c:v>0.78749999999999998</c:v>
                </c:pt>
                <c:pt idx="190">
                  <c:v>0.79166666666666663</c:v>
                </c:pt>
                <c:pt idx="191">
                  <c:v>0.79583333333333339</c:v>
                </c:pt>
                <c:pt idx="192">
                  <c:v>0.79999999999999993</c:v>
                </c:pt>
                <c:pt idx="193">
                  <c:v>0.8041666666666667</c:v>
                </c:pt>
                <c:pt idx="194">
                  <c:v>0.80833333333333324</c:v>
                </c:pt>
                <c:pt idx="195">
                  <c:v>0.8125</c:v>
                </c:pt>
                <c:pt idx="196">
                  <c:v>0.81666666666666676</c:v>
                </c:pt>
                <c:pt idx="197">
                  <c:v>0.8208333333333333</c:v>
                </c:pt>
                <c:pt idx="198">
                  <c:v>0.82500000000000007</c:v>
                </c:pt>
                <c:pt idx="199">
                  <c:v>0.82916666666666661</c:v>
                </c:pt>
                <c:pt idx="200">
                  <c:v>0.83333333333333337</c:v>
                </c:pt>
                <c:pt idx="201">
                  <c:v>0.83750000000000002</c:v>
                </c:pt>
                <c:pt idx="202">
                  <c:v>0.84166666666666667</c:v>
                </c:pt>
                <c:pt idx="203">
                  <c:v>0.84583333333333333</c:v>
                </c:pt>
                <c:pt idx="204">
                  <c:v>0.85</c:v>
                </c:pt>
                <c:pt idx="205">
                  <c:v>0.85416666666666663</c:v>
                </c:pt>
                <c:pt idx="206">
                  <c:v>0.85833333333333339</c:v>
                </c:pt>
                <c:pt idx="207">
                  <c:v>0.86249999999999993</c:v>
                </c:pt>
                <c:pt idx="208">
                  <c:v>0.8666666666666667</c:v>
                </c:pt>
                <c:pt idx="209">
                  <c:v>0.87083333333333324</c:v>
                </c:pt>
                <c:pt idx="210">
                  <c:v>0.875</c:v>
                </c:pt>
                <c:pt idx="211">
                  <c:v>0.87916666666666676</c:v>
                </c:pt>
                <c:pt idx="212">
                  <c:v>0.8833333333333333</c:v>
                </c:pt>
                <c:pt idx="213">
                  <c:v>0.88750000000000007</c:v>
                </c:pt>
                <c:pt idx="214">
                  <c:v>0.89166666666666661</c:v>
                </c:pt>
                <c:pt idx="215">
                  <c:v>0.89583333333333337</c:v>
                </c:pt>
                <c:pt idx="216">
                  <c:v>0.9</c:v>
                </c:pt>
                <c:pt idx="217">
                  <c:v>0.90416666666666667</c:v>
                </c:pt>
                <c:pt idx="218">
                  <c:v>0.90833333333333333</c:v>
                </c:pt>
                <c:pt idx="219">
                  <c:v>0.91249999999999998</c:v>
                </c:pt>
                <c:pt idx="220">
                  <c:v>0.91666666666666663</c:v>
                </c:pt>
                <c:pt idx="221">
                  <c:v>0.92083333333333339</c:v>
                </c:pt>
                <c:pt idx="222">
                  <c:v>0.92499999999999993</c:v>
                </c:pt>
                <c:pt idx="223">
                  <c:v>0.9291666666666667</c:v>
                </c:pt>
                <c:pt idx="224">
                  <c:v>0.93333333333333324</c:v>
                </c:pt>
                <c:pt idx="225">
                  <c:v>0.9375</c:v>
                </c:pt>
                <c:pt idx="226">
                  <c:v>0.94166666666666676</c:v>
                </c:pt>
                <c:pt idx="227">
                  <c:v>0.9458333333333333</c:v>
                </c:pt>
                <c:pt idx="228">
                  <c:v>0.95000000000000007</c:v>
                </c:pt>
                <c:pt idx="229">
                  <c:v>0.95416666666666661</c:v>
                </c:pt>
                <c:pt idx="230">
                  <c:v>0.95833333333333337</c:v>
                </c:pt>
                <c:pt idx="231">
                  <c:v>0.96250000000000002</c:v>
                </c:pt>
                <c:pt idx="232">
                  <c:v>0.96666666666666667</c:v>
                </c:pt>
                <c:pt idx="233">
                  <c:v>0.97083333333333333</c:v>
                </c:pt>
                <c:pt idx="234">
                  <c:v>0.97499999999999998</c:v>
                </c:pt>
                <c:pt idx="235">
                  <c:v>0.97916666666666663</c:v>
                </c:pt>
                <c:pt idx="236">
                  <c:v>0.98333333333333339</c:v>
                </c:pt>
                <c:pt idx="237">
                  <c:v>0.98749999999999993</c:v>
                </c:pt>
                <c:pt idx="238">
                  <c:v>0.9916666666666667</c:v>
                </c:pt>
                <c:pt idx="239">
                  <c:v>0.99583333333333324</c:v>
                </c:pt>
                <c:pt idx="240">
                  <c:v>1</c:v>
                </c:pt>
              </c:numCache>
            </c:numRef>
          </c:xVal>
          <c:yVal>
            <c:numRef>
              <c:f>Precip_YHD1!$F$3:$F$243</c:f>
              <c:numCache>
                <c:formatCode>General</c:formatCode>
                <c:ptCount val="241"/>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c:v>
                </c:pt>
                <c:pt idx="76">
                  <c:v>0</c:v>
                </c:pt>
                <c:pt idx="77">
                  <c:v>0</c:v>
                </c:pt>
                <c:pt idx="78">
                  <c:v>0</c:v>
                </c:pt>
                <c:pt idx="79">
                  <c:v>0</c:v>
                </c:pt>
                <c:pt idx="80">
                  <c:v>0</c:v>
                </c:pt>
                <c:pt idx="81">
                  <c:v>0</c:v>
                </c:pt>
                <c:pt idx="82">
                  <c:v>0</c:v>
                </c:pt>
                <c:pt idx="83">
                  <c:v>0</c:v>
                </c:pt>
                <c:pt idx="84">
                  <c:v>0</c:v>
                </c:pt>
                <c:pt idx="85">
                  <c:v>0</c:v>
                </c:pt>
                <c:pt idx="86">
                  <c:v>0</c:v>
                </c:pt>
                <c:pt idx="87">
                  <c:v>0</c:v>
                </c:pt>
                <c:pt idx="88">
                  <c:v>0</c:v>
                </c:pt>
                <c:pt idx="89">
                  <c:v>0</c:v>
                </c:pt>
                <c:pt idx="90">
                  <c:v>0</c:v>
                </c:pt>
                <c:pt idx="91">
                  <c:v>0</c:v>
                </c:pt>
                <c:pt idx="92">
                  <c:v>0</c:v>
                </c:pt>
                <c:pt idx="93">
                  <c:v>0.01</c:v>
                </c:pt>
                <c:pt idx="94">
                  <c:v>0.01</c:v>
                </c:pt>
                <c:pt idx="95">
                  <c:v>0.01</c:v>
                </c:pt>
                <c:pt idx="96">
                  <c:v>0.01</c:v>
                </c:pt>
                <c:pt idx="97">
                  <c:v>0.01</c:v>
                </c:pt>
                <c:pt idx="98">
                  <c:v>0.01</c:v>
                </c:pt>
                <c:pt idx="99">
                  <c:v>0.01</c:v>
                </c:pt>
                <c:pt idx="100">
                  <c:v>0.01</c:v>
                </c:pt>
                <c:pt idx="101">
                  <c:v>0.01</c:v>
                </c:pt>
                <c:pt idx="102">
                  <c:v>0.01</c:v>
                </c:pt>
                <c:pt idx="103">
                  <c:v>0.01</c:v>
                </c:pt>
                <c:pt idx="104">
                  <c:v>0.01</c:v>
                </c:pt>
                <c:pt idx="105">
                  <c:v>0.01</c:v>
                </c:pt>
                <c:pt idx="106">
                  <c:v>0.02</c:v>
                </c:pt>
                <c:pt idx="107">
                  <c:v>0.02</c:v>
                </c:pt>
                <c:pt idx="108">
                  <c:v>0.02</c:v>
                </c:pt>
                <c:pt idx="109">
                  <c:v>0.02</c:v>
                </c:pt>
                <c:pt idx="110">
                  <c:v>0.02</c:v>
                </c:pt>
                <c:pt idx="111">
                  <c:v>0.04</c:v>
                </c:pt>
                <c:pt idx="112">
                  <c:v>0.04</c:v>
                </c:pt>
                <c:pt idx="113">
                  <c:v>0.04</c:v>
                </c:pt>
                <c:pt idx="114">
                  <c:v>0.05</c:v>
                </c:pt>
                <c:pt idx="115">
                  <c:v>0.06</c:v>
                </c:pt>
                <c:pt idx="116">
                  <c:v>0.11</c:v>
                </c:pt>
                <c:pt idx="117">
                  <c:v>0.13</c:v>
                </c:pt>
                <c:pt idx="118">
                  <c:v>0.15</c:v>
                </c:pt>
                <c:pt idx="119">
                  <c:v>0.13</c:v>
                </c:pt>
                <c:pt idx="120">
                  <c:v>0.33</c:v>
                </c:pt>
                <c:pt idx="121">
                  <c:v>0.65</c:v>
                </c:pt>
                <c:pt idx="122">
                  <c:v>0.23</c:v>
                </c:pt>
                <c:pt idx="123">
                  <c:v>0.14000000000000001</c:v>
                </c:pt>
                <c:pt idx="124">
                  <c:v>0.18</c:v>
                </c:pt>
                <c:pt idx="125">
                  <c:v>0.17</c:v>
                </c:pt>
                <c:pt idx="126">
                  <c:v>0.1</c:v>
                </c:pt>
                <c:pt idx="127">
                  <c:v>0.09</c:v>
                </c:pt>
                <c:pt idx="128">
                  <c:v>0.08</c:v>
                </c:pt>
                <c:pt idx="129">
                  <c:v>7.0000000000000007E-2</c:v>
                </c:pt>
                <c:pt idx="130">
                  <c:v>7.0000000000000007E-2</c:v>
                </c:pt>
                <c:pt idx="131">
                  <c:v>0.05</c:v>
                </c:pt>
                <c:pt idx="132">
                  <c:v>0.05</c:v>
                </c:pt>
                <c:pt idx="133">
                  <c:v>0.04</c:v>
                </c:pt>
                <c:pt idx="134">
                  <c:v>0.04</c:v>
                </c:pt>
                <c:pt idx="135">
                  <c:v>0.04</c:v>
                </c:pt>
                <c:pt idx="136">
                  <c:v>0.03</c:v>
                </c:pt>
                <c:pt idx="137">
                  <c:v>0.03</c:v>
                </c:pt>
                <c:pt idx="138">
                  <c:v>0.03</c:v>
                </c:pt>
                <c:pt idx="139">
                  <c:v>0.03</c:v>
                </c:pt>
                <c:pt idx="140">
                  <c:v>0.03</c:v>
                </c:pt>
                <c:pt idx="141">
                  <c:v>0.03</c:v>
                </c:pt>
                <c:pt idx="142">
                  <c:v>0.02</c:v>
                </c:pt>
                <c:pt idx="143">
                  <c:v>0.02</c:v>
                </c:pt>
                <c:pt idx="144">
                  <c:v>0.02</c:v>
                </c:pt>
                <c:pt idx="145">
                  <c:v>0.02</c:v>
                </c:pt>
                <c:pt idx="146">
                  <c:v>0.02</c:v>
                </c:pt>
                <c:pt idx="147">
                  <c:v>0.02</c:v>
                </c:pt>
                <c:pt idx="148">
                  <c:v>0.02</c:v>
                </c:pt>
                <c:pt idx="149">
                  <c:v>0.02</c:v>
                </c:pt>
                <c:pt idx="150">
                  <c:v>0.02</c:v>
                </c:pt>
                <c:pt idx="151">
                  <c:v>0.02</c:v>
                </c:pt>
                <c:pt idx="152">
                  <c:v>0.02</c:v>
                </c:pt>
                <c:pt idx="153">
                  <c:v>0.02</c:v>
                </c:pt>
                <c:pt idx="154">
                  <c:v>0.02</c:v>
                </c:pt>
                <c:pt idx="155">
                  <c:v>0.02</c:v>
                </c:pt>
                <c:pt idx="156">
                  <c:v>0.01</c:v>
                </c:pt>
                <c:pt idx="157">
                  <c:v>0.01</c:v>
                </c:pt>
                <c:pt idx="158">
                  <c:v>0.01</c:v>
                </c:pt>
                <c:pt idx="159">
                  <c:v>0.01</c:v>
                </c:pt>
                <c:pt idx="160">
                  <c:v>0.01</c:v>
                </c:pt>
                <c:pt idx="161">
                  <c:v>0.01</c:v>
                </c:pt>
                <c:pt idx="162">
                  <c:v>0.01</c:v>
                </c:pt>
                <c:pt idx="163">
                  <c:v>0.01</c:v>
                </c:pt>
                <c:pt idx="164">
                  <c:v>0.01</c:v>
                </c:pt>
                <c:pt idx="165">
                  <c:v>0.01</c:v>
                </c:pt>
                <c:pt idx="166">
                  <c:v>0.01</c:v>
                </c:pt>
                <c:pt idx="167">
                  <c:v>0.01</c:v>
                </c:pt>
                <c:pt idx="168">
                  <c:v>0.01</c:v>
                </c:pt>
                <c:pt idx="169">
                  <c:v>0.01</c:v>
                </c:pt>
                <c:pt idx="170">
                  <c:v>0.01</c:v>
                </c:pt>
                <c:pt idx="171">
                  <c:v>0.01</c:v>
                </c:pt>
                <c:pt idx="172">
                  <c:v>0.01</c:v>
                </c:pt>
                <c:pt idx="173">
                  <c:v>0.01</c:v>
                </c:pt>
                <c:pt idx="174">
                  <c:v>0.01</c:v>
                </c:pt>
                <c:pt idx="175">
                  <c:v>0.01</c:v>
                </c:pt>
                <c:pt idx="176">
                  <c:v>0.01</c:v>
                </c:pt>
                <c:pt idx="177">
                  <c:v>0.01</c:v>
                </c:pt>
                <c:pt idx="178">
                  <c:v>0.01</c:v>
                </c:pt>
                <c:pt idx="179">
                  <c:v>0.01</c:v>
                </c:pt>
                <c:pt idx="180">
                  <c:v>0.01</c:v>
                </c:pt>
                <c:pt idx="181">
                  <c:v>0.01</c:v>
                </c:pt>
                <c:pt idx="182">
                  <c:v>0.01</c:v>
                </c:pt>
                <c:pt idx="183">
                  <c:v>0.01</c:v>
                </c:pt>
                <c:pt idx="184">
                  <c:v>0.01</c:v>
                </c:pt>
                <c:pt idx="185">
                  <c:v>0.01</c:v>
                </c:pt>
                <c:pt idx="186">
                  <c:v>0.01</c:v>
                </c:pt>
                <c:pt idx="187">
                  <c:v>0.01</c:v>
                </c:pt>
                <c:pt idx="188">
                  <c:v>0.01</c:v>
                </c:pt>
                <c:pt idx="189">
                  <c:v>0.01</c:v>
                </c:pt>
                <c:pt idx="190">
                  <c:v>0.01</c:v>
                </c:pt>
                <c:pt idx="191">
                  <c:v>0.01</c:v>
                </c:pt>
                <c:pt idx="192">
                  <c:v>0.01</c:v>
                </c:pt>
                <c:pt idx="193">
                  <c:v>0.01</c:v>
                </c:pt>
                <c:pt idx="194">
                  <c:v>0.01</c:v>
                </c:pt>
                <c:pt idx="195">
                  <c:v>0.01</c:v>
                </c:pt>
                <c:pt idx="196">
                  <c:v>0.01</c:v>
                </c:pt>
                <c:pt idx="197">
                  <c:v>0.01</c:v>
                </c:pt>
                <c:pt idx="198">
                  <c:v>0.01</c:v>
                </c:pt>
                <c:pt idx="199">
                  <c:v>0.01</c:v>
                </c:pt>
                <c:pt idx="200">
                  <c:v>0.01</c:v>
                </c:pt>
                <c:pt idx="201">
                  <c:v>0.01</c:v>
                </c:pt>
                <c:pt idx="202">
                  <c:v>0.01</c:v>
                </c:pt>
                <c:pt idx="203">
                  <c:v>0.01</c:v>
                </c:pt>
                <c:pt idx="204">
                  <c:v>0.01</c:v>
                </c:pt>
                <c:pt idx="205">
                  <c:v>0.01</c:v>
                </c:pt>
                <c:pt idx="206">
                  <c:v>0.01</c:v>
                </c:pt>
                <c:pt idx="207">
                  <c:v>0.01</c:v>
                </c:pt>
                <c:pt idx="208">
                  <c:v>0.01</c:v>
                </c:pt>
                <c:pt idx="209">
                  <c:v>0.01</c:v>
                </c:pt>
                <c:pt idx="210">
                  <c:v>0.01</c:v>
                </c:pt>
                <c:pt idx="211">
                  <c:v>0.01</c:v>
                </c:pt>
                <c:pt idx="212">
                  <c:v>0.01</c:v>
                </c:pt>
                <c:pt idx="213">
                  <c:v>0.01</c:v>
                </c:pt>
                <c:pt idx="214">
                  <c:v>0.01</c:v>
                </c:pt>
                <c:pt idx="215">
                  <c:v>0.01</c:v>
                </c:pt>
                <c:pt idx="216">
                  <c:v>0.01</c:v>
                </c:pt>
                <c:pt idx="217">
                  <c:v>0.01</c:v>
                </c:pt>
                <c:pt idx="218">
                  <c:v>0.01</c:v>
                </c:pt>
                <c:pt idx="219">
                  <c:v>0.01</c:v>
                </c:pt>
                <c:pt idx="220">
                  <c:v>0.01</c:v>
                </c:pt>
                <c:pt idx="221">
                  <c:v>0.01</c:v>
                </c:pt>
                <c:pt idx="222">
                  <c:v>0.01</c:v>
                </c:pt>
                <c:pt idx="223">
                  <c:v>0.01</c:v>
                </c:pt>
                <c:pt idx="224">
                  <c:v>0.01</c:v>
                </c:pt>
                <c:pt idx="225">
                  <c:v>0.01</c:v>
                </c:pt>
                <c:pt idx="226">
                  <c:v>0.01</c:v>
                </c:pt>
                <c:pt idx="227">
                  <c:v>0.01</c:v>
                </c:pt>
                <c:pt idx="228">
                  <c:v>0.01</c:v>
                </c:pt>
                <c:pt idx="229">
                  <c:v>0.01</c:v>
                </c:pt>
                <c:pt idx="230">
                  <c:v>0.01</c:v>
                </c:pt>
                <c:pt idx="231">
                  <c:v>0.01</c:v>
                </c:pt>
                <c:pt idx="232">
                  <c:v>0.01</c:v>
                </c:pt>
                <c:pt idx="233">
                  <c:v>0.01</c:v>
                </c:pt>
                <c:pt idx="234">
                  <c:v>0.01</c:v>
                </c:pt>
                <c:pt idx="235">
                  <c:v>0.01</c:v>
                </c:pt>
                <c:pt idx="236">
                  <c:v>0.01</c:v>
                </c:pt>
                <c:pt idx="237">
                  <c:v>0.01</c:v>
                </c:pt>
                <c:pt idx="238">
                  <c:v>0.01</c:v>
                </c:pt>
                <c:pt idx="239">
                  <c:v>0.01</c:v>
                </c:pt>
                <c:pt idx="240">
                  <c:v>0.01</c:v>
                </c:pt>
              </c:numCache>
            </c:numRef>
          </c:yVal>
          <c:smooth val="1"/>
          <c:extLst xmlns:c16r2="http://schemas.microsoft.com/office/drawing/2015/06/chart">
            <c:ext xmlns:c16="http://schemas.microsoft.com/office/drawing/2014/chart" uri="{C3380CC4-5D6E-409C-BE32-E72D297353CC}">
              <c16:uniqueId val="{00000000-023E-4C89-B2BA-AFA834A25DAC}"/>
            </c:ext>
          </c:extLst>
        </c:ser>
        <c:ser>
          <c:idx val="3"/>
          <c:order val="2"/>
          <c:tx>
            <c:v>1 Percent Annual Chance</c:v>
          </c:tx>
          <c:spPr>
            <a:ln>
              <a:solidFill>
                <a:schemeClr val="tx1"/>
              </a:solidFill>
            </a:ln>
          </c:spPr>
          <c:marker>
            <c:symbol val="none"/>
          </c:marker>
          <c:xVal>
            <c:numRef>
              <c:f>Precip_YHD1!$A$3:$A$243</c:f>
              <c:numCache>
                <c:formatCode>h:mm;@</c:formatCode>
                <c:ptCount val="241"/>
                <c:pt idx="0">
                  <c:v>0</c:v>
                </c:pt>
                <c:pt idx="1">
                  <c:v>4.1666666666666666E-3</c:v>
                </c:pt>
                <c:pt idx="2">
                  <c:v>8.3333333333333332E-3</c:v>
                </c:pt>
                <c:pt idx="3">
                  <c:v>1.2499999999999999E-2</c:v>
                </c:pt>
                <c:pt idx="4">
                  <c:v>1.6666666666666666E-2</c:v>
                </c:pt>
                <c:pt idx="5">
                  <c:v>2.0833333333333332E-2</c:v>
                </c:pt>
                <c:pt idx="6">
                  <c:v>2.4999999999999998E-2</c:v>
                </c:pt>
                <c:pt idx="7">
                  <c:v>2.9166666666666664E-2</c:v>
                </c:pt>
                <c:pt idx="8">
                  <c:v>3.3333333333333333E-2</c:v>
                </c:pt>
                <c:pt idx="9">
                  <c:v>3.7499999999999999E-2</c:v>
                </c:pt>
                <c:pt idx="10">
                  <c:v>4.1666666666666664E-2</c:v>
                </c:pt>
                <c:pt idx="11">
                  <c:v>4.5833333333333337E-2</c:v>
                </c:pt>
                <c:pt idx="12">
                  <c:v>4.9999999999999996E-2</c:v>
                </c:pt>
                <c:pt idx="13">
                  <c:v>5.4166666666666669E-2</c:v>
                </c:pt>
                <c:pt idx="14">
                  <c:v>5.8333333333333327E-2</c:v>
                </c:pt>
                <c:pt idx="15">
                  <c:v>6.25E-2</c:v>
                </c:pt>
                <c:pt idx="16">
                  <c:v>6.6666666666666666E-2</c:v>
                </c:pt>
                <c:pt idx="17">
                  <c:v>7.0833333333333331E-2</c:v>
                </c:pt>
                <c:pt idx="18">
                  <c:v>7.4999999999999997E-2</c:v>
                </c:pt>
                <c:pt idx="19">
                  <c:v>7.9166666666666663E-2</c:v>
                </c:pt>
                <c:pt idx="20">
                  <c:v>8.3333333333333329E-2</c:v>
                </c:pt>
                <c:pt idx="21">
                  <c:v>8.7500000000000008E-2</c:v>
                </c:pt>
                <c:pt idx="22">
                  <c:v>9.1666666666666674E-2</c:v>
                </c:pt>
                <c:pt idx="23">
                  <c:v>9.5833333333333326E-2</c:v>
                </c:pt>
                <c:pt idx="24">
                  <c:v>9.9999999999999992E-2</c:v>
                </c:pt>
                <c:pt idx="25">
                  <c:v>0.10416666666666667</c:v>
                </c:pt>
                <c:pt idx="26">
                  <c:v>0.10833333333333334</c:v>
                </c:pt>
                <c:pt idx="27">
                  <c:v>0.1125</c:v>
                </c:pt>
                <c:pt idx="28">
                  <c:v>0.11666666666666665</c:v>
                </c:pt>
                <c:pt idx="29">
                  <c:v>0.12083333333333333</c:v>
                </c:pt>
                <c:pt idx="30">
                  <c:v>0.125</c:v>
                </c:pt>
                <c:pt idx="31">
                  <c:v>0.12916666666666668</c:v>
                </c:pt>
                <c:pt idx="32">
                  <c:v>0.13333333333333333</c:v>
                </c:pt>
                <c:pt idx="33">
                  <c:v>0.13749999999999998</c:v>
                </c:pt>
                <c:pt idx="34">
                  <c:v>0.14166666666666666</c:v>
                </c:pt>
                <c:pt idx="35">
                  <c:v>0.14583333333333334</c:v>
                </c:pt>
                <c:pt idx="36">
                  <c:v>0.15</c:v>
                </c:pt>
                <c:pt idx="37">
                  <c:v>0.15416666666666667</c:v>
                </c:pt>
                <c:pt idx="38">
                  <c:v>0.15833333333333333</c:v>
                </c:pt>
                <c:pt idx="39">
                  <c:v>0.16250000000000001</c:v>
                </c:pt>
                <c:pt idx="40">
                  <c:v>0.16666666666666666</c:v>
                </c:pt>
                <c:pt idx="41">
                  <c:v>0.17083333333333331</c:v>
                </c:pt>
                <c:pt idx="42">
                  <c:v>0.17500000000000002</c:v>
                </c:pt>
                <c:pt idx="43">
                  <c:v>0.17916666666666667</c:v>
                </c:pt>
                <c:pt idx="44">
                  <c:v>0.18333333333333335</c:v>
                </c:pt>
                <c:pt idx="45">
                  <c:v>0.1875</c:v>
                </c:pt>
                <c:pt idx="46">
                  <c:v>0.19166666666666665</c:v>
                </c:pt>
                <c:pt idx="47">
                  <c:v>0.19583333333333333</c:v>
                </c:pt>
                <c:pt idx="48">
                  <c:v>0.19999999999999998</c:v>
                </c:pt>
                <c:pt idx="49">
                  <c:v>0.20416666666666669</c:v>
                </c:pt>
                <c:pt idx="50">
                  <c:v>0.20833333333333334</c:v>
                </c:pt>
                <c:pt idx="51">
                  <c:v>0.21249999999999999</c:v>
                </c:pt>
                <c:pt idx="52">
                  <c:v>0.21666666666666667</c:v>
                </c:pt>
                <c:pt idx="53">
                  <c:v>0.22083333333333333</c:v>
                </c:pt>
                <c:pt idx="54">
                  <c:v>0.22500000000000001</c:v>
                </c:pt>
                <c:pt idx="55">
                  <c:v>0.22916666666666666</c:v>
                </c:pt>
                <c:pt idx="56">
                  <c:v>0.23333333333333331</c:v>
                </c:pt>
                <c:pt idx="57">
                  <c:v>0.23750000000000002</c:v>
                </c:pt>
                <c:pt idx="58">
                  <c:v>0.24166666666666667</c:v>
                </c:pt>
                <c:pt idx="59">
                  <c:v>0.24583333333333335</c:v>
                </c:pt>
                <c:pt idx="60">
                  <c:v>0.25</c:v>
                </c:pt>
                <c:pt idx="61">
                  <c:v>0.25416666666666665</c:v>
                </c:pt>
                <c:pt idx="62">
                  <c:v>0.25833333333333336</c:v>
                </c:pt>
                <c:pt idx="63">
                  <c:v>0.26250000000000001</c:v>
                </c:pt>
                <c:pt idx="64">
                  <c:v>0.26666666666666666</c:v>
                </c:pt>
                <c:pt idx="65">
                  <c:v>0.27083333333333331</c:v>
                </c:pt>
                <c:pt idx="66">
                  <c:v>0.27499999999999997</c:v>
                </c:pt>
                <c:pt idx="67">
                  <c:v>0.27916666666666667</c:v>
                </c:pt>
                <c:pt idx="68">
                  <c:v>0.28333333333333333</c:v>
                </c:pt>
                <c:pt idx="69">
                  <c:v>0.28750000000000003</c:v>
                </c:pt>
                <c:pt idx="70">
                  <c:v>0.29166666666666669</c:v>
                </c:pt>
                <c:pt idx="71">
                  <c:v>0.29583333333333334</c:v>
                </c:pt>
                <c:pt idx="72">
                  <c:v>0.3</c:v>
                </c:pt>
                <c:pt idx="73">
                  <c:v>0.30416666666666664</c:v>
                </c:pt>
                <c:pt idx="74">
                  <c:v>0.30833333333333335</c:v>
                </c:pt>
                <c:pt idx="75">
                  <c:v>0.3125</c:v>
                </c:pt>
                <c:pt idx="76">
                  <c:v>0.31666666666666665</c:v>
                </c:pt>
                <c:pt idx="77">
                  <c:v>0.32083333333333336</c:v>
                </c:pt>
                <c:pt idx="78">
                  <c:v>0.32500000000000001</c:v>
                </c:pt>
                <c:pt idx="79">
                  <c:v>0.32916666666666666</c:v>
                </c:pt>
                <c:pt idx="80">
                  <c:v>0.33333333333333331</c:v>
                </c:pt>
                <c:pt idx="81">
                  <c:v>0.33749999999999997</c:v>
                </c:pt>
                <c:pt idx="82">
                  <c:v>0.34166666666666662</c:v>
                </c:pt>
                <c:pt idx="83">
                  <c:v>0.34583333333333338</c:v>
                </c:pt>
                <c:pt idx="84">
                  <c:v>0.35000000000000003</c:v>
                </c:pt>
                <c:pt idx="85">
                  <c:v>0.35416666666666669</c:v>
                </c:pt>
                <c:pt idx="86">
                  <c:v>0.35833333333333334</c:v>
                </c:pt>
                <c:pt idx="87">
                  <c:v>0.36249999999999999</c:v>
                </c:pt>
                <c:pt idx="88">
                  <c:v>0.3666666666666667</c:v>
                </c:pt>
                <c:pt idx="89">
                  <c:v>0.37083333333333335</c:v>
                </c:pt>
                <c:pt idx="90">
                  <c:v>0.375</c:v>
                </c:pt>
                <c:pt idx="91">
                  <c:v>0.37916666666666665</c:v>
                </c:pt>
                <c:pt idx="92">
                  <c:v>0.3833333333333333</c:v>
                </c:pt>
                <c:pt idx="93">
                  <c:v>0.38750000000000001</c:v>
                </c:pt>
                <c:pt idx="94">
                  <c:v>0.39166666666666666</c:v>
                </c:pt>
                <c:pt idx="95">
                  <c:v>0.39583333333333331</c:v>
                </c:pt>
                <c:pt idx="96">
                  <c:v>0.39999999999999997</c:v>
                </c:pt>
                <c:pt idx="97">
                  <c:v>0.40416666666666662</c:v>
                </c:pt>
                <c:pt idx="98">
                  <c:v>0.40833333333333338</c:v>
                </c:pt>
                <c:pt idx="99">
                  <c:v>0.41250000000000003</c:v>
                </c:pt>
                <c:pt idx="100">
                  <c:v>0.41666666666666669</c:v>
                </c:pt>
                <c:pt idx="101">
                  <c:v>0.42083333333333334</c:v>
                </c:pt>
                <c:pt idx="102">
                  <c:v>0.42499999999999999</c:v>
                </c:pt>
                <c:pt idx="103">
                  <c:v>0.4291666666666667</c:v>
                </c:pt>
                <c:pt idx="104">
                  <c:v>0.43333333333333335</c:v>
                </c:pt>
                <c:pt idx="105">
                  <c:v>0.4375</c:v>
                </c:pt>
                <c:pt idx="106">
                  <c:v>0.44166666666666665</c:v>
                </c:pt>
                <c:pt idx="107">
                  <c:v>0.4458333333333333</c:v>
                </c:pt>
                <c:pt idx="108">
                  <c:v>0.45</c:v>
                </c:pt>
                <c:pt idx="109">
                  <c:v>0.45416666666666666</c:v>
                </c:pt>
                <c:pt idx="110">
                  <c:v>0.45833333333333331</c:v>
                </c:pt>
                <c:pt idx="111">
                  <c:v>0.46249999999999997</c:v>
                </c:pt>
                <c:pt idx="112">
                  <c:v>0.46666666666666662</c:v>
                </c:pt>
                <c:pt idx="113">
                  <c:v>0.47083333333333338</c:v>
                </c:pt>
                <c:pt idx="114">
                  <c:v>0.47500000000000003</c:v>
                </c:pt>
                <c:pt idx="115">
                  <c:v>0.47916666666666669</c:v>
                </c:pt>
                <c:pt idx="116">
                  <c:v>0.48333333333333334</c:v>
                </c:pt>
                <c:pt idx="117">
                  <c:v>0.48749999999999999</c:v>
                </c:pt>
                <c:pt idx="118">
                  <c:v>0.4916666666666667</c:v>
                </c:pt>
                <c:pt idx="119">
                  <c:v>0.49583333333333335</c:v>
                </c:pt>
                <c:pt idx="120">
                  <c:v>0.5</c:v>
                </c:pt>
                <c:pt idx="121">
                  <c:v>0.50416666666666665</c:v>
                </c:pt>
                <c:pt idx="122">
                  <c:v>0.5083333333333333</c:v>
                </c:pt>
                <c:pt idx="123">
                  <c:v>0.51250000000000007</c:v>
                </c:pt>
                <c:pt idx="124">
                  <c:v>0.51666666666666672</c:v>
                </c:pt>
                <c:pt idx="125">
                  <c:v>0.52083333333333337</c:v>
                </c:pt>
                <c:pt idx="126">
                  <c:v>0.52500000000000002</c:v>
                </c:pt>
                <c:pt idx="127">
                  <c:v>0.52916666666666667</c:v>
                </c:pt>
                <c:pt idx="128">
                  <c:v>0.53333333333333333</c:v>
                </c:pt>
                <c:pt idx="129">
                  <c:v>0.53749999999999998</c:v>
                </c:pt>
                <c:pt idx="130">
                  <c:v>0.54166666666666663</c:v>
                </c:pt>
                <c:pt idx="131">
                  <c:v>0.54583333333333328</c:v>
                </c:pt>
                <c:pt idx="132">
                  <c:v>0.54999999999999993</c:v>
                </c:pt>
                <c:pt idx="133">
                  <c:v>0.5541666666666667</c:v>
                </c:pt>
                <c:pt idx="134">
                  <c:v>0.55833333333333335</c:v>
                </c:pt>
                <c:pt idx="135">
                  <c:v>0.5625</c:v>
                </c:pt>
                <c:pt idx="136">
                  <c:v>0.56666666666666665</c:v>
                </c:pt>
                <c:pt idx="137">
                  <c:v>0.5708333333333333</c:v>
                </c:pt>
                <c:pt idx="138">
                  <c:v>0.57500000000000007</c:v>
                </c:pt>
                <c:pt idx="139">
                  <c:v>0.57916666666666672</c:v>
                </c:pt>
                <c:pt idx="140">
                  <c:v>0.58333333333333337</c:v>
                </c:pt>
                <c:pt idx="141">
                  <c:v>0.58750000000000002</c:v>
                </c:pt>
                <c:pt idx="142">
                  <c:v>0.59166666666666667</c:v>
                </c:pt>
                <c:pt idx="143">
                  <c:v>0.59583333333333333</c:v>
                </c:pt>
                <c:pt idx="144">
                  <c:v>0.6</c:v>
                </c:pt>
                <c:pt idx="145">
                  <c:v>0.60416666666666663</c:v>
                </c:pt>
                <c:pt idx="146">
                  <c:v>0.60833333333333328</c:v>
                </c:pt>
                <c:pt idx="147">
                  <c:v>0.61249999999999993</c:v>
                </c:pt>
                <c:pt idx="148">
                  <c:v>0.6166666666666667</c:v>
                </c:pt>
                <c:pt idx="149">
                  <c:v>0.62083333333333335</c:v>
                </c:pt>
                <c:pt idx="150">
                  <c:v>0.625</c:v>
                </c:pt>
                <c:pt idx="151">
                  <c:v>0.62916666666666665</c:v>
                </c:pt>
                <c:pt idx="152">
                  <c:v>0.6333333333333333</c:v>
                </c:pt>
                <c:pt idx="153">
                  <c:v>0.63750000000000007</c:v>
                </c:pt>
                <c:pt idx="154">
                  <c:v>0.64166666666666672</c:v>
                </c:pt>
                <c:pt idx="155">
                  <c:v>0.64583333333333337</c:v>
                </c:pt>
                <c:pt idx="156">
                  <c:v>0.65</c:v>
                </c:pt>
                <c:pt idx="157">
                  <c:v>0.65416666666666667</c:v>
                </c:pt>
                <c:pt idx="158">
                  <c:v>0.65833333333333333</c:v>
                </c:pt>
                <c:pt idx="159">
                  <c:v>0.66249999999999998</c:v>
                </c:pt>
                <c:pt idx="160">
                  <c:v>0.66666666666666663</c:v>
                </c:pt>
                <c:pt idx="161">
                  <c:v>0.67083333333333339</c:v>
                </c:pt>
                <c:pt idx="162">
                  <c:v>0.67499999999999993</c:v>
                </c:pt>
                <c:pt idx="163">
                  <c:v>0.6791666666666667</c:v>
                </c:pt>
                <c:pt idx="164">
                  <c:v>0.68333333333333324</c:v>
                </c:pt>
                <c:pt idx="165">
                  <c:v>0.6875</c:v>
                </c:pt>
                <c:pt idx="166">
                  <c:v>0.69166666666666676</c:v>
                </c:pt>
                <c:pt idx="167">
                  <c:v>0.6958333333333333</c:v>
                </c:pt>
                <c:pt idx="168">
                  <c:v>0.70000000000000007</c:v>
                </c:pt>
                <c:pt idx="169">
                  <c:v>0.70416666666666661</c:v>
                </c:pt>
                <c:pt idx="170">
                  <c:v>0.70833333333333337</c:v>
                </c:pt>
                <c:pt idx="171">
                  <c:v>0.71250000000000002</c:v>
                </c:pt>
                <c:pt idx="172">
                  <c:v>0.71666666666666667</c:v>
                </c:pt>
                <c:pt idx="173">
                  <c:v>0.72083333333333333</c:v>
                </c:pt>
                <c:pt idx="174">
                  <c:v>0.72499999999999998</c:v>
                </c:pt>
                <c:pt idx="175">
                  <c:v>0.72916666666666663</c:v>
                </c:pt>
                <c:pt idx="176">
                  <c:v>0.73333333333333339</c:v>
                </c:pt>
                <c:pt idx="177">
                  <c:v>0.73749999999999993</c:v>
                </c:pt>
                <c:pt idx="178">
                  <c:v>0.7416666666666667</c:v>
                </c:pt>
                <c:pt idx="179">
                  <c:v>0.74583333333333324</c:v>
                </c:pt>
                <c:pt idx="180">
                  <c:v>0.75</c:v>
                </c:pt>
                <c:pt idx="181">
                  <c:v>0.75416666666666676</c:v>
                </c:pt>
                <c:pt idx="182">
                  <c:v>0.7583333333333333</c:v>
                </c:pt>
                <c:pt idx="183">
                  <c:v>0.76250000000000007</c:v>
                </c:pt>
                <c:pt idx="184">
                  <c:v>0.76666666666666661</c:v>
                </c:pt>
                <c:pt idx="185">
                  <c:v>0.77083333333333337</c:v>
                </c:pt>
                <c:pt idx="186">
                  <c:v>0.77500000000000002</c:v>
                </c:pt>
                <c:pt idx="187">
                  <c:v>0.77916666666666667</c:v>
                </c:pt>
                <c:pt idx="188">
                  <c:v>0.78333333333333333</c:v>
                </c:pt>
                <c:pt idx="189">
                  <c:v>0.78749999999999998</c:v>
                </c:pt>
                <c:pt idx="190">
                  <c:v>0.79166666666666663</c:v>
                </c:pt>
                <c:pt idx="191">
                  <c:v>0.79583333333333339</c:v>
                </c:pt>
                <c:pt idx="192">
                  <c:v>0.79999999999999993</c:v>
                </c:pt>
                <c:pt idx="193">
                  <c:v>0.8041666666666667</c:v>
                </c:pt>
                <c:pt idx="194">
                  <c:v>0.80833333333333324</c:v>
                </c:pt>
                <c:pt idx="195">
                  <c:v>0.8125</c:v>
                </c:pt>
                <c:pt idx="196">
                  <c:v>0.81666666666666676</c:v>
                </c:pt>
                <c:pt idx="197">
                  <c:v>0.8208333333333333</c:v>
                </c:pt>
                <c:pt idx="198">
                  <c:v>0.82500000000000007</c:v>
                </c:pt>
                <c:pt idx="199">
                  <c:v>0.82916666666666661</c:v>
                </c:pt>
                <c:pt idx="200">
                  <c:v>0.83333333333333337</c:v>
                </c:pt>
                <c:pt idx="201">
                  <c:v>0.83750000000000002</c:v>
                </c:pt>
                <c:pt idx="202">
                  <c:v>0.84166666666666667</c:v>
                </c:pt>
                <c:pt idx="203">
                  <c:v>0.84583333333333333</c:v>
                </c:pt>
                <c:pt idx="204">
                  <c:v>0.85</c:v>
                </c:pt>
                <c:pt idx="205">
                  <c:v>0.85416666666666663</c:v>
                </c:pt>
                <c:pt idx="206">
                  <c:v>0.85833333333333339</c:v>
                </c:pt>
                <c:pt idx="207">
                  <c:v>0.86249999999999993</c:v>
                </c:pt>
                <c:pt idx="208">
                  <c:v>0.8666666666666667</c:v>
                </c:pt>
                <c:pt idx="209">
                  <c:v>0.87083333333333324</c:v>
                </c:pt>
                <c:pt idx="210">
                  <c:v>0.875</c:v>
                </c:pt>
                <c:pt idx="211">
                  <c:v>0.87916666666666676</c:v>
                </c:pt>
                <c:pt idx="212">
                  <c:v>0.8833333333333333</c:v>
                </c:pt>
                <c:pt idx="213">
                  <c:v>0.88750000000000007</c:v>
                </c:pt>
                <c:pt idx="214">
                  <c:v>0.89166666666666661</c:v>
                </c:pt>
                <c:pt idx="215">
                  <c:v>0.89583333333333337</c:v>
                </c:pt>
                <c:pt idx="216">
                  <c:v>0.9</c:v>
                </c:pt>
                <c:pt idx="217">
                  <c:v>0.90416666666666667</c:v>
                </c:pt>
                <c:pt idx="218">
                  <c:v>0.90833333333333333</c:v>
                </c:pt>
                <c:pt idx="219">
                  <c:v>0.91249999999999998</c:v>
                </c:pt>
                <c:pt idx="220">
                  <c:v>0.91666666666666663</c:v>
                </c:pt>
                <c:pt idx="221">
                  <c:v>0.92083333333333339</c:v>
                </c:pt>
                <c:pt idx="222">
                  <c:v>0.92499999999999993</c:v>
                </c:pt>
                <c:pt idx="223">
                  <c:v>0.9291666666666667</c:v>
                </c:pt>
                <c:pt idx="224">
                  <c:v>0.93333333333333324</c:v>
                </c:pt>
                <c:pt idx="225">
                  <c:v>0.9375</c:v>
                </c:pt>
                <c:pt idx="226">
                  <c:v>0.94166666666666676</c:v>
                </c:pt>
                <c:pt idx="227">
                  <c:v>0.9458333333333333</c:v>
                </c:pt>
                <c:pt idx="228">
                  <c:v>0.95000000000000007</c:v>
                </c:pt>
                <c:pt idx="229">
                  <c:v>0.95416666666666661</c:v>
                </c:pt>
                <c:pt idx="230">
                  <c:v>0.95833333333333337</c:v>
                </c:pt>
                <c:pt idx="231">
                  <c:v>0.96250000000000002</c:v>
                </c:pt>
                <c:pt idx="232">
                  <c:v>0.96666666666666667</c:v>
                </c:pt>
                <c:pt idx="233">
                  <c:v>0.97083333333333333</c:v>
                </c:pt>
                <c:pt idx="234">
                  <c:v>0.97499999999999998</c:v>
                </c:pt>
                <c:pt idx="235">
                  <c:v>0.97916666666666663</c:v>
                </c:pt>
                <c:pt idx="236">
                  <c:v>0.98333333333333339</c:v>
                </c:pt>
                <c:pt idx="237">
                  <c:v>0.98749999999999993</c:v>
                </c:pt>
                <c:pt idx="238">
                  <c:v>0.9916666666666667</c:v>
                </c:pt>
                <c:pt idx="239">
                  <c:v>0.99583333333333324</c:v>
                </c:pt>
                <c:pt idx="240">
                  <c:v>1</c:v>
                </c:pt>
              </c:numCache>
            </c:numRef>
          </c:xVal>
          <c:yVal>
            <c:numRef>
              <c:f>Precip_YHD1!$E$3:$E$243</c:f>
              <c:numCache>
                <c:formatCode>General</c:formatCode>
                <c:ptCount val="241"/>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c:v>
                </c:pt>
                <c:pt idx="76">
                  <c:v>0</c:v>
                </c:pt>
                <c:pt idx="77">
                  <c:v>0</c:v>
                </c:pt>
                <c:pt idx="78">
                  <c:v>0</c:v>
                </c:pt>
                <c:pt idx="79">
                  <c:v>0</c:v>
                </c:pt>
                <c:pt idx="80">
                  <c:v>0</c:v>
                </c:pt>
                <c:pt idx="81">
                  <c:v>0</c:v>
                </c:pt>
                <c:pt idx="82">
                  <c:v>0</c:v>
                </c:pt>
                <c:pt idx="83">
                  <c:v>0</c:v>
                </c:pt>
                <c:pt idx="84">
                  <c:v>0</c:v>
                </c:pt>
                <c:pt idx="85">
                  <c:v>0</c:v>
                </c:pt>
                <c:pt idx="86">
                  <c:v>0</c:v>
                </c:pt>
                <c:pt idx="87">
                  <c:v>0</c:v>
                </c:pt>
                <c:pt idx="88">
                  <c:v>0</c:v>
                </c:pt>
                <c:pt idx="89">
                  <c:v>0</c:v>
                </c:pt>
                <c:pt idx="90">
                  <c:v>0</c:v>
                </c:pt>
                <c:pt idx="91">
                  <c:v>0</c:v>
                </c:pt>
                <c:pt idx="92">
                  <c:v>0</c:v>
                </c:pt>
                <c:pt idx="93">
                  <c:v>0</c:v>
                </c:pt>
                <c:pt idx="94">
                  <c:v>0</c:v>
                </c:pt>
                <c:pt idx="95">
                  <c:v>0</c:v>
                </c:pt>
                <c:pt idx="96">
                  <c:v>0</c:v>
                </c:pt>
                <c:pt idx="97">
                  <c:v>0</c:v>
                </c:pt>
                <c:pt idx="98">
                  <c:v>0</c:v>
                </c:pt>
                <c:pt idx="99">
                  <c:v>0</c:v>
                </c:pt>
                <c:pt idx="100">
                  <c:v>0</c:v>
                </c:pt>
                <c:pt idx="101">
                  <c:v>0</c:v>
                </c:pt>
                <c:pt idx="102">
                  <c:v>0.01</c:v>
                </c:pt>
                <c:pt idx="103">
                  <c:v>0.01</c:v>
                </c:pt>
                <c:pt idx="104">
                  <c:v>0.01</c:v>
                </c:pt>
                <c:pt idx="105">
                  <c:v>0.01</c:v>
                </c:pt>
                <c:pt idx="106">
                  <c:v>0.01</c:v>
                </c:pt>
                <c:pt idx="107">
                  <c:v>0.01</c:v>
                </c:pt>
                <c:pt idx="108">
                  <c:v>0.01</c:v>
                </c:pt>
                <c:pt idx="109">
                  <c:v>0.01</c:v>
                </c:pt>
                <c:pt idx="110">
                  <c:v>0.01</c:v>
                </c:pt>
                <c:pt idx="111">
                  <c:v>0.02</c:v>
                </c:pt>
                <c:pt idx="112">
                  <c:v>0.02</c:v>
                </c:pt>
                <c:pt idx="113">
                  <c:v>0.03</c:v>
                </c:pt>
                <c:pt idx="114">
                  <c:v>0.03</c:v>
                </c:pt>
                <c:pt idx="115">
                  <c:v>0.03</c:v>
                </c:pt>
                <c:pt idx="116">
                  <c:v>7.0000000000000007E-2</c:v>
                </c:pt>
                <c:pt idx="117">
                  <c:v>0.08</c:v>
                </c:pt>
                <c:pt idx="118">
                  <c:v>0.1</c:v>
                </c:pt>
                <c:pt idx="119">
                  <c:v>0.08</c:v>
                </c:pt>
                <c:pt idx="120">
                  <c:v>0.21</c:v>
                </c:pt>
                <c:pt idx="121">
                  <c:v>0.43</c:v>
                </c:pt>
                <c:pt idx="122">
                  <c:v>0.15</c:v>
                </c:pt>
                <c:pt idx="123">
                  <c:v>0.09</c:v>
                </c:pt>
                <c:pt idx="124">
                  <c:v>0.13</c:v>
                </c:pt>
                <c:pt idx="125">
                  <c:v>0.12</c:v>
                </c:pt>
                <c:pt idx="126">
                  <c:v>0.06</c:v>
                </c:pt>
                <c:pt idx="127">
                  <c:v>0.06</c:v>
                </c:pt>
                <c:pt idx="128">
                  <c:v>0.05</c:v>
                </c:pt>
                <c:pt idx="129">
                  <c:v>0.05</c:v>
                </c:pt>
                <c:pt idx="130">
                  <c:v>0.05</c:v>
                </c:pt>
                <c:pt idx="131">
                  <c:v>0.03</c:v>
                </c:pt>
                <c:pt idx="132">
                  <c:v>0.03</c:v>
                </c:pt>
                <c:pt idx="133">
                  <c:v>0.03</c:v>
                </c:pt>
                <c:pt idx="134">
                  <c:v>0.03</c:v>
                </c:pt>
                <c:pt idx="135">
                  <c:v>0.03</c:v>
                </c:pt>
                <c:pt idx="136">
                  <c:v>0.02</c:v>
                </c:pt>
                <c:pt idx="137">
                  <c:v>0.02</c:v>
                </c:pt>
                <c:pt idx="138">
                  <c:v>0.02</c:v>
                </c:pt>
                <c:pt idx="139">
                  <c:v>0.02</c:v>
                </c:pt>
                <c:pt idx="140">
                  <c:v>0.02</c:v>
                </c:pt>
                <c:pt idx="141">
                  <c:v>0.02</c:v>
                </c:pt>
                <c:pt idx="142">
                  <c:v>0.02</c:v>
                </c:pt>
                <c:pt idx="143">
                  <c:v>0.02</c:v>
                </c:pt>
                <c:pt idx="144">
                  <c:v>0.02</c:v>
                </c:pt>
                <c:pt idx="145">
                  <c:v>0.02</c:v>
                </c:pt>
                <c:pt idx="146">
                  <c:v>0.02</c:v>
                </c:pt>
                <c:pt idx="147">
                  <c:v>0.02</c:v>
                </c:pt>
                <c:pt idx="148">
                  <c:v>0.01</c:v>
                </c:pt>
                <c:pt idx="149">
                  <c:v>0.01</c:v>
                </c:pt>
                <c:pt idx="150">
                  <c:v>0.01</c:v>
                </c:pt>
                <c:pt idx="151">
                  <c:v>0.01</c:v>
                </c:pt>
                <c:pt idx="152">
                  <c:v>0.01</c:v>
                </c:pt>
                <c:pt idx="153">
                  <c:v>0.01</c:v>
                </c:pt>
                <c:pt idx="154">
                  <c:v>0.01</c:v>
                </c:pt>
                <c:pt idx="155">
                  <c:v>0.01</c:v>
                </c:pt>
                <c:pt idx="156">
                  <c:v>0.01</c:v>
                </c:pt>
                <c:pt idx="157">
                  <c:v>0.01</c:v>
                </c:pt>
                <c:pt idx="158">
                  <c:v>0.01</c:v>
                </c:pt>
                <c:pt idx="159">
                  <c:v>0.01</c:v>
                </c:pt>
                <c:pt idx="160">
                  <c:v>0.01</c:v>
                </c:pt>
                <c:pt idx="161">
                  <c:v>0.01</c:v>
                </c:pt>
                <c:pt idx="162">
                  <c:v>0.01</c:v>
                </c:pt>
                <c:pt idx="163">
                  <c:v>0.01</c:v>
                </c:pt>
                <c:pt idx="164">
                  <c:v>0.01</c:v>
                </c:pt>
                <c:pt idx="165">
                  <c:v>0.01</c:v>
                </c:pt>
                <c:pt idx="166">
                  <c:v>0.01</c:v>
                </c:pt>
                <c:pt idx="167">
                  <c:v>0.01</c:v>
                </c:pt>
                <c:pt idx="168">
                  <c:v>0.01</c:v>
                </c:pt>
                <c:pt idx="169">
                  <c:v>0.01</c:v>
                </c:pt>
                <c:pt idx="170">
                  <c:v>0.01</c:v>
                </c:pt>
                <c:pt idx="171">
                  <c:v>0.01</c:v>
                </c:pt>
                <c:pt idx="172">
                  <c:v>0.01</c:v>
                </c:pt>
                <c:pt idx="173">
                  <c:v>0.01</c:v>
                </c:pt>
                <c:pt idx="174">
                  <c:v>0.01</c:v>
                </c:pt>
                <c:pt idx="175">
                  <c:v>0.01</c:v>
                </c:pt>
                <c:pt idx="176">
                  <c:v>0.01</c:v>
                </c:pt>
                <c:pt idx="177">
                  <c:v>0.01</c:v>
                </c:pt>
                <c:pt idx="178">
                  <c:v>0.01</c:v>
                </c:pt>
                <c:pt idx="179">
                  <c:v>0.01</c:v>
                </c:pt>
                <c:pt idx="180">
                  <c:v>0.01</c:v>
                </c:pt>
                <c:pt idx="181">
                  <c:v>0.01</c:v>
                </c:pt>
                <c:pt idx="182">
                  <c:v>0.01</c:v>
                </c:pt>
                <c:pt idx="183">
                  <c:v>0.01</c:v>
                </c:pt>
                <c:pt idx="184">
                  <c:v>0.01</c:v>
                </c:pt>
                <c:pt idx="185">
                  <c:v>0.01</c:v>
                </c:pt>
                <c:pt idx="186">
                  <c:v>0.01</c:v>
                </c:pt>
                <c:pt idx="187">
                  <c:v>0.01</c:v>
                </c:pt>
                <c:pt idx="188">
                  <c:v>0.01</c:v>
                </c:pt>
                <c:pt idx="189">
                  <c:v>0.01</c:v>
                </c:pt>
                <c:pt idx="190">
                  <c:v>0.01</c:v>
                </c:pt>
                <c:pt idx="191">
                  <c:v>0.01</c:v>
                </c:pt>
                <c:pt idx="192">
                  <c:v>0.01</c:v>
                </c:pt>
                <c:pt idx="193">
                  <c:v>0.01</c:v>
                </c:pt>
                <c:pt idx="194">
                  <c:v>0.01</c:v>
                </c:pt>
                <c:pt idx="195">
                  <c:v>0.01</c:v>
                </c:pt>
                <c:pt idx="196">
                  <c:v>0.01</c:v>
                </c:pt>
                <c:pt idx="197">
                  <c:v>0.01</c:v>
                </c:pt>
                <c:pt idx="198">
                  <c:v>0.01</c:v>
                </c:pt>
                <c:pt idx="199">
                  <c:v>0.01</c:v>
                </c:pt>
                <c:pt idx="200">
                  <c:v>0.01</c:v>
                </c:pt>
                <c:pt idx="201">
                  <c:v>0.01</c:v>
                </c:pt>
                <c:pt idx="202">
                  <c:v>0.01</c:v>
                </c:pt>
                <c:pt idx="203">
                  <c:v>0.01</c:v>
                </c:pt>
                <c:pt idx="204">
                  <c:v>0.01</c:v>
                </c:pt>
                <c:pt idx="205">
                  <c:v>0.01</c:v>
                </c:pt>
                <c:pt idx="206">
                  <c:v>0.01</c:v>
                </c:pt>
                <c:pt idx="207">
                  <c:v>0.01</c:v>
                </c:pt>
                <c:pt idx="208">
                  <c:v>0.01</c:v>
                </c:pt>
                <c:pt idx="209">
                  <c:v>0.01</c:v>
                </c:pt>
                <c:pt idx="210">
                  <c:v>0.01</c:v>
                </c:pt>
                <c:pt idx="211">
                  <c:v>0.01</c:v>
                </c:pt>
                <c:pt idx="212">
                  <c:v>0.01</c:v>
                </c:pt>
                <c:pt idx="213">
                  <c:v>0.01</c:v>
                </c:pt>
                <c:pt idx="214">
                  <c:v>0.01</c:v>
                </c:pt>
                <c:pt idx="215">
                  <c:v>0.01</c:v>
                </c:pt>
                <c:pt idx="216">
                  <c:v>0.01</c:v>
                </c:pt>
                <c:pt idx="217">
                  <c:v>0.01</c:v>
                </c:pt>
                <c:pt idx="218">
                  <c:v>0</c:v>
                </c:pt>
                <c:pt idx="219">
                  <c:v>0</c:v>
                </c:pt>
                <c:pt idx="220">
                  <c:v>0</c:v>
                </c:pt>
                <c:pt idx="221">
                  <c:v>0</c:v>
                </c:pt>
                <c:pt idx="222">
                  <c:v>0</c:v>
                </c:pt>
                <c:pt idx="223">
                  <c:v>0</c:v>
                </c:pt>
                <c:pt idx="224">
                  <c:v>0</c:v>
                </c:pt>
                <c:pt idx="225">
                  <c:v>0</c:v>
                </c:pt>
                <c:pt idx="226">
                  <c:v>0</c:v>
                </c:pt>
                <c:pt idx="227">
                  <c:v>0</c:v>
                </c:pt>
                <c:pt idx="228">
                  <c:v>0</c:v>
                </c:pt>
                <c:pt idx="229">
                  <c:v>0</c:v>
                </c:pt>
                <c:pt idx="230">
                  <c:v>0</c:v>
                </c:pt>
                <c:pt idx="231">
                  <c:v>0</c:v>
                </c:pt>
                <c:pt idx="232">
                  <c:v>0</c:v>
                </c:pt>
                <c:pt idx="233">
                  <c:v>0</c:v>
                </c:pt>
                <c:pt idx="234">
                  <c:v>0</c:v>
                </c:pt>
                <c:pt idx="235">
                  <c:v>0</c:v>
                </c:pt>
                <c:pt idx="236">
                  <c:v>0</c:v>
                </c:pt>
                <c:pt idx="237">
                  <c:v>0</c:v>
                </c:pt>
                <c:pt idx="238">
                  <c:v>0</c:v>
                </c:pt>
                <c:pt idx="239">
                  <c:v>0</c:v>
                </c:pt>
                <c:pt idx="240">
                  <c:v>0</c:v>
                </c:pt>
              </c:numCache>
            </c:numRef>
          </c:yVal>
          <c:smooth val="1"/>
          <c:extLst xmlns:c16r2="http://schemas.microsoft.com/office/drawing/2015/06/chart">
            <c:ext xmlns:c16="http://schemas.microsoft.com/office/drawing/2014/chart" uri="{C3380CC4-5D6E-409C-BE32-E72D297353CC}">
              <c16:uniqueId val="{00000001-023E-4C89-B2BA-AFA834A25DAC}"/>
            </c:ext>
          </c:extLst>
        </c:ser>
        <c:ser>
          <c:idx val="2"/>
          <c:order val="3"/>
          <c:tx>
            <c:v>2 Percent Annual Chance</c:v>
          </c:tx>
          <c:spPr>
            <a:ln>
              <a:solidFill>
                <a:schemeClr val="tx2">
                  <a:lumMod val="60000"/>
                  <a:lumOff val="40000"/>
                </a:schemeClr>
              </a:solidFill>
            </a:ln>
          </c:spPr>
          <c:marker>
            <c:symbol val="none"/>
          </c:marker>
          <c:xVal>
            <c:numRef>
              <c:f>Precip_YHD1!$A$3:$A$243</c:f>
              <c:numCache>
                <c:formatCode>h:mm;@</c:formatCode>
                <c:ptCount val="241"/>
                <c:pt idx="0">
                  <c:v>0</c:v>
                </c:pt>
                <c:pt idx="1">
                  <c:v>4.1666666666666666E-3</c:v>
                </c:pt>
                <c:pt idx="2">
                  <c:v>8.3333333333333332E-3</c:v>
                </c:pt>
                <c:pt idx="3">
                  <c:v>1.2499999999999999E-2</c:v>
                </c:pt>
                <c:pt idx="4">
                  <c:v>1.6666666666666666E-2</c:v>
                </c:pt>
                <c:pt idx="5">
                  <c:v>2.0833333333333332E-2</c:v>
                </c:pt>
                <c:pt idx="6">
                  <c:v>2.4999999999999998E-2</c:v>
                </c:pt>
                <c:pt idx="7">
                  <c:v>2.9166666666666664E-2</c:v>
                </c:pt>
                <c:pt idx="8">
                  <c:v>3.3333333333333333E-2</c:v>
                </c:pt>
                <c:pt idx="9">
                  <c:v>3.7499999999999999E-2</c:v>
                </c:pt>
                <c:pt idx="10">
                  <c:v>4.1666666666666664E-2</c:v>
                </c:pt>
                <c:pt idx="11">
                  <c:v>4.5833333333333337E-2</c:v>
                </c:pt>
                <c:pt idx="12">
                  <c:v>4.9999999999999996E-2</c:v>
                </c:pt>
                <c:pt idx="13">
                  <c:v>5.4166666666666669E-2</c:v>
                </c:pt>
                <c:pt idx="14">
                  <c:v>5.8333333333333327E-2</c:v>
                </c:pt>
                <c:pt idx="15">
                  <c:v>6.25E-2</c:v>
                </c:pt>
                <c:pt idx="16">
                  <c:v>6.6666666666666666E-2</c:v>
                </c:pt>
                <c:pt idx="17">
                  <c:v>7.0833333333333331E-2</c:v>
                </c:pt>
                <c:pt idx="18">
                  <c:v>7.4999999999999997E-2</c:v>
                </c:pt>
                <c:pt idx="19">
                  <c:v>7.9166666666666663E-2</c:v>
                </c:pt>
                <c:pt idx="20">
                  <c:v>8.3333333333333329E-2</c:v>
                </c:pt>
                <c:pt idx="21">
                  <c:v>8.7500000000000008E-2</c:v>
                </c:pt>
                <c:pt idx="22">
                  <c:v>9.1666666666666674E-2</c:v>
                </c:pt>
                <c:pt idx="23">
                  <c:v>9.5833333333333326E-2</c:v>
                </c:pt>
                <c:pt idx="24">
                  <c:v>9.9999999999999992E-2</c:v>
                </c:pt>
                <c:pt idx="25">
                  <c:v>0.10416666666666667</c:v>
                </c:pt>
                <c:pt idx="26">
                  <c:v>0.10833333333333334</c:v>
                </c:pt>
                <c:pt idx="27">
                  <c:v>0.1125</c:v>
                </c:pt>
                <c:pt idx="28">
                  <c:v>0.11666666666666665</c:v>
                </c:pt>
                <c:pt idx="29">
                  <c:v>0.12083333333333333</c:v>
                </c:pt>
                <c:pt idx="30">
                  <c:v>0.125</c:v>
                </c:pt>
                <c:pt idx="31">
                  <c:v>0.12916666666666668</c:v>
                </c:pt>
                <c:pt idx="32">
                  <c:v>0.13333333333333333</c:v>
                </c:pt>
                <c:pt idx="33">
                  <c:v>0.13749999999999998</c:v>
                </c:pt>
                <c:pt idx="34">
                  <c:v>0.14166666666666666</c:v>
                </c:pt>
                <c:pt idx="35">
                  <c:v>0.14583333333333334</c:v>
                </c:pt>
                <c:pt idx="36">
                  <c:v>0.15</c:v>
                </c:pt>
                <c:pt idx="37">
                  <c:v>0.15416666666666667</c:v>
                </c:pt>
                <c:pt idx="38">
                  <c:v>0.15833333333333333</c:v>
                </c:pt>
                <c:pt idx="39">
                  <c:v>0.16250000000000001</c:v>
                </c:pt>
                <c:pt idx="40">
                  <c:v>0.16666666666666666</c:v>
                </c:pt>
                <c:pt idx="41">
                  <c:v>0.17083333333333331</c:v>
                </c:pt>
                <c:pt idx="42">
                  <c:v>0.17500000000000002</c:v>
                </c:pt>
                <c:pt idx="43">
                  <c:v>0.17916666666666667</c:v>
                </c:pt>
                <c:pt idx="44">
                  <c:v>0.18333333333333335</c:v>
                </c:pt>
                <c:pt idx="45">
                  <c:v>0.1875</c:v>
                </c:pt>
                <c:pt idx="46">
                  <c:v>0.19166666666666665</c:v>
                </c:pt>
                <c:pt idx="47">
                  <c:v>0.19583333333333333</c:v>
                </c:pt>
                <c:pt idx="48">
                  <c:v>0.19999999999999998</c:v>
                </c:pt>
                <c:pt idx="49">
                  <c:v>0.20416666666666669</c:v>
                </c:pt>
                <c:pt idx="50">
                  <c:v>0.20833333333333334</c:v>
                </c:pt>
                <c:pt idx="51">
                  <c:v>0.21249999999999999</c:v>
                </c:pt>
                <c:pt idx="52">
                  <c:v>0.21666666666666667</c:v>
                </c:pt>
                <c:pt idx="53">
                  <c:v>0.22083333333333333</c:v>
                </c:pt>
                <c:pt idx="54">
                  <c:v>0.22500000000000001</c:v>
                </c:pt>
                <c:pt idx="55">
                  <c:v>0.22916666666666666</c:v>
                </c:pt>
                <c:pt idx="56">
                  <c:v>0.23333333333333331</c:v>
                </c:pt>
                <c:pt idx="57">
                  <c:v>0.23750000000000002</c:v>
                </c:pt>
                <c:pt idx="58">
                  <c:v>0.24166666666666667</c:v>
                </c:pt>
                <c:pt idx="59">
                  <c:v>0.24583333333333335</c:v>
                </c:pt>
                <c:pt idx="60">
                  <c:v>0.25</c:v>
                </c:pt>
                <c:pt idx="61">
                  <c:v>0.25416666666666665</c:v>
                </c:pt>
                <c:pt idx="62">
                  <c:v>0.25833333333333336</c:v>
                </c:pt>
                <c:pt idx="63">
                  <c:v>0.26250000000000001</c:v>
                </c:pt>
                <c:pt idx="64">
                  <c:v>0.26666666666666666</c:v>
                </c:pt>
                <c:pt idx="65">
                  <c:v>0.27083333333333331</c:v>
                </c:pt>
                <c:pt idx="66">
                  <c:v>0.27499999999999997</c:v>
                </c:pt>
                <c:pt idx="67">
                  <c:v>0.27916666666666667</c:v>
                </c:pt>
                <c:pt idx="68">
                  <c:v>0.28333333333333333</c:v>
                </c:pt>
                <c:pt idx="69">
                  <c:v>0.28750000000000003</c:v>
                </c:pt>
                <c:pt idx="70">
                  <c:v>0.29166666666666669</c:v>
                </c:pt>
                <c:pt idx="71">
                  <c:v>0.29583333333333334</c:v>
                </c:pt>
                <c:pt idx="72">
                  <c:v>0.3</c:v>
                </c:pt>
                <c:pt idx="73">
                  <c:v>0.30416666666666664</c:v>
                </c:pt>
                <c:pt idx="74">
                  <c:v>0.30833333333333335</c:v>
                </c:pt>
                <c:pt idx="75">
                  <c:v>0.3125</c:v>
                </c:pt>
                <c:pt idx="76">
                  <c:v>0.31666666666666665</c:v>
                </c:pt>
                <c:pt idx="77">
                  <c:v>0.32083333333333336</c:v>
                </c:pt>
                <c:pt idx="78">
                  <c:v>0.32500000000000001</c:v>
                </c:pt>
                <c:pt idx="79">
                  <c:v>0.32916666666666666</c:v>
                </c:pt>
                <c:pt idx="80">
                  <c:v>0.33333333333333331</c:v>
                </c:pt>
                <c:pt idx="81">
                  <c:v>0.33749999999999997</c:v>
                </c:pt>
                <c:pt idx="82">
                  <c:v>0.34166666666666662</c:v>
                </c:pt>
                <c:pt idx="83">
                  <c:v>0.34583333333333338</c:v>
                </c:pt>
                <c:pt idx="84">
                  <c:v>0.35000000000000003</c:v>
                </c:pt>
                <c:pt idx="85">
                  <c:v>0.35416666666666669</c:v>
                </c:pt>
                <c:pt idx="86">
                  <c:v>0.35833333333333334</c:v>
                </c:pt>
                <c:pt idx="87">
                  <c:v>0.36249999999999999</c:v>
                </c:pt>
                <c:pt idx="88">
                  <c:v>0.3666666666666667</c:v>
                </c:pt>
                <c:pt idx="89">
                  <c:v>0.37083333333333335</c:v>
                </c:pt>
                <c:pt idx="90">
                  <c:v>0.375</c:v>
                </c:pt>
                <c:pt idx="91">
                  <c:v>0.37916666666666665</c:v>
                </c:pt>
                <c:pt idx="92">
                  <c:v>0.3833333333333333</c:v>
                </c:pt>
                <c:pt idx="93">
                  <c:v>0.38750000000000001</c:v>
                </c:pt>
                <c:pt idx="94">
                  <c:v>0.39166666666666666</c:v>
                </c:pt>
                <c:pt idx="95">
                  <c:v>0.39583333333333331</c:v>
                </c:pt>
                <c:pt idx="96">
                  <c:v>0.39999999999999997</c:v>
                </c:pt>
                <c:pt idx="97">
                  <c:v>0.40416666666666662</c:v>
                </c:pt>
                <c:pt idx="98">
                  <c:v>0.40833333333333338</c:v>
                </c:pt>
                <c:pt idx="99">
                  <c:v>0.41250000000000003</c:v>
                </c:pt>
                <c:pt idx="100">
                  <c:v>0.41666666666666669</c:v>
                </c:pt>
                <c:pt idx="101">
                  <c:v>0.42083333333333334</c:v>
                </c:pt>
                <c:pt idx="102">
                  <c:v>0.42499999999999999</c:v>
                </c:pt>
                <c:pt idx="103">
                  <c:v>0.4291666666666667</c:v>
                </c:pt>
                <c:pt idx="104">
                  <c:v>0.43333333333333335</c:v>
                </c:pt>
                <c:pt idx="105">
                  <c:v>0.4375</c:v>
                </c:pt>
                <c:pt idx="106">
                  <c:v>0.44166666666666665</c:v>
                </c:pt>
                <c:pt idx="107">
                  <c:v>0.4458333333333333</c:v>
                </c:pt>
                <c:pt idx="108">
                  <c:v>0.45</c:v>
                </c:pt>
                <c:pt idx="109">
                  <c:v>0.45416666666666666</c:v>
                </c:pt>
                <c:pt idx="110">
                  <c:v>0.45833333333333331</c:v>
                </c:pt>
                <c:pt idx="111">
                  <c:v>0.46249999999999997</c:v>
                </c:pt>
                <c:pt idx="112">
                  <c:v>0.46666666666666662</c:v>
                </c:pt>
                <c:pt idx="113">
                  <c:v>0.47083333333333338</c:v>
                </c:pt>
                <c:pt idx="114">
                  <c:v>0.47500000000000003</c:v>
                </c:pt>
                <c:pt idx="115">
                  <c:v>0.47916666666666669</c:v>
                </c:pt>
                <c:pt idx="116">
                  <c:v>0.48333333333333334</c:v>
                </c:pt>
                <c:pt idx="117">
                  <c:v>0.48749999999999999</c:v>
                </c:pt>
                <c:pt idx="118">
                  <c:v>0.4916666666666667</c:v>
                </c:pt>
                <c:pt idx="119">
                  <c:v>0.49583333333333335</c:v>
                </c:pt>
                <c:pt idx="120">
                  <c:v>0.5</c:v>
                </c:pt>
                <c:pt idx="121">
                  <c:v>0.50416666666666665</c:v>
                </c:pt>
                <c:pt idx="122">
                  <c:v>0.5083333333333333</c:v>
                </c:pt>
                <c:pt idx="123">
                  <c:v>0.51250000000000007</c:v>
                </c:pt>
                <c:pt idx="124">
                  <c:v>0.51666666666666672</c:v>
                </c:pt>
                <c:pt idx="125">
                  <c:v>0.52083333333333337</c:v>
                </c:pt>
                <c:pt idx="126">
                  <c:v>0.52500000000000002</c:v>
                </c:pt>
                <c:pt idx="127">
                  <c:v>0.52916666666666667</c:v>
                </c:pt>
                <c:pt idx="128">
                  <c:v>0.53333333333333333</c:v>
                </c:pt>
                <c:pt idx="129">
                  <c:v>0.53749999999999998</c:v>
                </c:pt>
                <c:pt idx="130">
                  <c:v>0.54166666666666663</c:v>
                </c:pt>
                <c:pt idx="131">
                  <c:v>0.54583333333333328</c:v>
                </c:pt>
                <c:pt idx="132">
                  <c:v>0.54999999999999993</c:v>
                </c:pt>
                <c:pt idx="133">
                  <c:v>0.5541666666666667</c:v>
                </c:pt>
                <c:pt idx="134">
                  <c:v>0.55833333333333335</c:v>
                </c:pt>
                <c:pt idx="135">
                  <c:v>0.5625</c:v>
                </c:pt>
                <c:pt idx="136">
                  <c:v>0.56666666666666665</c:v>
                </c:pt>
                <c:pt idx="137">
                  <c:v>0.5708333333333333</c:v>
                </c:pt>
                <c:pt idx="138">
                  <c:v>0.57500000000000007</c:v>
                </c:pt>
                <c:pt idx="139">
                  <c:v>0.57916666666666672</c:v>
                </c:pt>
                <c:pt idx="140">
                  <c:v>0.58333333333333337</c:v>
                </c:pt>
                <c:pt idx="141">
                  <c:v>0.58750000000000002</c:v>
                </c:pt>
                <c:pt idx="142">
                  <c:v>0.59166666666666667</c:v>
                </c:pt>
                <c:pt idx="143">
                  <c:v>0.59583333333333333</c:v>
                </c:pt>
                <c:pt idx="144">
                  <c:v>0.6</c:v>
                </c:pt>
                <c:pt idx="145">
                  <c:v>0.60416666666666663</c:v>
                </c:pt>
                <c:pt idx="146">
                  <c:v>0.60833333333333328</c:v>
                </c:pt>
                <c:pt idx="147">
                  <c:v>0.61249999999999993</c:v>
                </c:pt>
                <c:pt idx="148">
                  <c:v>0.6166666666666667</c:v>
                </c:pt>
                <c:pt idx="149">
                  <c:v>0.62083333333333335</c:v>
                </c:pt>
                <c:pt idx="150">
                  <c:v>0.625</c:v>
                </c:pt>
                <c:pt idx="151">
                  <c:v>0.62916666666666665</c:v>
                </c:pt>
                <c:pt idx="152">
                  <c:v>0.6333333333333333</c:v>
                </c:pt>
                <c:pt idx="153">
                  <c:v>0.63750000000000007</c:v>
                </c:pt>
                <c:pt idx="154">
                  <c:v>0.64166666666666672</c:v>
                </c:pt>
                <c:pt idx="155">
                  <c:v>0.64583333333333337</c:v>
                </c:pt>
                <c:pt idx="156">
                  <c:v>0.65</c:v>
                </c:pt>
                <c:pt idx="157">
                  <c:v>0.65416666666666667</c:v>
                </c:pt>
                <c:pt idx="158">
                  <c:v>0.65833333333333333</c:v>
                </c:pt>
                <c:pt idx="159">
                  <c:v>0.66249999999999998</c:v>
                </c:pt>
                <c:pt idx="160">
                  <c:v>0.66666666666666663</c:v>
                </c:pt>
                <c:pt idx="161">
                  <c:v>0.67083333333333339</c:v>
                </c:pt>
                <c:pt idx="162">
                  <c:v>0.67499999999999993</c:v>
                </c:pt>
                <c:pt idx="163">
                  <c:v>0.6791666666666667</c:v>
                </c:pt>
                <c:pt idx="164">
                  <c:v>0.68333333333333324</c:v>
                </c:pt>
                <c:pt idx="165">
                  <c:v>0.6875</c:v>
                </c:pt>
                <c:pt idx="166">
                  <c:v>0.69166666666666676</c:v>
                </c:pt>
                <c:pt idx="167">
                  <c:v>0.6958333333333333</c:v>
                </c:pt>
                <c:pt idx="168">
                  <c:v>0.70000000000000007</c:v>
                </c:pt>
                <c:pt idx="169">
                  <c:v>0.70416666666666661</c:v>
                </c:pt>
                <c:pt idx="170">
                  <c:v>0.70833333333333337</c:v>
                </c:pt>
                <c:pt idx="171">
                  <c:v>0.71250000000000002</c:v>
                </c:pt>
                <c:pt idx="172">
                  <c:v>0.71666666666666667</c:v>
                </c:pt>
                <c:pt idx="173">
                  <c:v>0.72083333333333333</c:v>
                </c:pt>
                <c:pt idx="174">
                  <c:v>0.72499999999999998</c:v>
                </c:pt>
                <c:pt idx="175">
                  <c:v>0.72916666666666663</c:v>
                </c:pt>
                <c:pt idx="176">
                  <c:v>0.73333333333333339</c:v>
                </c:pt>
                <c:pt idx="177">
                  <c:v>0.73749999999999993</c:v>
                </c:pt>
                <c:pt idx="178">
                  <c:v>0.7416666666666667</c:v>
                </c:pt>
                <c:pt idx="179">
                  <c:v>0.74583333333333324</c:v>
                </c:pt>
                <c:pt idx="180">
                  <c:v>0.75</c:v>
                </c:pt>
                <c:pt idx="181">
                  <c:v>0.75416666666666676</c:v>
                </c:pt>
                <c:pt idx="182">
                  <c:v>0.7583333333333333</c:v>
                </c:pt>
                <c:pt idx="183">
                  <c:v>0.76250000000000007</c:v>
                </c:pt>
                <c:pt idx="184">
                  <c:v>0.76666666666666661</c:v>
                </c:pt>
                <c:pt idx="185">
                  <c:v>0.77083333333333337</c:v>
                </c:pt>
                <c:pt idx="186">
                  <c:v>0.77500000000000002</c:v>
                </c:pt>
                <c:pt idx="187">
                  <c:v>0.77916666666666667</c:v>
                </c:pt>
                <c:pt idx="188">
                  <c:v>0.78333333333333333</c:v>
                </c:pt>
                <c:pt idx="189">
                  <c:v>0.78749999999999998</c:v>
                </c:pt>
                <c:pt idx="190">
                  <c:v>0.79166666666666663</c:v>
                </c:pt>
                <c:pt idx="191">
                  <c:v>0.79583333333333339</c:v>
                </c:pt>
                <c:pt idx="192">
                  <c:v>0.79999999999999993</c:v>
                </c:pt>
                <c:pt idx="193">
                  <c:v>0.8041666666666667</c:v>
                </c:pt>
                <c:pt idx="194">
                  <c:v>0.80833333333333324</c:v>
                </c:pt>
                <c:pt idx="195">
                  <c:v>0.8125</c:v>
                </c:pt>
                <c:pt idx="196">
                  <c:v>0.81666666666666676</c:v>
                </c:pt>
                <c:pt idx="197">
                  <c:v>0.8208333333333333</c:v>
                </c:pt>
                <c:pt idx="198">
                  <c:v>0.82500000000000007</c:v>
                </c:pt>
                <c:pt idx="199">
                  <c:v>0.82916666666666661</c:v>
                </c:pt>
                <c:pt idx="200">
                  <c:v>0.83333333333333337</c:v>
                </c:pt>
                <c:pt idx="201">
                  <c:v>0.83750000000000002</c:v>
                </c:pt>
                <c:pt idx="202">
                  <c:v>0.84166666666666667</c:v>
                </c:pt>
                <c:pt idx="203">
                  <c:v>0.84583333333333333</c:v>
                </c:pt>
                <c:pt idx="204">
                  <c:v>0.85</c:v>
                </c:pt>
                <c:pt idx="205">
                  <c:v>0.85416666666666663</c:v>
                </c:pt>
                <c:pt idx="206">
                  <c:v>0.85833333333333339</c:v>
                </c:pt>
                <c:pt idx="207">
                  <c:v>0.86249999999999993</c:v>
                </c:pt>
                <c:pt idx="208">
                  <c:v>0.8666666666666667</c:v>
                </c:pt>
                <c:pt idx="209">
                  <c:v>0.87083333333333324</c:v>
                </c:pt>
                <c:pt idx="210">
                  <c:v>0.875</c:v>
                </c:pt>
                <c:pt idx="211">
                  <c:v>0.87916666666666676</c:v>
                </c:pt>
                <c:pt idx="212">
                  <c:v>0.8833333333333333</c:v>
                </c:pt>
                <c:pt idx="213">
                  <c:v>0.88750000000000007</c:v>
                </c:pt>
                <c:pt idx="214">
                  <c:v>0.89166666666666661</c:v>
                </c:pt>
                <c:pt idx="215">
                  <c:v>0.89583333333333337</c:v>
                </c:pt>
                <c:pt idx="216">
                  <c:v>0.9</c:v>
                </c:pt>
                <c:pt idx="217">
                  <c:v>0.90416666666666667</c:v>
                </c:pt>
                <c:pt idx="218">
                  <c:v>0.90833333333333333</c:v>
                </c:pt>
                <c:pt idx="219">
                  <c:v>0.91249999999999998</c:v>
                </c:pt>
                <c:pt idx="220">
                  <c:v>0.91666666666666663</c:v>
                </c:pt>
                <c:pt idx="221">
                  <c:v>0.92083333333333339</c:v>
                </c:pt>
                <c:pt idx="222">
                  <c:v>0.92499999999999993</c:v>
                </c:pt>
                <c:pt idx="223">
                  <c:v>0.9291666666666667</c:v>
                </c:pt>
                <c:pt idx="224">
                  <c:v>0.93333333333333324</c:v>
                </c:pt>
                <c:pt idx="225">
                  <c:v>0.9375</c:v>
                </c:pt>
                <c:pt idx="226">
                  <c:v>0.94166666666666676</c:v>
                </c:pt>
                <c:pt idx="227">
                  <c:v>0.9458333333333333</c:v>
                </c:pt>
                <c:pt idx="228">
                  <c:v>0.95000000000000007</c:v>
                </c:pt>
                <c:pt idx="229">
                  <c:v>0.95416666666666661</c:v>
                </c:pt>
                <c:pt idx="230">
                  <c:v>0.95833333333333337</c:v>
                </c:pt>
                <c:pt idx="231">
                  <c:v>0.96250000000000002</c:v>
                </c:pt>
                <c:pt idx="232">
                  <c:v>0.96666666666666667</c:v>
                </c:pt>
                <c:pt idx="233">
                  <c:v>0.97083333333333333</c:v>
                </c:pt>
                <c:pt idx="234">
                  <c:v>0.97499999999999998</c:v>
                </c:pt>
                <c:pt idx="235">
                  <c:v>0.97916666666666663</c:v>
                </c:pt>
                <c:pt idx="236">
                  <c:v>0.98333333333333339</c:v>
                </c:pt>
                <c:pt idx="237">
                  <c:v>0.98749999999999993</c:v>
                </c:pt>
                <c:pt idx="238">
                  <c:v>0.9916666666666667</c:v>
                </c:pt>
                <c:pt idx="239">
                  <c:v>0.99583333333333324</c:v>
                </c:pt>
                <c:pt idx="240">
                  <c:v>1</c:v>
                </c:pt>
              </c:numCache>
            </c:numRef>
          </c:xVal>
          <c:yVal>
            <c:numRef>
              <c:f>Precip_YHD1!$D$3:$D$243</c:f>
              <c:numCache>
                <c:formatCode>General</c:formatCode>
                <c:ptCount val="241"/>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c:v>
                </c:pt>
                <c:pt idx="76">
                  <c:v>0</c:v>
                </c:pt>
                <c:pt idx="77">
                  <c:v>0</c:v>
                </c:pt>
                <c:pt idx="78">
                  <c:v>0</c:v>
                </c:pt>
                <c:pt idx="79">
                  <c:v>0</c:v>
                </c:pt>
                <c:pt idx="80">
                  <c:v>0</c:v>
                </c:pt>
                <c:pt idx="81">
                  <c:v>0</c:v>
                </c:pt>
                <c:pt idx="82">
                  <c:v>0</c:v>
                </c:pt>
                <c:pt idx="83">
                  <c:v>0</c:v>
                </c:pt>
                <c:pt idx="84">
                  <c:v>0</c:v>
                </c:pt>
                <c:pt idx="85">
                  <c:v>0</c:v>
                </c:pt>
                <c:pt idx="86">
                  <c:v>0</c:v>
                </c:pt>
                <c:pt idx="87">
                  <c:v>0</c:v>
                </c:pt>
                <c:pt idx="88">
                  <c:v>0</c:v>
                </c:pt>
                <c:pt idx="89">
                  <c:v>0</c:v>
                </c:pt>
                <c:pt idx="90">
                  <c:v>0</c:v>
                </c:pt>
                <c:pt idx="91">
                  <c:v>0</c:v>
                </c:pt>
                <c:pt idx="92">
                  <c:v>0</c:v>
                </c:pt>
                <c:pt idx="93">
                  <c:v>0</c:v>
                </c:pt>
                <c:pt idx="94">
                  <c:v>0</c:v>
                </c:pt>
                <c:pt idx="95">
                  <c:v>0</c:v>
                </c:pt>
                <c:pt idx="96">
                  <c:v>0</c:v>
                </c:pt>
                <c:pt idx="97">
                  <c:v>0</c:v>
                </c:pt>
                <c:pt idx="98">
                  <c:v>0</c:v>
                </c:pt>
                <c:pt idx="99">
                  <c:v>0</c:v>
                </c:pt>
                <c:pt idx="100">
                  <c:v>0</c:v>
                </c:pt>
                <c:pt idx="101">
                  <c:v>0</c:v>
                </c:pt>
                <c:pt idx="102">
                  <c:v>0</c:v>
                </c:pt>
                <c:pt idx="103">
                  <c:v>0</c:v>
                </c:pt>
                <c:pt idx="104">
                  <c:v>0</c:v>
                </c:pt>
                <c:pt idx="105">
                  <c:v>0</c:v>
                </c:pt>
                <c:pt idx="106">
                  <c:v>0.01</c:v>
                </c:pt>
                <c:pt idx="107">
                  <c:v>0.01</c:v>
                </c:pt>
                <c:pt idx="108">
                  <c:v>0.01</c:v>
                </c:pt>
                <c:pt idx="109">
                  <c:v>0.01</c:v>
                </c:pt>
                <c:pt idx="110">
                  <c:v>0.01</c:v>
                </c:pt>
                <c:pt idx="111">
                  <c:v>0.01</c:v>
                </c:pt>
                <c:pt idx="112">
                  <c:v>0.02</c:v>
                </c:pt>
                <c:pt idx="113">
                  <c:v>0.02</c:v>
                </c:pt>
                <c:pt idx="114">
                  <c:v>0.02</c:v>
                </c:pt>
                <c:pt idx="115">
                  <c:v>0.03</c:v>
                </c:pt>
                <c:pt idx="116">
                  <c:v>0.05</c:v>
                </c:pt>
                <c:pt idx="117">
                  <c:v>0.06</c:v>
                </c:pt>
                <c:pt idx="118">
                  <c:v>0.08</c:v>
                </c:pt>
                <c:pt idx="119">
                  <c:v>7.0000000000000007E-2</c:v>
                </c:pt>
                <c:pt idx="120">
                  <c:v>0.17</c:v>
                </c:pt>
                <c:pt idx="121">
                  <c:v>0.35</c:v>
                </c:pt>
                <c:pt idx="122">
                  <c:v>0.13</c:v>
                </c:pt>
                <c:pt idx="123">
                  <c:v>0.08</c:v>
                </c:pt>
                <c:pt idx="124">
                  <c:v>0.1</c:v>
                </c:pt>
                <c:pt idx="125">
                  <c:v>0.1</c:v>
                </c:pt>
                <c:pt idx="126">
                  <c:v>0.05</c:v>
                </c:pt>
                <c:pt idx="127">
                  <c:v>0.05</c:v>
                </c:pt>
                <c:pt idx="128">
                  <c:v>0.05</c:v>
                </c:pt>
                <c:pt idx="129">
                  <c:v>0.04</c:v>
                </c:pt>
                <c:pt idx="130">
                  <c:v>0.04</c:v>
                </c:pt>
                <c:pt idx="131">
                  <c:v>0.03</c:v>
                </c:pt>
                <c:pt idx="132">
                  <c:v>0.03</c:v>
                </c:pt>
                <c:pt idx="133">
                  <c:v>0.03</c:v>
                </c:pt>
                <c:pt idx="134">
                  <c:v>0.02</c:v>
                </c:pt>
                <c:pt idx="135">
                  <c:v>0.02</c:v>
                </c:pt>
                <c:pt idx="136">
                  <c:v>0.02</c:v>
                </c:pt>
                <c:pt idx="137">
                  <c:v>0.02</c:v>
                </c:pt>
                <c:pt idx="138">
                  <c:v>0.02</c:v>
                </c:pt>
                <c:pt idx="139">
                  <c:v>0.02</c:v>
                </c:pt>
                <c:pt idx="140">
                  <c:v>0.02</c:v>
                </c:pt>
                <c:pt idx="141">
                  <c:v>0.02</c:v>
                </c:pt>
                <c:pt idx="142">
                  <c:v>0.01</c:v>
                </c:pt>
                <c:pt idx="143">
                  <c:v>0.01</c:v>
                </c:pt>
                <c:pt idx="144">
                  <c:v>0.01</c:v>
                </c:pt>
                <c:pt idx="145">
                  <c:v>0.01</c:v>
                </c:pt>
                <c:pt idx="146">
                  <c:v>0.01</c:v>
                </c:pt>
                <c:pt idx="147">
                  <c:v>0.01</c:v>
                </c:pt>
                <c:pt idx="148">
                  <c:v>0.01</c:v>
                </c:pt>
                <c:pt idx="149">
                  <c:v>0.01</c:v>
                </c:pt>
                <c:pt idx="150">
                  <c:v>0.01</c:v>
                </c:pt>
                <c:pt idx="151">
                  <c:v>0.01</c:v>
                </c:pt>
                <c:pt idx="152">
                  <c:v>0.01</c:v>
                </c:pt>
                <c:pt idx="153">
                  <c:v>0.01</c:v>
                </c:pt>
                <c:pt idx="154">
                  <c:v>0.01</c:v>
                </c:pt>
                <c:pt idx="155">
                  <c:v>0.01</c:v>
                </c:pt>
                <c:pt idx="156">
                  <c:v>0.01</c:v>
                </c:pt>
                <c:pt idx="157">
                  <c:v>0.01</c:v>
                </c:pt>
                <c:pt idx="158">
                  <c:v>0.01</c:v>
                </c:pt>
                <c:pt idx="159">
                  <c:v>0.01</c:v>
                </c:pt>
                <c:pt idx="160">
                  <c:v>0.01</c:v>
                </c:pt>
                <c:pt idx="161">
                  <c:v>0.01</c:v>
                </c:pt>
                <c:pt idx="162">
                  <c:v>0.01</c:v>
                </c:pt>
                <c:pt idx="163">
                  <c:v>0.01</c:v>
                </c:pt>
                <c:pt idx="164">
                  <c:v>0.01</c:v>
                </c:pt>
                <c:pt idx="165">
                  <c:v>0.01</c:v>
                </c:pt>
                <c:pt idx="166">
                  <c:v>0.01</c:v>
                </c:pt>
                <c:pt idx="167">
                  <c:v>0.01</c:v>
                </c:pt>
                <c:pt idx="168">
                  <c:v>0.01</c:v>
                </c:pt>
                <c:pt idx="169">
                  <c:v>0.01</c:v>
                </c:pt>
                <c:pt idx="170">
                  <c:v>0.01</c:v>
                </c:pt>
                <c:pt idx="171">
                  <c:v>0.01</c:v>
                </c:pt>
                <c:pt idx="172">
                  <c:v>0.01</c:v>
                </c:pt>
                <c:pt idx="173">
                  <c:v>0.01</c:v>
                </c:pt>
                <c:pt idx="174">
                  <c:v>0.01</c:v>
                </c:pt>
                <c:pt idx="175">
                  <c:v>0.01</c:v>
                </c:pt>
                <c:pt idx="176">
                  <c:v>0.01</c:v>
                </c:pt>
                <c:pt idx="177">
                  <c:v>0.01</c:v>
                </c:pt>
                <c:pt idx="178">
                  <c:v>0.01</c:v>
                </c:pt>
                <c:pt idx="179">
                  <c:v>0.01</c:v>
                </c:pt>
                <c:pt idx="180">
                  <c:v>0.01</c:v>
                </c:pt>
                <c:pt idx="181">
                  <c:v>0.01</c:v>
                </c:pt>
                <c:pt idx="182">
                  <c:v>0.01</c:v>
                </c:pt>
                <c:pt idx="183">
                  <c:v>0.01</c:v>
                </c:pt>
                <c:pt idx="184">
                  <c:v>0.01</c:v>
                </c:pt>
                <c:pt idx="185">
                  <c:v>0.01</c:v>
                </c:pt>
                <c:pt idx="186">
                  <c:v>0.01</c:v>
                </c:pt>
                <c:pt idx="187">
                  <c:v>0.01</c:v>
                </c:pt>
                <c:pt idx="188">
                  <c:v>0.01</c:v>
                </c:pt>
                <c:pt idx="189">
                  <c:v>0.01</c:v>
                </c:pt>
                <c:pt idx="190">
                  <c:v>0.01</c:v>
                </c:pt>
                <c:pt idx="191">
                  <c:v>0.01</c:v>
                </c:pt>
                <c:pt idx="192">
                  <c:v>0.01</c:v>
                </c:pt>
                <c:pt idx="193">
                  <c:v>0.01</c:v>
                </c:pt>
                <c:pt idx="194">
                  <c:v>0.01</c:v>
                </c:pt>
                <c:pt idx="195">
                  <c:v>0.01</c:v>
                </c:pt>
                <c:pt idx="196">
                  <c:v>0.01</c:v>
                </c:pt>
                <c:pt idx="197">
                  <c:v>0.01</c:v>
                </c:pt>
                <c:pt idx="198">
                  <c:v>0.01</c:v>
                </c:pt>
                <c:pt idx="199">
                  <c:v>0.01</c:v>
                </c:pt>
                <c:pt idx="200">
                  <c:v>0.01</c:v>
                </c:pt>
                <c:pt idx="201">
                  <c:v>0</c:v>
                </c:pt>
                <c:pt idx="202">
                  <c:v>0</c:v>
                </c:pt>
                <c:pt idx="203">
                  <c:v>0</c:v>
                </c:pt>
                <c:pt idx="204">
                  <c:v>0</c:v>
                </c:pt>
                <c:pt idx="205">
                  <c:v>0</c:v>
                </c:pt>
                <c:pt idx="206">
                  <c:v>0</c:v>
                </c:pt>
                <c:pt idx="207">
                  <c:v>0</c:v>
                </c:pt>
                <c:pt idx="208">
                  <c:v>0</c:v>
                </c:pt>
                <c:pt idx="209">
                  <c:v>0</c:v>
                </c:pt>
                <c:pt idx="210">
                  <c:v>0</c:v>
                </c:pt>
                <c:pt idx="211">
                  <c:v>0</c:v>
                </c:pt>
                <c:pt idx="212">
                  <c:v>0</c:v>
                </c:pt>
                <c:pt idx="213">
                  <c:v>0</c:v>
                </c:pt>
                <c:pt idx="214">
                  <c:v>0</c:v>
                </c:pt>
                <c:pt idx="215">
                  <c:v>0</c:v>
                </c:pt>
                <c:pt idx="216">
                  <c:v>0</c:v>
                </c:pt>
                <c:pt idx="217">
                  <c:v>0</c:v>
                </c:pt>
                <c:pt idx="218">
                  <c:v>0</c:v>
                </c:pt>
                <c:pt idx="219">
                  <c:v>0</c:v>
                </c:pt>
                <c:pt idx="220">
                  <c:v>0</c:v>
                </c:pt>
                <c:pt idx="221">
                  <c:v>0</c:v>
                </c:pt>
                <c:pt idx="222">
                  <c:v>0</c:v>
                </c:pt>
                <c:pt idx="223">
                  <c:v>0</c:v>
                </c:pt>
                <c:pt idx="224">
                  <c:v>0</c:v>
                </c:pt>
                <c:pt idx="225">
                  <c:v>0</c:v>
                </c:pt>
                <c:pt idx="226">
                  <c:v>0</c:v>
                </c:pt>
                <c:pt idx="227">
                  <c:v>0</c:v>
                </c:pt>
                <c:pt idx="228">
                  <c:v>0</c:v>
                </c:pt>
                <c:pt idx="229">
                  <c:v>0</c:v>
                </c:pt>
                <c:pt idx="230">
                  <c:v>0</c:v>
                </c:pt>
                <c:pt idx="231">
                  <c:v>0</c:v>
                </c:pt>
                <c:pt idx="232">
                  <c:v>0</c:v>
                </c:pt>
                <c:pt idx="233">
                  <c:v>0</c:v>
                </c:pt>
                <c:pt idx="234">
                  <c:v>0</c:v>
                </c:pt>
                <c:pt idx="235">
                  <c:v>0</c:v>
                </c:pt>
                <c:pt idx="236">
                  <c:v>0</c:v>
                </c:pt>
                <c:pt idx="237">
                  <c:v>0</c:v>
                </c:pt>
                <c:pt idx="238">
                  <c:v>0</c:v>
                </c:pt>
                <c:pt idx="239">
                  <c:v>0</c:v>
                </c:pt>
                <c:pt idx="240">
                  <c:v>0</c:v>
                </c:pt>
              </c:numCache>
            </c:numRef>
          </c:yVal>
          <c:smooth val="1"/>
          <c:extLst xmlns:c16r2="http://schemas.microsoft.com/office/drawing/2015/06/chart">
            <c:ext xmlns:c16="http://schemas.microsoft.com/office/drawing/2014/chart" uri="{C3380CC4-5D6E-409C-BE32-E72D297353CC}">
              <c16:uniqueId val="{00000002-023E-4C89-B2BA-AFA834A25DAC}"/>
            </c:ext>
          </c:extLst>
        </c:ser>
        <c:ser>
          <c:idx val="1"/>
          <c:order val="4"/>
          <c:tx>
            <c:v>4 Percent Annual Chance</c:v>
          </c:tx>
          <c:spPr>
            <a:ln>
              <a:solidFill>
                <a:srgbClr val="FFCC00"/>
              </a:solidFill>
            </a:ln>
          </c:spPr>
          <c:marker>
            <c:symbol val="none"/>
          </c:marker>
          <c:xVal>
            <c:numRef>
              <c:f>Precip_YHD1!$A$3:$A$243</c:f>
              <c:numCache>
                <c:formatCode>h:mm;@</c:formatCode>
                <c:ptCount val="241"/>
                <c:pt idx="0">
                  <c:v>0</c:v>
                </c:pt>
                <c:pt idx="1">
                  <c:v>4.1666666666666666E-3</c:v>
                </c:pt>
                <c:pt idx="2">
                  <c:v>8.3333333333333332E-3</c:v>
                </c:pt>
                <c:pt idx="3">
                  <c:v>1.2499999999999999E-2</c:v>
                </c:pt>
                <c:pt idx="4">
                  <c:v>1.6666666666666666E-2</c:v>
                </c:pt>
                <c:pt idx="5">
                  <c:v>2.0833333333333332E-2</c:v>
                </c:pt>
                <c:pt idx="6">
                  <c:v>2.4999999999999998E-2</c:v>
                </c:pt>
                <c:pt idx="7">
                  <c:v>2.9166666666666664E-2</c:v>
                </c:pt>
                <c:pt idx="8">
                  <c:v>3.3333333333333333E-2</c:v>
                </c:pt>
                <c:pt idx="9">
                  <c:v>3.7499999999999999E-2</c:v>
                </c:pt>
                <c:pt idx="10">
                  <c:v>4.1666666666666664E-2</c:v>
                </c:pt>
                <c:pt idx="11">
                  <c:v>4.5833333333333337E-2</c:v>
                </c:pt>
                <c:pt idx="12">
                  <c:v>4.9999999999999996E-2</c:v>
                </c:pt>
                <c:pt idx="13">
                  <c:v>5.4166666666666669E-2</c:v>
                </c:pt>
                <c:pt idx="14">
                  <c:v>5.8333333333333327E-2</c:v>
                </c:pt>
                <c:pt idx="15">
                  <c:v>6.25E-2</c:v>
                </c:pt>
                <c:pt idx="16">
                  <c:v>6.6666666666666666E-2</c:v>
                </c:pt>
                <c:pt idx="17">
                  <c:v>7.0833333333333331E-2</c:v>
                </c:pt>
                <c:pt idx="18">
                  <c:v>7.4999999999999997E-2</c:v>
                </c:pt>
                <c:pt idx="19">
                  <c:v>7.9166666666666663E-2</c:v>
                </c:pt>
                <c:pt idx="20">
                  <c:v>8.3333333333333329E-2</c:v>
                </c:pt>
                <c:pt idx="21">
                  <c:v>8.7500000000000008E-2</c:v>
                </c:pt>
                <c:pt idx="22">
                  <c:v>9.1666666666666674E-2</c:v>
                </c:pt>
                <c:pt idx="23">
                  <c:v>9.5833333333333326E-2</c:v>
                </c:pt>
                <c:pt idx="24">
                  <c:v>9.9999999999999992E-2</c:v>
                </c:pt>
                <c:pt idx="25">
                  <c:v>0.10416666666666667</c:v>
                </c:pt>
                <c:pt idx="26">
                  <c:v>0.10833333333333334</c:v>
                </c:pt>
                <c:pt idx="27">
                  <c:v>0.1125</c:v>
                </c:pt>
                <c:pt idx="28">
                  <c:v>0.11666666666666665</c:v>
                </c:pt>
                <c:pt idx="29">
                  <c:v>0.12083333333333333</c:v>
                </c:pt>
                <c:pt idx="30">
                  <c:v>0.125</c:v>
                </c:pt>
                <c:pt idx="31">
                  <c:v>0.12916666666666668</c:v>
                </c:pt>
                <c:pt idx="32">
                  <c:v>0.13333333333333333</c:v>
                </c:pt>
                <c:pt idx="33">
                  <c:v>0.13749999999999998</c:v>
                </c:pt>
                <c:pt idx="34">
                  <c:v>0.14166666666666666</c:v>
                </c:pt>
                <c:pt idx="35">
                  <c:v>0.14583333333333334</c:v>
                </c:pt>
                <c:pt idx="36">
                  <c:v>0.15</c:v>
                </c:pt>
                <c:pt idx="37">
                  <c:v>0.15416666666666667</c:v>
                </c:pt>
                <c:pt idx="38">
                  <c:v>0.15833333333333333</c:v>
                </c:pt>
                <c:pt idx="39">
                  <c:v>0.16250000000000001</c:v>
                </c:pt>
                <c:pt idx="40">
                  <c:v>0.16666666666666666</c:v>
                </c:pt>
                <c:pt idx="41">
                  <c:v>0.17083333333333331</c:v>
                </c:pt>
                <c:pt idx="42">
                  <c:v>0.17500000000000002</c:v>
                </c:pt>
                <c:pt idx="43">
                  <c:v>0.17916666666666667</c:v>
                </c:pt>
                <c:pt idx="44">
                  <c:v>0.18333333333333335</c:v>
                </c:pt>
                <c:pt idx="45">
                  <c:v>0.1875</c:v>
                </c:pt>
                <c:pt idx="46">
                  <c:v>0.19166666666666665</c:v>
                </c:pt>
                <c:pt idx="47">
                  <c:v>0.19583333333333333</c:v>
                </c:pt>
                <c:pt idx="48">
                  <c:v>0.19999999999999998</c:v>
                </c:pt>
                <c:pt idx="49">
                  <c:v>0.20416666666666669</c:v>
                </c:pt>
                <c:pt idx="50">
                  <c:v>0.20833333333333334</c:v>
                </c:pt>
                <c:pt idx="51">
                  <c:v>0.21249999999999999</c:v>
                </c:pt>
                <c:pt idx="52">
                  <c:v>0.21666666666666667</c:v>
                </c:pt>
                <c:pt idx="53">
                  <c:v>0.22083333333333333</c:v>
                </c:pt>
                <c:pt idx="54">
                  <c:v>0.22500000000000001</c:v>
                </c:pt>
                <c:pt idx="55">
                  <c:v>0.22916666666666666</c:v>
                </c:pt>
                <c:pt idx="56">
                  <c:v>0.23333333333333331</c:v>
                </c:pt>
                <c:pt idx="57">
                  <c:v>0.23750000000000002</c:v>
                </c:pt>
                <c:pt idx="58">
                  <c:v>0.24166666666666667</c:v>
                </c:pt>
                <c:pt idx="59">
                  <c:v>0.24583333333333335</c:v>
                </c:pt>
                <c:pt idx="60">
                  <c:v>0.25</c:v>
                </c:pt>
                <c:pt idx="61">
                  <c:v>0.25416666666666665</c:v>
                </c:pt>
                <c:pt idx="62">
                  <c:v>0.25833333333333336</c:v>
                </c:pt>
                <c:pt idx="63">
                  <c:v>0.26250000000000001</c:v>
                </c:pt>
                <c:pt idx="64">
                  <c:v>0.26666666666666666</c:v>
                </c:pt>
                <c:pt idx="65">
                  <c:v>0.27083333333333331</c:v>
                </c:pt>
                <c:pt idx="66">
                  <c:v>0.27499999999999997</c:v>
                </c:pt>
                <c:pt idx="67">
                  <c:v>0.27916666666666667</c:v>
                </c:pt>
                <c:pt idx="68">
                  <c:v>0.28333333333333333</c:v>
                </c:pt>
                <c:pt idx="69">
                  <c:v>0.28750000000000003</c:v>
                </c:pt>
                <c:pt idx="70">
                  <c:v>0.29166666666666669</c:v>
                </c:pt>
                <c:pt idx="71">
                  <c:v>0.29583333333333334</c:v>
                </c:pt>
                <c:pt idx="72">
                  <c:v>0.3</c:v>
                </c:pt>
                <c:pt idx="73">
                  <c:v>0.30416666666666664</c:v>
                </c:pt>
                <c:pt idx="74">
                  <c:v>0.30833333333333335</c:v>
                </c:pt>
                <c:pt idx="75">
                  <c:v>0.3125</c:v>
                </c:pt>
                <c:pt idx="76">
                  <c:v>0.31666666666666665</c:v>
                </c:pt>
                <c:pt idx="77">
                  <c:v>0.32083333333333336</c:v>
                </c:pt>
                <c:pt idx="78">
                  <c:v>0.32500000000000001</c:v>
                </c:pt>
                <c:pt idx="79">
                  <c:v>0.32916666666666666</c:v>
                </c:pt>
                <c:pt idx="80">
                  <c:v>0.33333333333333331</c:v>
                </c:pt>
                <c:pt idx="81">
                  <c:v>0.33749999999999997</c:v>
                </c:pt>
                <c:pt idx="82">
                  <c:v>0.34166666666666662</c:v>
                </c:pt>
                <c:pt idx="83">
                  <c:v>0.34583333333333338</c:v>
                </c:pt>
                <c:pt idx="84">
                  <c:v>0.35000000000000003</c:v>
                </c:pt>
                <c:pt idx="85">
                  <c:v>0.35416666666666669</c:v>
                </c:pt>
                <c:pt idx="86">
                  <c:v>0.35833333333333334</c:v>
                </c:pt>
                <c:pt idx="87">
                  <c:v>0.36249999999999999</c:v>
                </c:pt>
                <c:pt idx="88">
                  <c:v>0.3666666666666667</c:v>
                </c:pt>
                <c:pt idx="89">
                  <c:v>0.37083333333333335</c:v>
                </c:pt>
                <c:pt idx="90">
                  <c:v>0.375</c:v>
                </c:pt>
                <c:pt idx="91">
                  <c:v>0.37916666666666665</c:v>
                </c:pt>
                <c:pt idx="92">
                  <c:v>0.3833333333333333</c:v>
                </c:pt>
                <c:pt idx="93">
                  <c:v>0.38750000000000001</c:v>
                </c:pt>
                <c:pt idx="94">
                  <c:v>0.39166666666666666</c:v>
                </c:pt>
                <c:pt idx="95">
                  <c:v>0.39583333333333331</c:v>
                </c:pt>
                <c:pt idx="96">
                  <c:v>0.39999999999999997</c:v>
                </c:pt>
                <c:pt idx="97">
                  <c:v>0.40416666666666662</c:v>
                </c:pt>
                <c:pt idx="98">
                  <c:v>0.40833333333333338</c:v>
                </c:pt>
                <c:pt idx="99">
                  <c:v>0.41250000000000003</c:v>
                </c:pt>
                <c:pt idx="100">
                  <c:v>0.41666666666666669</c:v>
                </c:pt>
                <c:pt idx="101">
                  <c:v>0.42083333333333334</c:v>
                </c:pt>
                <c:pt idx="102">
                  <c:v>0.42499999999999999</c:v>
                </c:pt>
                <c:pt idx="103">
                  <c:v>0.4291666666666667</c:v>
                </c:pt>
                <c:pt idx="104">
                  <c:v>0.43333333333333335</c:v>
                </c:pt>
                <c:pt idx="105">
                  <c:v>0.4375</c:v>
                </c:pt>
                <c:pt idx="106">
                  <c:v>0.44166666666666665</c:v>
                </c:pt>
                <c:pt idx="107">
                  <c:v>0.4458333333333333</c:v>
                </c:pt>
                <c:pt idx="108">
                  <c:v>0.45</c:v>
                </c:pt>
                <c:pt idx="109">
                  <c:v>0.45416666666666666</c:v>
                </c:pt>
                <c:pt idx="110">
                  <c:v>0.45833333333333331</c:v>
                </c:pt>
                <c:pt idx="111">
                  <c:v>0.46249999999999997</c:v>
                </c:pt>
                <c:pt idx="112">
                  <c:v>0.46666666666666662</c:v>
                </c:pt>
                <c:pt idx="113">
                  <c:v>0.47083333333333338</c:v>
                </c:pt>
                <c:pt idx="114">
                  <c:v>0.47500000000000003</c:v>
                </c:pt>
                <c:pt idx="115">
                  <c:v>0.47916666666666669</c:v>
                </c:pt>
                <c:pt idx="116">
                  <c:v>0.48333333333333334</c:v>
                </c:pt>
                <c:pt idx="117">
                  <c:v>0.48749999999999999</c:v>
                </c:pt>
                <c:pt idx="118">
                  <c:v>0.4916666666666667</c:v>
                </c:pt>
                <c:pt idx="119">
                  <c:v>0.49583333333333335</c:v>
                </c:pt>
                <c:pt idx="120">
                  <c:v>0.5</c:v>
                </c:pt>
                <c:pt idx="121">
                  <c:v>0.50416666666666665</c:v>
                </c:pt>
                <c:pt idx="122">
                  <c:v>0.5083333333333333</c:v>
                </c:pt>
                <c:pt idx="123">
                  <c:v>0.51250000000000007</c:v>
                </c:pt>
                <c:pt idx="124">
                  <c:v>0.51666666666666672</c:v>
                </c:pt>
                <c:pt idx="125">
                  <c:v>0.52083333333333337</c:v>
                </c:pt>
                <c:pt idx="126">
                  <c:v>0.52500000000000002</c:v>
                </c:pt>
                <c:pt idx="127">
                  <c:v>0.52916666666666667</c:v>
                </c:pt>
                <c:pt idx="128">
                  <c:v>0.53333333333333333</c:v>
                </c:pt>
                <c:pt idx="129">
                  <c:v>0.53749999999999998</c:v>
                </c:pt>
                <c:pt idx="130">
                  <c:v>0.54166666666666663</c:v>
                </c:pt>
                <c:pt idx="131">
                  <c:v>0.54583333333333328</c:v>
                </c:pt>
                <c:pt idx="132">
                  <c:v>0.54999999999999993</c:v>
                </c:pt>
                <c:pt idx="133">
                  <c:v>0.5541666666666667</c:v>
                </c:pt>
                <c:pt idx="134">
                  <c:v>0.55833333333333335</c:v>
                </c:pt>
                <c:pt idx="135">
                  <c:v>0.5625</c:v>
                </c:pt>
                <c:pt idx="136">
                  <c:v>0.56666666666666665</c:v>
                </c:pt>
                <c:pt idx="137">
                  <c:v>0.5708333333333333</c:v>
                </c:pt>
                <c:pt idx="138">
                  <c:v>0.57500000000000007</c:v>
                </c:pt>
                <c:pt idx="139">
                  <c:v>0.57916666666666672</c:v>
                </c:pt>
                <c:pt idx="140">
                  <c:v>0.58333333333333337</c:v>
                </c:pt>
                <c:pt idx="141">
                  <c:v>0.58750000000000002</c:v>
                </c:pt>
                <c:pt idx="142">
                  <c:v>0.59166666666666667</c:v>
                </c:pt>
                <c:pt idx="143">
                  <c:v>0.59583333333333333</c:v>
                </c:pt>
                <c:pt idx="144">
                  <c:v>0.6</c:v>
                </c:pt>
                <c:pt idx="145">
                  <c:v>0.60416666666666663</c:v>
                </c:pt>
                <c:pt idx="146">
                  <c:v>0.60833333333333328</c:v>
                </c:pt>
                <c:pt idx="147">
                  <c:v>0.61249999999999993</c:v>
                </c:pt>
                <c:pt idx="148">
                  <c:v>0.6166666666666667</c:v>
                </c:pt>
                <c:pt idx="149">
                  <c:v>0.62083333333333335</c:v>
                </c:pt>
                <c:pt idx="150">
                  <c:v>0.625</c:v>
                </c:pt>
                <c:pt idx="151">
                  <c:v>0.62916666666666665</c:v>
                </c:pt>
                <c:pt idx="152">
                  <c:v>0.6333333333333333</c:v>
                </c:pt>
                <c:pt idx="153">
                  <c:v>0.63750000000000007</c:v>
                </c:pt>
                <c:pt idx="154">
                  <c:v>0.64166666666666672</c:v>
                </c:pt>
                <c:pt idx="155">
                  <c:v>0.64583333333333337</c:v>
                </c:pt>
                <c:pt idx="156">
                  <c:v>0.65</c:v>
                </c:pt>
                <c:pt idx="157">
                  <c:v>0.65416666666666667</c:v>
                </c:pt>
                <c:pt idx="158">
                  <c:v>0.65833333333333333</c:v>
                </c:pt>
                <c:pt idx="159">
                  <c:v>0.66249999999999998</c:v>
                </c:pt>
                <c:pt idx="160">
                  <c:v>0.66666666666666663</c:v>
                </c:pt>
                <c:pt idx="161">
                  <c:v>0.67083333333333339</c:v>
                </c:pt>
                <c:pt idx="162">
                  <c:v>0.67499999999999993</c:v>
                </c:pt>
                <c:pt idx="163">
                  <c:v>0.6791666666666667</c:v>
                </c:pt>
                <c:pt idx="164">
                  <c:v>0.68333333333333324</c:v>
                </c:pt>
                <c:pt idx="165">
                  <c:v>0.6875</c:v>
                </c:pt>
                <c:pt idx="166">
                  <c:v>0.69166666666666676</c:v>
                </c:pt>
                <c:pt idx="167">
                  <c:v>0.6958333333333333</c:v>
                </c:pt>
                <c:pt idx="168">
                  <c:v>0.70000000000000007</c:v>
                </c:pt>
                <c:pt idx="169">
                  <c:v>0.70416666666666661</c:v>
                </c:pt>
                <c:pt idx="170">
                  <c:v>0.70833333333333337</c:v>
                </c:pt>
                <c:pt idx="171">
                  <c:v>0.71250000000000002</c:v>
                </c:pt>
                <c:pt idx="172">
                  <c:v>0.71666666666666667</c:v>
                </c:pt>
                <c:pt idx="173">
                  <c:v>0.72083333333333333</c:v>
                </c:pt>
                <c:pt idx="174">
                  <c:v>0.72499999999999998</c:v>
                </c:pt>
                <c:pt idx="175">
                  <c:v>0.72916666666666663</c:v>
                </c:pt>
                <c:pt idx="176">
                  <c:v>0.73333333333333339</c:v>
                </c:pt>
                <c:pt idx="177">
                  <c:v>0.73749999999999993</c:v>
                </c:pt>
                <c:pt idx="178">
                  <c:v>0.7416666666666667</c:v>
                </c:pt>
                <c:pt idx="179">
                  <c:v>0.74583333333333324</c:v>
                </c:pt>
                <c:pt idx="180">
                  <c:v>0.75</c:v>
                </c:pt>
                <c:pt idx="181">
                  <c:v>0.75416666666666676</c:v>
                </c:pt>
                <c:pt idx="182">
                  <c:v>0.7583333333333333</c:v>
                </c:pt>
                <c:pt idx="183">
                  <c:v>0.76250000000000007</c:v>
                </c:pt>
                <c:pt idx="184">
                  <c:v>0.76666666666666661</c:v>
                </c:pt>
                <c:pt idx="185">
                  <c:v>0.77083333333333337</c:v>
                </c:pt>
                <c:pt idx="186">
                  <c:v>0.77500000000000002</c:v>
                </c:pt>
                <c:pt idx="187">
                  <c:v>0.77916666666666667</c:v>
                </c:pt>
                <c:pt idx="188">
                  <c:v>0.78333333333333333</c:v>
                </c:pt>
                <c:pt idx="189">
                  <c:v>0.78749999999999998</c:v>
                </c:pt>
                <c:pt idx="190">
                  <c:v>0.79166666666666663</c:v>
                </c:pt>
                <c:pt idx="191">
                  <c:v>0.79583333333333339</c:v>
                </c:pt>
                <c:pt idx="192">
                  <c:v>0.79999999999999993</c:v>
                </c:pt>
                <c:pt idx="193">
                  <c:v>0.8041666666666667</c:v>
                </c:pt>
                <c:pt idx="194">
                  <c:v>0.80833333333333324</c:v>
                </c:pt>
                <c:pt idx="195">
                  <c:v>0.8125</c:v>
                </c:pt>
                <c:pt idx="196">
                  <c:v>0.81666666666666676</c:v>
                </c:pt>
                <c:pt idx="197">
                  <c:v>0.8208333333333333</c:v>
                </c:pt>
                <c:pt idx="198">
                  <c:v>0.82500000000000007</c:v>
                </c:pt>
                <c:pt idx="199">
                  <c:v>0.82916666666666661</c:v>
                </c:pt>
                <c:pt idx="200">
                  <c:v>0.83333333333333337</c:v>
                </c:pt>
                <c:pt idx="201">
                  <c:v>0.83750000000000002</c:v>
                </c:pt>
                <c:pt idx="202">
                  <c:v>0.84166666666666667</c:v>
                </c:pt>
                <c:pt idx="203">
                  <c:v>0.84583333333333333</c:v>
                </c:pt>
                <c:pt idx="204">
                  <c:v>0.85</c:v>
                </c:pt>
                <c:pt idx="205">
                  <c:v>0.85416666666666663</c:v>
                </c:pt>
                <c:pt idx="206">
                  <c:v>0.85833333333333339</c:v>
                </c:pt>
                <c:pt idx="207">
                  <c:v>0.86249999999999993</c:v>
                </c:pt>
                <c:pt idx="208">
                  <c:v>0.8666666666666667</c:v>
                </c:pt>
                <c:pt idx="209">
                  <c:v>0.87083333333333324</c:v>
                </c:pt>
                <c:pt idx="210">
                  <c:v>0.875</c:v>
                </c:pt>
                <c:pt idx="211">
                  <c:v>0.87916666666666676</c:v>
                </c:pt>
                <c:pt idx="212">
                  <c:v>0.8833333333333333</c:v>
                </c:pt>
                <c:pt idx="213">
                  <c:v>0.88750000000000007</c:v>
                </c:pt>
                <c:pt idx="214">
                  <c:v>0.89166666666666661</c:v>
                </c:pt>
                <c:pt idx="215">
                  <c:v>0.89583333333333337</c:v>
                </c:pt>
                <c:pt idx="216">
                  <c:v>0.9</c:v>
                </c:pt>
                <c:pt idx="217">
                  <c:v>0.90416666666666667</c:v>
                </c:pt>
                <c:pt idx="218">
                  <c:v>0.90833333333333333</c:v>
                </c:pt>
                <c:pt idx="219">
                  <c:v>0.91249999999999998</c:v>
                </c:pt>
                <c:pt idx="220">
                  <c:v>0.91666666666666663</c:v>
                </c:pt>
                <c:pt idx="221">
                  <c:v>0.92083333333333339</c:v>
                </c:pt>
                <c:pt idx="222">
                  <c:v>0.92499999999999993</c:v>
                </c:pt>
                <c:pt idx="223">
                  <c:v>0.9291666666666667</c:v>
                </c:pt>
                <c:pt idx="224">
                  <c:v>0.93333333333333324</c:v>
                </c:pt>
                <c:pt idx="225">
                  <c:v>0.9375</c:v>
                </c:pt>
                <c:pt idx="226">
                  <c:v>0.94166666666666676</c:v>
                </c:pt>
                <c:pt idx="227">
                  <c:v>0.9458333333333333</c:v>
                </c:pt>
                <c:pt idx="228">
                  <c:v>0.95000000000000007</c:v>
                </c:pt>
                <c:pt idx="229">
                  <c:v>0.95416666666666661</c:v>
                </c:pt>
                <c:pt idx="230">
                  <c:v>0.95833333333333337</c:v>
                </c:pt>
                <c:pt idx="231">
                  <c:v>0.96250000000000002</c:v>
                </c:pt>
                <c:pt idx="232">
                  <c:v>0.96666666666666667</c:v>
                </c:pt>
                <c:pt idx="233">
                  <c:v>0.97083333333333333</c:v>
                </c:pt>
                <c:pt idx="234">
                  <c:v>0.97499999999999998</c:v>
                </c:pt>
                <c:pt idx="235">
                  <c:v>0.97916666666666663</c:v>
                </c:pt>
                <c:pt idx="236">
                  <c:v>0.98333333333333339</c:v>
                </c:pt>
                <c:pt idx="237">
                  <c:v>0.98749999999999993</c:v>
                </c:pt>
                <c:pt idx="238">
                  <c:v>0.9916666666666667</c:v>
                </c:pt>
                <c:pt idx="239">
                  <c:v>0.99583333333333324</c:v>
                </c:pt>
                <c:pt idx="240">
                  <c:v>1</c:v>
                </c:pt>
              </c:numCache>
            </c:numRef>
          </c:xVal>
          <c:yVal>
            <c:numRef>
              <c:f>Precip_YHD1!$C$3:$C$243</c:f>
              <c:numCache>
                <c:formatCode>General</c:formatCode>
                <c:ptCount val="241"/>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c:v>
                </c:pt>
                <c:pt idx="76">
                  <c:v>0</c:v>
                </c:pt>
                <c:pt idx="77">
                  <c:v>0</c:v>
                </c:pt>
                <c:pt idx="78">
                  <c:v>0</c:v>
                </c:pt>
                <c:pt idx="79">
                  <c:v>0</c:v>
                </c:pt>
                <c:pt idx="80">
                  <c:v>0</c:v>
                </c:pt>
                <c:pt idx="81">
                  <c:v>0</c:v>
                </c:pt>
                <c:pt idx="82">
                  <c:v>0</c:v>
                </c:pt>
                <c:pt idx="83">
                  <c:v>0</c:v>
                </c:pt>
                <c:pt idx="84">
                  <c:v>0</c:v>
                </c:pt>
                <c:pt idx="85">
                  <c:v>0</c:v>
                </c:pt>
                <c:pt idx="86">
                  <c:v>0</c:v>
                </c:pt>
                <c:pt idx="87">
                  <c:v>0</c:v>
                </c:pt>
                <c:pt idx="88">
                  <c:v>0</c:v>
                </c:pt>
                <c:pt idx="89">
                  <c:v>0</c:v>
                </c:pt>
                <c:pt idx="90">
                  <c:v>0</c:v>
                </c:pt>
                <c:pt idx="91">
                  <c:v>0</c:v>
                </c:pt>
                <c:pt idx="92">
                  <c:v>0</c:v>
                </c:pt>
                <c:pt idx="93">
                  <c:v>0</c:v>
                </c:pt>
                <c:pt idx="94">
                  <c:v>0</c:v>
                </c:pt>
                <c:pt idx="95">
                  <c:v>0</c:v>
                </c:pt>
                <c:pt idx="96">
                  <c:v>0</c:v>
                </c:pt>
                <c:pt idx="97">
                  <c:v>0</c:v>
                </c:pt>
                <c:pt idx="98">
                  <c:v>0</c:v>
                </c:pt>
                <c:pt idx="99">
                  <c:v>0</c:v>
                </c:pt>
                <c:pt idx="100">
                  <c:v>0</c:v>
                </c:pt>
                <c:pt idx="101">
                  <c:v>0</c:v>
                </c:pt>
                <c:pt idx="102">
                  <c:v>0</c:v>
                </c:pt>
                <c:pt idx="103">
                  <c:v>0</c:v>
                </c:pt>
                <c:pt idx="104">
                  <c:v>0</c:v>
                </c:pt>
                <c:pt idx="105">
                  <c:v>0</c:v>
                </c:pt>
                <c:pt idx="106">
                  <c:v>0</c:v>
                </c:pt>
                <c:pt idx="107">
                  <c:v>0</c:v>
                </c:pt>
                <c:pt idx="108">
                  <c:v>0.01</c:v>
                </c:pt>
                <c:pt idx="109">
                  <c:v>0.01</c:v>
                </c:pt>
                <c:pt idx="110">
                  <c:v>0.01</c:v>
                </c:pt>
                <c:pt idx="111">
                  <c:v>0.01</c:v>
                </c:pt>
                <c:pt idx="112">
                  <c:v>0.01</c:v>
                </c:pt>
                <c:pt idx="113">
                  <c:v>0.01</c:v>
                </c:pt>
                <c:pt idx="114">
                  <c:v>0.02</c:v>
                </c:pt>
                <c:pt idx="115">
                  <c:v>0.02</c:v>
                </c:pt>
                <c:pt idx="116">
                  <c:v>0.04</c:v>
                </c:pt>
                <c:pt idx="117">
                  <c:v>0.05</c:v>
                </c:pt>
                <c:pt idx="118">
                  <c:v>0.06</c:v>
                </c:pt>
                <c:pt idx="119">
                  <c:v>0.05</c:v>
                </c:pt>
                <c:pt idx="120">
                  <c:v>0.13</c:v>
                </c:pt>
                <c:pt idx="121">
                  <c:v>0.28000000000000003</c:v>
                </c:pt>
                <c:pt idx="122">
                  <c:v>0.1</c:v>
                </c:pt>
                <c:pt idx="123">
                  <c:v>0.06</c:v>
                </c:pt>
                <c:pt idx="124">
                  <c:v>0.08</c:v>
                </c:pt>
                <c:pt idx="125">
                  <c:v>0.08</c:v>
                </c:pt>
                <c:pt idx="126">
                  <c:v>0.04</c:v>
                </c:pt>
                <c:pt idx="127">
                  <c:v>0.04</c:v>
                </c:pt>
                <c:pt idx="128">
                  <c:v>0.04</c:v>
                </c:pt>
                <c:pt idx="129">
                  <c:v>0.03</c:v>
                </c:pt>
                <c:pt idx="130">
                  <c:v>0.03</c:v>
                </c:pt>
                <c:pt idx="131">
                  <c:v>0.02</c:v>
                </c:pt>
                <c:pt idx="132">
                  <c:v>0.02</c:v>
                </c:pt>
                <c:pt idx="133">
                  <c:v>0.02</c:v>
                </c:pt>
                <c:pt idx="134">
                  <c:v>0.02</c:v>
                </c:pt>
                <c:pt idx="135">
                  <c:v>0.02</c:v>
                </c:pt>
                <c:pt idx="136">
                  <c:v>0.02</c:v>
                </c:pt>
                <c:pt idx="137">
                  <c:v>0.01</c:v>
                </c:pt>
                <c:pt idx="138">
                  <c:v>0.01</c:v>
                </c:pt>
                <c:pt idx="139">
                  <c:v>0.01</c:v>
                </c:pt>
                <c:pt idx="140">
                  <c:v>0.01</c:v>
                </c:pt>
                <c:pt idx="141">
                  <c:v>0.01</c:v>
                </c:pt>
                <c:pt idx="142">
                  <c:v>0.01</c:v>
                </c:pt>
                <c:pt idx="143">
                  <c:v>0.01</c:v>
                </c:pt>
                <c:pt idx="144">
                  <c:v>0.01</c:v>
                </c:pt>
                <c:pt idx="145">
                  <c:v>0.01</c:v>
                </c:pt>
                <c:pt idx="146">
                  <c:v>0.01</c:v>
                </c:pt>
                <c:pt idx="147">
                  <c:v>0.01</c:v>
                </c:pt>
                <c:pt idx="148">
                  <c:v>0.01</c:v>
                </c:pt>
                <c:pt idx="149">
                  <c:v>0.01</c:v>
                </c:pt>
                <c:pt idx="150">
                  <c:v>0.01</c:v>
                </c:pt>
                <c:pt idx="151">
                  <c:v>0.01</c:v>
                </c:pt>
                <c:pt idx="152">
                  <c:v>0.01</c:v>
                </c:pt>
                <c:pt idx="153">
                  <c:v>0.01</c:v>
                </c:pt>
                <c:pt idx="154">
                  <c:v>0.01</c:v>
                </c:pt>
                <c:pt idx="155">
                  <c:v>0.01</c:v>
                </c:pt>
                <c:pt idx="156">
                  <c:v>0.01</c:v>
                </c:pt>
                <c:pt idx="157">
                  <c:v>0.01</c:v>
                </c:pt>
                <c:pt idx="158">
                  <c:v>0.01</c:v>
                </c:pt>
                <c:pt idx="159">
                  <c:v>0.01</c:v>
                </c:pt>
                <c:pt idx="160">
                  <c:v>0.01</c:v>
                </c:pt>
                <c:pt idx="161">
                  <c:v>0.01</c:v>
                </c:pt>
                <c:pt idx="162">
                  <c:v>0.01</c:v>
                </c:pt>
                <c:pt idx="163">
                  <c:v>0.01</c:v>
                </c:pt>
                <c:pt idx="164">
                  <c:v>0.01</c:v>
                </c:pt>
                <c:pt idx="165">
                  <c:v>0.01</c:v>
                </c:pt>
                <c:pt idx="166">
                  <c:v>0.01</c:v>
                </c:pt>
                <c:pt idx="167">
                  <c:v>0.01</c:v>
                </c:pt>
                <c:pt idx="168">
                  <c:v>0.01</c:v>
                </c:pt>
                <c:pt idx="169">
                  <c:v>0.01</c:v>
                </c:pt>
                <c:pt idx="170">
                  <c:v>0.01</c:v>
                </c:pt>
                <c:pt idx="171">
                  <c:v>0.01</c:v>
                </c:pt>
                <c:pt idx="172">
                  <c:v>0.01</c:v>
                </c:pt>
                <c:pt idx="173">
                  <c:v>0.01</c:v>
                </c:pt>
                <c:pt idx="174">
                  <c:v>0.01</c:v>
                </c:pt>
                <c:pt idx="175">
                  <c:v>0.01</c:v>
                </c:pt>
                <c:pt idx="176">
                  <c:v>0.01</c:v>
                </c:pt>
                <c:pt idx="177">
                  <c:v>0.01</c:v>
                </c:pt>
                <c:pt idx="178">
                  <c:v>0.01</c:v>
                </c:pt>
                <c:pt idx="179">
                  <c:v>0.01</c:v>
                </c:pt>
                <c:pt idx="180">
                  <c:v>0.01</c:v>
                </c:pt>
                <c:pt idx="181">
                  <c:v>0.01</c:v>
                </c:pt>
                <c:pt idx="182">
                  <c:v>0.01</c:v>
                </c:pt>
                <c:pt idx="183">
                  <c:v>0.01</c:v>
                </c:pt>
                <c:pt idx="184">
                  <c:v>0.01</c:v>
                </c:pt>
                <c:pt idx="185">
                  <c:v>0.01</c:v>
                </c:pt>
                <c:pt idx="186">
                  <c:v>0.01</c:v>
                </c:pt>
                <c:pt idx="187">
                  <c:v>0</c:v>
                </c:pt>
                <c:pt idx="188">
                  <c:v>0</c:v>
                </c:pt>
                <c:pt idx="189">
                  <c:v>0</c:v>
                </c:pt>
                <c:pt idx="190">
                  <c:v>0</c:v>
                </c:pt>
                <c:pt idx="191">
                  <c:v>0</c:v>
                </c:pt>
                <c:pt idx="192">
                  <c:v>0</c:v>
                </c:pt>
                <c:pt idx="193">
                  <c:v>0</c:v>
                </c:pt>
                <c:pt idx="194">
                  <c:v>0</c:v>
                </c:pt>
                <c:pt idx="195">
                  <c:v>0</c:v>
                </c:pt>
                <c:pt idx="196">
                  <c:v>0</c:v>
                </c:pt>
                <c:pt idx="197">
                  <c:v>0</c:v>
                </c:pt>
                <c:pt idx="198">
                  <c:v>0</c:v>
                </c:pt>
                <c:pt idx="199">
                  <c:v>0</c:v>
                </c:pt>
                <c:pt idx="200">
                  <c:v>0</c:v>
                </c:pt>
                <c:pt idx="201">
                  <c:v>0</c:v>
                </c:pt>
                <c:pt idx="202">
                  <c:v>0</c:v>
                </c:pt>
                <c:pt idx="203">
                  <c:v>0</c:v>
                </c:pt>
                <c:pt idx="204">
                  <c:v>0</c:v>
                </c:pt>
                <c:pt idx="205">
                  <c:v>0</c:v>
                </c:pt>
                <c:pt idx="206">
                  <c:v>0</c:v>
                </c:pt>
                <c:pt idx="207">
                  <c:v>0</c:v>
                </c:pt>
                <c:pt idx="208">
                  <c:v>0</c:v>
                </c:pt>
                <c:pt idx="209">
                  <c:v>0</c:v>
                </c:pt>
                <c:pt idx="210">
                  <c:v>0</c:v>
                </c:pt>
                <c:pt idx="211">
                  <c:v>0</c:v>
                </c:pt>
                <c:pt idx="212">
                  <c:v>0</c:v>
                </c:pt>
                <c:pt idx="213">
                  <c:v>0</c:v>
                </c:pt>
                <c:pt idx="214">
                  <c:v>0</c:v>
                </c:pt>
                <c:pt idx="215">
                  <c:v>0</c:v>
                </c:pt>
                <c:pt idx="216">
                  <c:v>0</c:v>
                </c:pt>
                <c:pt idx="217">
                  <c:v>0</c:v>
                </c:pt>
                <c:pt idx="218">
                  <c:v>0</c:v>
                </c:pt>
                <c:pt idx="219">
                  <c:v>0</c:v>
                </c:pt>
                <c:pt idx="220">
                  <c:v>0</c:v>
                </c:pt>
                <c:pt idx="221">
                  <c:v>0</c:v>
                </c:pt>
                <c:pt idx="222">
                  <c:v>0</c:v>
                </c:pt>
                <c:pt idx="223">
                  <c:v>0</c:v>
                </c:pt>
                <c:pt idx="224">
                  <c:v>0</c:v>
                </c:pt>
                <c:pt idx="225">
                  <c:v>0</c:v>
                </c:pt>
                <c:pt idx="226">
                  <c:v>0</c:v>
                </c:pt>
                <c:pt idx="227">
                  <c:v>0</c:v>
                </c:pt>
                <c:pt idx="228">
                  <c:v>0</c:v>
                </c:pt>
                <c:pt idx="229">
                  <c:v>0</c:v>
                </c:pt>
                <c:pt idx="230">
                  <c:v>0</c:v>
                </c:pt>
                <c:pt idx="231">
                  <c:v>0</c:v>
                </c:pt>
                <c:pt idx="232">
                  <c:v>0</c:v>
                </c:pt>
                <c:pt idx="233">
                  <c:v>0</c:v>
                </c:pt>
                <c:pt idx="234">
                  <c:v>0</c:v>
                </c:pt>
                <c:pt idx="235">
                  <c:v>0</c:v>
                </c:pt>
                <c:pt idx="236">
                  <c:v>0</c:v>
                </c:pt>
                <c:pt idx="237">
                  <c:v>0</c:v>
                </c:pt>
                <c:pt idx="238">
                  <c:v>0</c:v>
                </c:pt>
                <c:pt idx="239">
                  <c:v>0</c:v>
                </c:pt>
                <c:pt idx="240">
                  <c:v>0</c:v>
                </c:pt>
              </c:numCache>
            </c:numRef>
          </c:yVal>
          <c:smooth val="1"/>
          <c:extLst xmlns:c16r2="http://schemas.microsoft.com/office/drawing/2015/06/chart">
            <c:ext xmlns:c16="http://schemas.microsoft.com/office/drawing/2014/chart" uri="{C3380CC4-5D6E-409C-BE32-E72D297353CC}">
              <c16:uniqueId val="{00000003-023E-4C89-B2BA-AFA834A25DAC}"/>
            </c:ext>
          </c:extLst>
        </c:ser>
        <c:ser>
          <c:idx val="0"/>
          <c:order val="5"/>
          <c:tx>
            <c:v>10 Percent Annual Chance</c:v>
          </c:tx>
          <c:spPr>
            <a:ln>
              <a:solidFill>
                <a:srgbClr val="33CC33"/>
              </a:solidFill>
            </a:ln>
          </c:spPr>
          <c:marker>
            <c:symbol val="none"/>
          </c:marker>
          <c:xVal>
            <c:numRef>
              <c:f>Precip_YHD1!$A$3:$A$243</c:f>
              <c:numCache>
                <c:formatCode>h:mm;@</c:formatCode>
                <c:ptCount val="241"/>
                <c:pt idx="0">
                  <c:v>0</c:v>
                </c:pt>
                <c:pt idx="1">
                  <c:v>4.1666666666666666E-3</c:v>
                </c:pt>
                <c:pt idx="2">
                  <c:v>8.3333333333333332E-3</c:v>
                </c:pt>
                <c:pt idx="3">
                  <c:v>1.2499999999999999E-2</c:v>
                </c:pt>
                <c:pt idx="4">
                  <c:v>1.6666666666666666E-2</c:v>
                </c:pt>
                <c:pt idx="5">
                  <c:v>2.0833333333333332E-2</c:v>
                </c:pt>
                <c:pt idx="6">
                  <c:v>2.4999999999999998E-2</c:v>
                </c:pt>
                <c:pt idx="7">
                  <c:v>2.9166666666666664E-2</c:v>
                </c:pt>
                <c:pt idx="8">
                  <c:v>3.3333333333333333E-2</c:v>
                </c:pt>
                <c:pt idx="9">
                  <c:v>3.7499999999999999E-2</c:v>
                </c:pt>
                <c:pt idx="10">
                  <c:v>4.1666666666666664E-2</c:v>
                </c:pt>
                <c:pt idx="11">
                  <c:v>4.5833333333333337E-2</c:v>
                </c:pt>
                <c:pt idx="12">
                  <c:v>4.9999999999999996E-2</c:v>
                </c:pt>
                <c:pt idx="13">
                  <c:v>5.4166666666666669E-2</c:v>
                </c:pt>
                <c:pt idx="14">
                  <c:v>5.8333333333333327E-2</c:v>
                </c:pt>
                <c:pt idx="15">
                  <c:v>6.25E-2</c:v>
                </c:pt>
                <c:pt idx="16">
                  <c:v>6.6666666666666666E-2</c:v>
                </c:pt>
                <c:pt idx="17">
                  <c:v>7.0833333333333331E-2</c:v>
                </c:pt>
                <c:pt idx="18">
                  <c:v>7.4999999999999997E-2</c:v>
                </c:pt>
                <c:pt idx="19">
                  <c:v>7.9166666666666663E-2</c:v>
                </c:pt>
                <c:pt idx="20">
                  <c:v>8.3333333333333329E-2</c:v>
                </c:pt>
                <c:pt idx="21">
                  <c:v>8.7500000000000008E-2</c:v>
                </c:pt>
                <c:pt idx="22">
                  <c:v>9.1666666666666674E-2</c:v>
                </c:pt>
                <c:pt idx="23">
                  <c:v>9.5833333333333326E-2</c:v>
                </c:pt>
                <c:pt idx="24">
                  <c:v>9.9999999999999992E-2</c:v>
                </c:pt>
                <c:pt idx="25">
                  <c:v>0.10416666666666667</c:v>
                </c:pt>
                <c:pt idx="26">
                  <c:v>0.10833333333333334</c:v>
                </c:pt>
                <c:pt idx="27">
                  <c:v>0.1125</c:v>
                </c:pt>
                <c:pt idx="28">
                  <c:v>0.11666666666666665</c:v>
                </c:pt>
                <c:pt idx="29">
                  <c:v>0.12083333333333333</c:v>
                </c:pt>
                <c:pt idx="30">
                  <c:v>0.125</c:v>
                </c:pt>
                <c:pt idx="31">
                  <c:v>0.12916666666666668</c:v>
                </c:pt>
                <c:pt idx="32">
                  <c:v>0.13333333333333333</c:v>
                </c:pt>
                <c:pt idx="33">
                  <c:v>0.13749999999999998</c:v>
                </c:pt>
                <c:pt idx="34">
                  <c:v>0.14166666666666666</c:v>
                </c:pt>
                <c:pt idx="35">
                  <c:v>0.14583333333333334</c:v>
                </c:pt>
                <c:pt idx="36">
                  <c:v>0.15</c:v>
                </c:pt>
                <c:pt idx="37">
                  <c:v>0.15416666666666667</c:v>
                </c:pt>
                <c:pt idx="38">
                  <c:v>0.15833333333333333</c:v>
                </c:pt>
                <c:pt idx="39">
                  <c:v>0.16250000000000001</c:v>
                </c:pt>
                <c:pt idx="40">
                  <c:v>0.16666666666666666</c:v>
                </c:pt>
                <c:pt idx="41">
                  <c:v>0.17083333333333331</c:v>
                </c:pt>
                <c:pt idx="42">
                  <c:v>0.17500000000000002</c:v>
                </c:pt>
                <c:pt idx="43">
                  <c:v>0.17916666666666667</c:v>
                </c:pt>
                <c:pt idx="44">
                  <c:v>0.18333333333333335</c:v>
                </c:pt>
                <c:pt idx="45">
                  <c:v>0.1875</c:v>
                </c:pt>
                <c:pt idx="46">
                  <c:v>0.19166666666666665</c:v>
                </c:pt>
                <c:pt idx="47">
                  <c:v>0.19583333333333333</c:v>
                </c:pt>
                <c:pt idx="48">
                  <c:v>0.19999999999999998</c:v>
                </c:pt>
                <c:pt idx="49">
                  <c:v>0.20416666666666669</c:v>
                </c:pt>
                <c:pt idx="50">
                  <c:v>0.20833333333333334</c:v>
                </c:pt>
                <c:pt idx="51">
                  <c:v>0.21249999999999999</c:v>
                </c:pt>
                <c:pt idx="52">
                  <c:v>0.21666666666666667</c:v>
                </c:pt>
                <c:pt idx="53">
                  <c:v>0.22083333333333333</c:v>
                </c:pt>
                <c:pt idx="54">
                  <c:v>0.22500000000000001</c:v>
                </c:pt>
                <c:pt idx="55">
                  <c:v>0.22916666666666666</c:v>
                </c:pt>
                <c:pt idx="56">
                  <c:v>0.23333333333333331</c:v>
                </c:pt>
                <c:pt idx="57">
                  <c:v>0.23750000000000002</c:v>
                </c:pt>
                <c:pt idx="58">
                  <c:v>0.24166666666666667</c:v>
                </c:pt>
                <c:pt idx="59">
                  <c:v>0.24583333333333335</c:v>
                </c:pt>
                <c:pt idx="60">
                  <c:v>0.25</c:v>
                </c:pt>
                <c:pt idx="61">
                  <c:v>0.25416666666666665</c:v>
                </c:pt>
                <c:pt idx="62">
                  <c:v>0.25833333333333336</c:v>
                </c:pt>
                <c:pt idx="63">
                  <c:v>0.26250000000000001</c:v>
                </c:pt>
                <c:pt idx="64">
                  <c:v>0.26666666666666666</c:v>
                </c:pt>
                <c:pt idx="65">
                  <c:v>0.27083333333333331</c:v>
                </c:pt>
                <c:pt idx="66">
                  <c:v>0.27499999999999997</c:v>
                </c:pt>
                <c:pt idx="67">
                  <c:v>0.27916666666666667</c:v>
                </c:pt>
                <c:pt idx="68">
                  <c:v>0.28333333333333333</c:v>
                </c:pt>
                <c:pt idx="69">
                  <c:v>0.28750000000000003</c:v>
                </c:pt>
                <c:pt idx="70">
                  <c:v>0.29166666666666669</c:v>
                </c:pt>
                <c:pt idx="71">
                  <c:v>0.29583333333333334</c:v>
                </c:pt>
                <c:pt idx="72">
                  <c:v>0.3</c:v>
                </c:pt>
                <c:pt idx="73">
                  <c:v>0.30416666666666664</c:v>
                </c:pt>
                <c:pt idx="74">
                  <c:v>0.30833333333333335</c:v>
                </c:pt>
                <c:pt idx="75">
                  <c:v>0.3125</c:v>
                </c:pt>
                <c:pt idx="76">
                  <c:v>0.31666666666666665</c:v>
                </c:pt>
                <c:pt idx="77">
                  <c:v>0.32083333333333336</c:v>
                </c:pt>
                <c:pt idx="78">
                  <c:v>0.32500000000000001</c:v>
                </c:pt>
                <c:pt idx="79">
                  <c:v>0.32916666666666666</c:v>
                </c:pt>
                <c:pt idx="80">
                  <c:v>0.33333333333333331</c:v>
                </c:pt>
                <c:pt idx="81">
                  <c:v>0.33749999999999997</c:v>
                </c:pt>
                <c:pt idx="82">
                  <c:v>0.34166666666666662</c:v>
                </c:pt>
                <c:pt idx="83">
                  <c:v>0.34583333333333338</c:v>
                </c:pt>
                <c:pt idx="84">
                  <c:v>0.35000000000000003</c:v>
                </c:pt>
                <c:pt idx="85">
                  <c:v>0.35416666666666669</c:v>
                </c:pt>
                <c:pt idx="86">
                  <c:v>0.35833333333333334</c:v>
                </c:pt>
                <c:pt idx="87">
                  <c:v>0.36249999999999999</c:v>
                </c:pt>
                <c:pt idx="88">
                  <c:v>0.3666666666666667</c:v>
                </c:pt>
                <c:pt idx="89">
                  <c:v>0.37083333333333335</c:v>
                </c:pt>
                <c:pt idx="90">
                  <c:v>0.375</c:v>
                </c:pt>
                <c:pt idx="91">
                  <c:v>0.37916666666666665</c:v>
                </c:pt>
                <c:pt idx="92">
                  <c:v>0.3833333333333333</c:v>
                </c:pt>
                <c:pt idx="93">
                  <c:v>0.38750000000000001</c:v>
                </c:pt>
                <c:pt idx="94">
                  <c:v>0.39166666666666666</c:v>
                </c:pt>
                <c:pt idx="95">
                  <c:v>0.39583333333333331</c:v>
                </c:pt>
                <c:pt idx="96">
                  <c:v>0.39999999999999997</c:v>
                </c:pt>
                <c:pt idx="97">
                  <c:v>0.40416666666666662</c:v>
                </c:pt>
                <c:pt idx="98">
                  <c:v>0.40833333333333338</c:v>
                </c:pt>
                <c:pt idx="99">
                  <c:v>0.41250000000000003</c:v>
                </c:pt>
                <c:pt idx="100">
                  <c:v>0.41666666666666669</c:v>
                </c:pt>
                <c:pt idx="101">
                  <c:v>0.42083333333333334</c:v>
                </c:pt>
                <c:pt idx="102">
                  <c:v>0.42499999999999999</c:v>
                </c:pt>
                <c:pt idx="103">
                  <c:v>0.4291666666666667</c:v>
                </c:pt>
                <c:pt idx="104">
                  <c:v>0.43333333333333335</c:v>
                </c:pt>
                <c:pt idx="105">
                  <c:v>0.4375</c:v>
                </c:pt>
                <c:pt idx="106">
                  <c:v>0.44166666666666665</c:v>
                </c:pt>
                <c:pt idx="107">
                  <c:v>0.4458333333333333</c:v>
                </c:pt>
                <c:pt idx="108">
                  <c:v>0.45</c:v>
                </c:pt>
                <c:pt idx="109">
                  <c:v>0.45416666666666666</c:v>
                </c:pt>
                <c:pt idx="110">
                  <c:v>0.45833333333333331</c:v>
                </c:pt>
                <c:pt idx="111">
                  <c:v>0.46249999999999997</c:v>
                </c:pt>
                <c:pt idx="112">
                  <c:v>0.46666666666666662</c:v>
                </c:pt>
                <c:pt idx="113">
                  <c:v>0.47083333333333338</c:v>
                </c:pt>
                <c:pt idx="114">
                  <c:v>0.47500000000000003</c:v>
                </c:pt>
                <c:pt idx="115">
                  <c:v>0.47916666666666669</c:v>
                </c:pt>
                <c:pt idx="116">
                  <c:v>0.48333333333333334</c:v>
                </c:pt>
                <c:pt idx="117">
                  <c:v>0.48749999999999999</c:v>
                </c:pt>
                <c:pt idx="118">
                  <c:v>0.4916666666666667</c:v>
                </c:pt>
                <c:pt idx="119">
                  <c:v>0.49583333333333335</c:v>
                </c:pt>
                <c:pt idx="120">
                  <c:v>0.5</c:v>
                </c:pt>
                <c:pt idx="121">
                  <c:v>0.50416666666666665</c:v>
                </c:pt>
                <c:pt idx="122">
                  <c:v>0.5083333333333333</c:v>
                </c:pt>
                <c:pt idx="123">
                  <c:v>0.51250000000000007</c:v>
                </c:pt>
                <c:pt idx="124">
                  <c:v>0.51666666666666672</c:v>
                </c:pt>
                <c:pt idx="125">
                  <c:v>0.52083333333333337</c:v>
                </c:pt>
                <c:pt idx="126">
                  <c:v>0.52500000000000002</c:v>
                </c:pt>
                <c:pt idx="127">
                  <c:v>0.52916666666666667</c:v>
                </c:pt>
                <c:pt idx="128">
                  <c:v>0.53333333333333333</c:v>
                </c:pt>
                <c:pt idx="129">
                  <c:v>0.53749999999999998</c:v>
                </c:pt>
                <c:pt idx="130">
                  <c:v>0.54166666666666663</c:v>
                </c:pt>
                <c:pt idx="131">
                  <c:v>0.54583333333333328</c:v>
                </c:pt>
                <c:pt idx="132">
                  <c:v>0.54999999999999993</c:v>
                </c:pt>
                <c:pt idx="133">
                  <c:v>0.5541666666666667</c:v>
                </c:pt>
                <c:pt idx="134">
                  <c:v>0.55833333333333335</c:v>
                </c:pt>
                <c:pt idx="135">
                  <c:v>0.5625</c:v>
                </c:pt>
                <c:pt idx="136">
                  <c:v>0.56666666666666665</c:v>
                </c:pt>
                <c:pt idx="137">
                  <c:v>0.5708333333333333</c:v>
                </c:pt>
                <c:pt idx="138">
                  <c:v>0.57500000000000007</c:v>
                </c:pt>
                <c:pt idx="139">
                  <c:v>0.57916666666666672</c:v>
                </c:pt>
                <c:pt idx="140">
                  <c:v>0.58333333333333337</c:v>
                </c:pt>
                <c:pt idx="141">
                  <c:v>0.58750000000000002</c:v>
                </c:pt>
                <c:pt idx="142">
                  <c:v>0.59166666666666667</c:v>
                </c:pt>
                <c:pt idx="143">
                  <c:v>0.59583333333333333</c:v>
                </c:pt>
                <c:pt idx="144">
                  <c:v>0.6</c:v>
                </c:pt>
                <c:pt idx="145">
                  <c:v>0.60416666666666663</c:v>
                </c:pt>
                <c:pt idx="146">
                  <c:v>0.60833333333333328</c:v>
                </c:pt>
                <c:pt idx="147">
                  <c:v>0.61249999999999993</c:v>
                </c:pt>
                <c:pt idx="148">
                  <c:v>0.6166666666666667</c:v>
                </c:pt>
                <c:pt idx="149">
                  <c:v>0.62083333333333335</c:v>
                </c:pt>
                <c:pt idx="150">
                  <c:v>0.625</c:v>
                </c:pt>
                <c:pt idx="151">
                  <c:v>0.62916666666666665</c:v>
                </c:pt>
                <c:pt idx="152">
                  <c:v>0.6333333333333333</c:v>
                </c:pt>
                <c:pt idx="153">
                  <c:v>0.63750000000000007</c:v>
                </c:pt>
                <c:pt idx="154">
                  <c:v>0.64166666666666672</c:v>
                </c:pt>
                <c:pt idx="155">
                  <c:v>0.64583333333333337</c:v>
                </c:pt>
                <c:pt idx="156">
                  <c:v>0.65</c:v>
                </c:pt>
                <c:pt idx="157">
                  <c:v>0.65416666666666667</c:v>
                </c:pt>
                <c:pt idx="158">
                  <c:v>0.65833333333333333</c:v>
                </c:pt>
                <c:pt idx="159">
                  <c:v>0.66249999999999998</c:v>
                </c:pt>
                <c:pt idx="160">
                  <c:v>0.66666666666666663</c:v>
                </c:pt>
                <c:pt idx="161">
                  <c:v>0.67083333333333339</c:v>
                </c:pt>
                <c:pt idx="162">
                  <c:v>0.67499999999999993</c:v>
                </c:pt>
                <c:pt idx="163">
                  <c:v>0.6791666666666667</c:v>
                </c:pt>
                <c:pt idx="164">
                  <c:v>0.68333333333333324</c:v>
                </c:pt>
                <c:pt idx="165">
                  <c:v>0.6875</c:v>
                </c:pt>
                <c:pt idx="166">
                  <c:v>0.69166666666666676</c:v>
                </c:pt>
                <c:pt idx="167">
                  <c:v>0.6958333333333333</c:v>
                </c:pt>
                <c:pt idx="168">
                  <c:v>0.70000000000000007</c:v>
                </c:pt>
                <c:pt idx="169">
                  <c:v>0.70416666666666661</c:v>
                </c:pt>
                <c:pt idx="170">
                  <c:v>0.70833333333333337</c:v>
                </c:pt>
                <c:pt idx="171">
                  <c:v>0.71250000000000002</c:v>
                </c:pt>
                <c:pt idx="172">
                  <c:v>0.71666666666666667</c:v>
                </c:pt>
                <c:pt idx="173">
                  <c:v>0.72083333333333333</c:v>
                </c:pt>
                <c:pt idx="174">
                  <c:v>0.72499999999999998</c:v>
                </c:pt>
                <c:pt idx="175">
                  <c:v>0.72916666666666663</c:v>
                </c:pt>
                <c:pt idx="176">
                  <c:v>0.73333333333333339</c:v>
                </c:pt>
                <c:pt idx="177">
                  <c:v>0.73749999999999993</c:v>
                </c:pt>
                <c:pt idx="178">
                  <c:v>0.7416666666666667</c:v>
                </c:pt>
                <c:pt idx="179">
                  <c:v>0.74583333333333324</c:v>
                </c:pt>
                <c:pt idx="180">
                  <c:v>0.75</c:v>
                </c:pt>
                <c:pt idx="181">
                  <c:v>0.75416666666666676</c:v>
                </c:pt>
                <c:pt idx="182">
                  <c:v>0.7583333333333333</c:v>
                </c:pt>
                <c:pt idx="183">
                  <c:v>0.76250000000000007</c:v>
                </c:pt>
                <c:pt idx="184">
                  <c:v>0.76666666666666661</c:v>
                </c:pt>
                <c:pt idx="185">
                  <c:v>0.77083333333333337</c:v>
                </c:pt>
                <c:pt idx="186">
                  <c:v>0.77500000000000002</c:v>
                </c:pt>
                <c:pt idx="187">
                  <c:v>0.77916666666666667</c:v>
                </c:pt>
                <c:pt idx="188">
                  <c:v>0.78333333333333333</c:v>
                </c:pt>
                <c:pt idx="189">
                  <c:v>0.78749999999999998</c:v>
                </c:pt>
                <c:pt idx="190">
                  <c:v>0.79166666666666663</c:v>
                </c:pt>
                <c:pt idx="191">
                  <c:v>0.79583333333333339</c:v>
                </c:pt>
                <c:pt idx="192">
                  <c:v>0.79999999999999993</c:v>
                </c:pt>
                <c:pt idx="193">
                  <c:v>0.8041666666666667</c:v>
                </c:pt>
                <c:pt idx="194">
                  <c:v>0.80833333333333324</c:v>
                </c:pt>
                <c:pt idx="195">
                  <c:v>0.8125</c:v>
                </c:pt>
                <c:pt idx="196">
                  <c:v>0.81666666666666676</c:v>
                </c:pt>
                <c:pt idx="197">
                  <c:v>0.8208333333333333</c:v>
                </c:pt>
                <c:pt idx="198">
                  <c:v>0.82500000000000007</c:v>
                </c:pt>
                <c:pt idx="199">
                  <c:v>0.82916666666666661</c:v>
                </c:pt>
                <c:pt idx="200">
                  <c:v>0.83333333333333337</c:v>
                </c:pt>
                <c:pt idx="201">
                  <c:v>0.83750000000000002</c:v>
                </c:pt>
                <c:pt idx="202">
                  <c:v>0.84166666666666667</c:v>
                </c:pt>
                <c:pt idx="203">
                  <c:v>0.84583333333333333</c:v>
                </c:pt>
                <c:pt idx="204">
                  <c:v>0.85</c:v>
                </c:pt>
                <c:pt idx="205">
                  <c:v>0.85416666666666663</c:v>
                </c:pt>
                <c:pt idx="206">
                  <c:v>0.85833333333333339</c:v>
                </c:pt>
                <c:pt idx="207">
                  <c:v>0.86249999999999993</c:v>
                </c:pt>
                <c:pt idx="208">
                  <c:v>0.8666666666666667</c:v>
                </c:pt>
                <c:pt idx="209">
                  <c:v>0.87083333333333324</c:v>
                </c:pt>
                <c:pt idx="210">
                  <c:v>0.875</c:v>
                </c:pt>
                <c:pt idx="211">
                  <c:v>0.87916666666666676</c:v>
                </c:pt>
                <c:pt idx="212">
                  <c:v>0.8833333333333333</c:v>
                </c:pt>
                <c:pt idx="213">
                  <c:v>0.88750000000000007</c:v>
                </c:pt>
                <c:pt idx="214">
                  <c:v>0.89166666666666661</c:v>
                </c:pt>
                <c:pt idx="215">
                  <c:v>0.89583333333333337</c:v>
                </c:pt>
                <c:pt idx="216">
                  <c:v>0.9</c:v>
                </c:pt>
                <c:pt idx="217">
                  <c:v>0.90416666666666667</c:v>
                </c:pt>
                <c:pt idx="218">
                  <c:v>0.90833333333333333</c:v>
                </c:pt>
                <c:pt idx="219">
                  <c:v>0.91249999999999998</c:v>
                </c:pt>
                <c:pt idx="220">
                  <c:v>0.91666666666666663</c:v>
                </c:pt>
                <c:pt idx="221">
                  <c:v>0.92083333333333339</c:v>
                </c:pt>
                <c:pt idx="222">
                  <c:v>0.92499999999999993</c:v>
                </c:pt>
                <c:pt idx="223">
                  <c:v>0.9291666666666667</c:v>
                </c:pt>
                <c:pt idx="224">
                  <c:v>0.93333333333333324</c:v>
                </c:pt>
                <c:pt idx="225">
                  <c:v>0.9375</c:v>
                </c:pt>
                <c:pt idx="226">
                  <c:v>0.94166666666666676</c:v>
                </c:pt>
                <c:pt idx="227">
                  <c:v>0.9458333333333333</c:v>
                </c:pt>
                <c:pt idx="228">
                  <c:v>0.95000000000000007</c:v>
                </c:pt>
                <c:pt idx="229">
                  <c:v>0.95416666666666661</c:v>
                </c:pt>
                <c:pt idx="230">
                  <c:v>0.95833333333333337</c:v>
                </c:pt>
                <c:pt idx="231">
                  <c:v>0.96250000000000002</c:v>
                </c:pt>
                <c:pt idx="232">
                  <c:v>0.96666666666666667</c:v>
                </c:pt>
                <c:pt idx="233">
                  <c:v>0.97083333333333333</c:v>
                </c:pt>
                <c:pt idx="234">
                  <c:v>0.97499999999999998</c:v>
                </c:pt>
                <c:pt idx="235">
                  <c:v>0.97916666666666663</c:v>
                </c:pt>
                <c:pt idx="236">
                  <c:v>0.98333333333333339</c:v>
                </c:pt>
                <c:pt idx="237">
                  <c:v>0.98749999999999993</c:v>
                </c:pt>
                <c:pt idx="238">
                  <c:v>0.9916666666666667</c:v>
                </c:pt>
                <c:pt idx="239">
                  <c:v>0.99583333333333324</c:v>
                </c:pt>
                <c:pt idx="240">
                  <c:v>1</c:v>
                </c:pt>
              </c:numCache>
            </c:numRef>
          </c:xVal>
          <c:yVal>
            <c:numRef>
              <c:f>Precip_YHD1!$B$3:$B$243</c:f>
              <c:numCache>
                <c:formatCode>General</c:formatCode>
                <c:ptCount val="241"/>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c:v>
                </c:pt>
                <c:pt idx="76">
                  <c:v>0</c:v>
                </c:pt>
                <c:pt idx="77">
                  <c:v>0</c:v>
                </c:pt>
                <c:pt idx="78">
                  <c:v>0</c:v>
                </c:pt>
                <c:pt idx="79">
                  <c:v>0</c:v>
                </c:pt>
                <c:pt idx="80">
                  <c:v>0</c:v>
                </c:pt>
                <c:pt idx="81">
                  <c:v>0</c:v>
                </c:pt>
                <c:pt idx="82">
                  <c:v>0</c:v>
                </c:pt>
                <c:pt idx="83">
                  <c:v>0</c:v>
                </c:pt>
                <c:pt idx="84">
                  <c:v>0</c:v>
                </c:pt>
                <c:pt idx="85">
                  <c:v>0</c:v>
                </c:pt>
                <c:pt idx="86">
                  <c:v>0</c:v>
                </c:pt>
                <c:pt idx="87">
                  <c:v>0</c:v>
                </c:pt>
                <c:pt idx="88">
                  <c:v>0</c:v>
                </c:pt>
                <c:pt idx="89">
                  <c:v>0</c:v>
                </c:pt>
                <c:pt idx="90">
                  <c:v>0</c:v>
                </c:pt>
                <c:pt idx="91">
                  <c:v>0</c:v>
                </c:pt>
                <c:pt idx="92">
                  <c:v>0</c:v>
                </c:pt>
                <c:pt idx="93">
                  <c:v>0</c:v>
                </c:pt>
                <c:pt idx="94">
                  <c:v>0</c:v>
                </c:pt>
                <c:pt idx="95">
                  <c:v>0</c:v>
                </c:pt>
                <c:pt idx="96">
                  <c:v>0</c:v>
                </c:pt>
                <c:pt idx="97">
                  <c:v>0</c:v>
                </c:pt>
                <c:pt idx="98">
                  <c:v>0</c:v>
                </c:pt>
                <c:pt idx="99">
                  <c:v>0</c:v>
                </c:pt>
                <c:pt idx="100">
                  <c:v>0</c:v>
                </c:pt>
                <c:pt idx="101">
                  <c:v>0</c:v>
                </c:pt>
                <c:pt idx="102">
                  <c:v>0</c:v>
                </c:pt>
                <c:pt idx="103">
                  <c:v>0</c:v>
                </c:pt>
                <c:pt idx="104">
                  <c:v>0</c:v>
                </c:pt>
                <c:pt idx="105">
                  <c:v>0</c:v>
                </c:pt>
                <c:pt idx="106">
                  <c:v>0</c:v>
                </c:pt>
                <c:pt idx="107">
                  <c:v>0</c:v>
                </c:pt>
                <c:pt idx="108">
                  <c:v>0</c:v>
                </c:pt>
                <c:pt idx="109">
                  <c:v>0</c:v>
                </c:pt>
                <c:pt idx="110">
                  <c:v>0</c:v>
                </c:pt>
                <c:pt idx="111">
                  <c:v>0.01</c:v>
                </c:pt>
                <c:pt idx="112">
                  <c:v>0.01</c:v>
                </c:pt>
                <c:pt idx="113">
                  <c:v>0.01</c:v>
                </c:pt>
                <c:pt idx="114">
                  <c:v>0.01</c:v>
                </c:pt>
                <c:pt idx="115">
                  <c:v>0.01</c:v>
                </c:pt>
                <c:pt idx="116">
                  <c:v>0.02</c:v>
                </c:pt>
                <c:pt idx="117">
                  <c:v>0.03</c:v>
                </c:pt>
                <c:pt idx="118">
                  <c:v>0.04</c:v>
                </c:pt>
                <c:pt idx="119">
                  <c:v>0.03</c:v>
                </c:pt>
                <c:pt idx="120">
                  <c:v>0.09</c:v>
                </c:pt>
                <c:pt idx="121">
                  <c:v>0.19</c:v>
                </c:pt>
                <c:pt idx="122">
                  <c:v>7.0000000000000007E-2</c:v>
                </c:pt>
                <c:pt idx="123">
                  <c:v>0.04</c:v>
                </c:pt>
                <c:pt idx="124">
                  <c:v>0.06</c:v>
                </c:pt>
                <c:pt idx="125">
                  <c:v>0.06</c:v>
                </c:pt>
                <c:pt idx="126">
                  <c:v>0.03</c:v>
                </c:pt>
                <c:pt idx="127">
                  <c:v>0.03</c:v>
                </c:pt>
                <c:pt idx="128">
                  <c:v>0.03</c:v>
                </c:pt>
                <c:pt idx="129">
                  <c:v>0.03</c:v>
                </c:pt>
                <c:pt idx="130">
                  <c:v>0.02</c:v>
                </c:pt>
                <c:pt idx="131">
                  <c:v>0.02</c:v>
                </c:pt>
                <c:pt idx="132">
                  <c:v>0.02</c:v>
                </c:pt>
                <c:pt idx="133">
                  <c:v>0.02</c:v>
                </c:pt>
                <c:pt idx="134">
                  <c:v>0.02</c:v>
                </c:pt>
                <c:pt idx="135">
                  <c:v>0.01</c:v>
                </c:pt>
                <c:pt idx="136">
                  <c:v>0.01</c:v>
                </c:pt>
                <c:pt idx="137">
                  <c:v>0.01</c:v>
                </c:pt>
                <c:pt idx="138">
                  <c:v>0.01</c:v>
                </c:pt>
                <c:pt idx="139">
                  <c:v>0.01</c:v>
                </c:pt>
                <c:pt idx="140">
                  <c:v>0.01</c:v>
                </c:pt>
                <c:pt idx="141">
                  <c:v>0.01</c:v>
                </c:pt>
                <c:pt idx="142">
                  <c:v>0.01</c:v>
                </c:pt>
                <c:pt idx="143">
                  <c:v>0.01</c:v>
                </c:pt>
                <c:pt idx="144">
                  <c:v>0.01</c:v>
                </c:pt>
                <c:pt idx="145">
                  <c:v>0.01</c:v>
                </c:pt>
                <c:pt idx="146">
                  <c:v>0.01</c:v>
                </c:pt>
                <c:pt idx="147">
                  <c:v>0.01</c:v>
                </c:pt>
                <c:pt idx="148">
                  <c:v>0.01</c:v>
                </c:pt>
                <c:pt idx="149">
                  <c:v>0.01</c:v>
                </c:pt>
                <c:pt idx="150">
                  <c:v>0.01</c:v>
                </c:pt>
                <c:pt idx="151">
                  <c:v>0.01</c:v>
                </c:pt>
                <c:pt idx="152">
                  <c:v>0.01</c:v>
                </c:pt>
                <c:pt idx="153">
                  <c:v>0.01</c:v>
                </c:pt>
                <c:pt idx="154">
                  <c:v>0.01</c:v>
                </c:pt>
                <c:pt idx="155">
                  <c:v>0.01</c:v>
                </c:pt>
                <c:pt idx="156">
                  <c:v>0.01</c:v>
                </c:pt>
                <c:pt idx="157">
                  <c:v>0.01</c:v>
                </c:pt>
                <c:pt idx="158">
                  <c:v>0.01</c:v>
                </c:pt>
                <c:pt idx="159">
                  <c:v>0.01</c:v>
                </c:pt>
                <c:pt idx="160">
                  <c:v>0.01</c:v>
                </c:pt>
                <c:pt idx="161">
                  <c:v>0.01</c:v>
                </c:pt>
                <c:pt idx="162">
                  <c:v>0.01</c:v>
                </c:pt>
                <c:pt idx="163">
                  <c:v>0.01</c:v>
                </c:pt>
                <c:pt idx="164">
                  <c:v>0.01</c:v>
                </c:pt>
                <c:pt idx="165">
                  <c:v>0.01</c:v>
                </c:pt>
                <c:pt idx="166">
                  <c:v>0.01</c:v>
                </c:pt>
                <c:pt idx="167">
                  <c:v>0.01</c:v>
                </c:pt>
                <c:pt idx="168">
                  <c:v>0.01</c:v>
                </c:pt>
                <c:pt idx="169">
                  <c:v>0.01</c:v>
                </c:pt>
                <c:pt idx="170">
                  <c:v>0.01</c:v>
                </c:pt>
                <c:pt idx="171">
                  <c:v>0</c:v>
                </c:pt>
                <c:pt idx="172">
                  <c:v>0</c:v>
                </c:pt>
                <c:pt idx="173">
                  <c:v>0</c:v>
                </c:pt>
                <c:pt idx="174">
                  <c:v>0</c:v>
                </c:pt>
                <c:pt idx="175">
                  <c:v>0</c:v>
                </c:pt>
                <c:pt idx="176">
                  <c:v>0</c:v>
                </c:pt>
                <c:pt idx="177">
                  <c:v>0</c:v>
                </c:pt>
                <c:pt idx="178">
                  <c:v>0</c:v>
                </c:pt>
                <c:pt idx="179">
                  <c:v>0</c:v>
                </c:pt>
                <c:pt idx="180">
                  <c:v>0</c:v>
                </c:pt>
                <c:pt idx="181">
                  <c:v>0</c:v>
                </c:pt>
                <c:pt idx="182">
                  <c:v>0</c:v>
                </c:pt>
                <c:pt idx="183">
                  <c:v>0</c:v>
                </c:pt>
                <c:pt idx="184">
                  <c:v>0</c:v>
                </c:pt>
                <c:pt idx="185">
                  <c:v>0</c:v>
                </c:pt>
                <c:pt idx="186">
                  <c:v>0</c:v>
                </c:pt>
                <c:pt idx="187">
                  <c:v>0</c:v>
                </c:pt>
                <c:pt idx="188">
                  <c:v>0</c:v>
                </c:pt>
                <c:pt idx="189">
                  <c:v>0</c:v>
                </c:pt>
                <c:pt idx="190">
                  <c:v>0</c:v>
                </c:pt>
                <c:pt idx="191">
                  <c:v>0</c:v>
                </c:pt>
                <c:pt idx="192">
                  <c:v>0</c:v>
                </c:pt>
                <c:pt idx="193">
                  <c:v>0</c:v>
                </c:pt>
                <c:pt idx="194">
                  <c:v>0</c:v>
                </c:pt>
                <c:pt idx="195">
                  <c:v>0</c:v>
                </c:pt>
                <c:pt idx="196">
                  <c:v>0</c:v>
                </c:pt>
                <c:pt idx="197">
                  <c:v>0</c:v>
                </c:pt>
                <c:pt idx="198">
                  <c:v>0</c:v>
                </c:pt>
                <c:pt idx="199">
                  <c:v>0</c:v>
                </c:pt>
                <c:pt idx="200">
                  <c:v>0</c:v>
                </c:pt>
                <c:pt idx="201">
                  <c:v>0</c:v>
                </c:pt>
                <c:pt idx="202">
                  <c:v>0</c:v>
                </c:pt>
                <c:pt idx="203">
                  <c:v>0</c:v>
                </c:pt>
                <c:pt idx="204">
                  <c:v>0</c:v>
                </c:pt>
                <c:pt idx="205">
                  <c:v>0</c:v>
                </c:pt>
                <c:pt idx="206">
                  <c:v>0</c:v>
                </c:pt>
                <c:pt idx="207">
                  <c:v>0</c:v>
                </c:pt>
                <c:pt idx="208">
                  <c:v>0</c:v>
                </c:pt>
                <c:pt idx="209">
                  <c:v>0</c:v>
                </c:pt>
                <c:pt idx="210">
                  <c:v>0</c:v>
                </c:pt>
                <c:pt idx="211">
                  <c:v>0</c:v>
                </c:pt>
                <c:pt idx="212">
                  <c:v>0</c:v>
                </c:pt>
                <c:pt idx="213">
                  <c:v>0</c:v>
                </c:pt>
                <c:pt idx="214">
                  <c:v>0</c:v>
                </c:pt>
                <c:pt idx="215">
                  <c:v>0</c:v>
                </c:pt>
                <c:pt idx="216">
                  <c:v>0</c:v>
                </c:pt>
                <c:pt idx="217">
                  <c:v>0</c:v>
                </c:pt>
                <c:pt idx="218">
                  <c:v>0</c:v>
                </c:pt>
                <c:pt idx="219">
                  <c:v>0</c:v>
                </c:pt>
                <c:pt idx="220">
                  <c:v>0</c:v>
                </c:pt>
                <c:pt idx="221">
                  <c:v>0</c:v>
                </c:pt>
                <c:pt idx="222">
                  <c:v>0</c:v>
                </c:pt>
                <c:pt idx="223">
                  <c:v>0</c:v>
                </c:pt>
                <c:pt idx="224">
                  <c:v>0</c:v>
                </c:pt>
                <c:pt idx="225">
                  <c:v>0</c:v>
                </c:pt>
                <c:pt idx="226">
                  <c:v>0</c:v>
                </c:pt>
                <c:pt idx="227">
                  <c:v>0</c:v>
                </c:pt>
                <c:pt idx="228">
                  <c:v>0</c:v>
                </c:pt>
                <c:pt idx="229">
                  <c:v>0</c:v>
                </c:pt>
                <c:pt idx="230">
                  <c:v>0</c:v>
                </c:pt>
                <c:pt idx="231">
                  <c:v>0</c:v>
                </c:pt>
                <c:pt idx="232">
                  <c:v>0</c:v>
                </c:pt>
                <c:pt idx="233">
                  <c:v>0</c:v>
                </c:pt>
                <c:pt idx="234">
                  <c:v>0</c:v>
                </c:pt>
                <c:pt idx="235">
                  <c:v>0</c:v>
                </c:pt>
                <c:pt idx="236">
                  <c:v>0</c:v>
                </c:pt>
                <c:pt idx="237">
                  <c:v>0</c:v>
                </c:pt>
                <c:pt idx="238">
                  <c:v>0</c:v>
                </c:pt>
                <c:pt idx="239">
                  <c:v>0</c:v>
                </c:pt>
                <c:pt idx="240">
                  <c:v>0</c:v>
                </c:pt>
              </c:numCache>
            </c:numRef>
          </c:yVal>
          <c:smooth val="1"/>
          <c:extLst xmlns:c16r2="http://schemas.microsoft.com/office/drawing/2015/06/chart">
            <c:ext xmlns:c16="http://schemas.microsoft.com/office/drawing/2014/chart" uri="{C3380CC4-5D6E-409C-BE32-E72D297353CC}">
              <c16:uniqueId val="{00000004-023E-4C89-B2BA-AFA834A25DAC}"/>
            </c:ext>
          </c:extLst>
        </c:ser>
        <c:ser>
          <c:idx val="6"/>
          <c:order val="6"/>
          <c:tx>
            <c:v>1 Percent Minus Annual Chance</c:v>
          </c:tx>
          <c:marker>
            <c:symbol val="none"/>
          </c:marker>
          <c:xVal>
            <c:strRef>
              <c:f>Precip_YHD1!$B$3:$B$243</c:f>
              <c:strCache>
                <c:ptCount val="241"/>
                <c:pt idx="0">
                  <c:v> </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c:v>
                </c:pt>
                <c:pt idx="76">
                  <c:v>0</c:v>
                </c:pt>
                <c:pt idx="77">
                  <c:v>0</c:v>
                </c:pt>
                <c:pt idx="78">
                  <c:v>0</c:v>
                </c:pt>
                <c:pt idx="79">
                  <c:v>0</c:v>
                </c:pt>
                <c:pt idx="80">
                  <c:v>0</c:v>
                </c:pt>
                <c:pt idx="81">
                  <c:v>0</c:v>
                </c:pt>
                <c:pt idx="82">
                  <c:v>0</c:v>
                </c:pt>
                <c:pt idx="83">
                  <c:v>0</c:v>
                </c:pt>
                <c:pt idx="84">
                  <c:v>0</c:v>
                </c:pt>
                <c:pt idx="85">
                  <c:v>0</c:v>
                </c:pt>
                <c:pt idx="86">
                  <c:v>0</c:v>
                </c:pt>
                <c:pt idx="87">
                  <c:v>0</c:v>
                </c:pt>
                <c:pt idx="88">
                  <c:v>0</c:v>
                </c:pt>
                <c:pt idx="89">
                  <c:v>0</c:v>
                </c:pt>
                <c:pt idx="90">
                  <c:v>0</c:v>
                </c:pt>
                <c:pt idx="91">
                  <c:v>0</c:v>
                </c:pt>
                <c:pt idx="92">
                  <c:v>0</c:v>
                </c:pt>
                <c:pt idx="93">
                  <c:v>0</c:v>
                </c:pt>
                <c:pt idx="94">
                  <c:v>0</c:v>
                </c:pt>
                <c:pt idx="95">
                  <c:v>0</c:v>
                </c:pt>
                <c:pt idx="96">
                  <c:v>0</c:v>
                </c:pt>
                <c:pt idx="97">
                  <c:v>0</c:v>
                </c:pt>
                <c:pt idx="98">
                  <c:v>0</c:v>
                </c:pt>
                <c:pt idx="99">
                  <c:v>0</c:v>
                </c:pt>
                <c:pt idx="100">
                  <c:v>0</c:v>
                </c:pt>
                <c:pt idx="101">
                  <c:v>0</c:v>
                </c:pt>
                <c:pt idx="102">
                  <c:v>0</c:v>
                </c:pt>
                <c:pt idx="103">
                  <c:v>0</c:v>
                </c:pt>
                <c:pt idx="104">
                  <c:v>0</c:v>
                </c:pt>
                <c:pt idx="105">
                  <c:v>0</c:v>
                </c:pt>
                <c:pt idx="106">
                  <c:v>0</c:v>
                </c:pt>
                <c:pt idx="107">
                  <c:v>0</c:v>
                </c:pt>
                <c:pt idx="108">
                  <c:v>0</c:v>
                </c:pt>
                <c:pt idx="109">
                  <c:v>0</c:v>
                </c:pt>
                <c:pt idx="110">
                  <c:v>0</c:v>
                </c:pt>
                <c:pt idx="111">
                  <c:v>0.01</c:v>
                </c:pt>
                <c:pt idx="112">
                  <c:v>0.01</c:v>
                </c:pt>
                <c:pt idx="113">
                  <c:v>0.01</c:v>
                </c:pt>
                <c:pt idx="114">
                  <c:v>0.01</c:v>
                </c:pt>
                <c:pt idx="115">
                  <c:v>0.01</c:v>
                </c:pt>
                <c:pt idx="116">
                  <c:v>0.02</c:v>
                </c:pt>
                <c:pt idx="117">
                  <c:v>0.03</c:v>
                </c:pt>
                <c:pt idx="118">
                  <c:v>0.04</c:v>
                </c:pt>
                <c:pt idx="119">
                  <c:v>0.03</c:v>
                </c:pt>
                <c:pt idx="120">
                  <c:v>0.09</c:v>
                </c:pt>
                <c:pt idx="121">
                  <c:v>0.19</c:v>
                </c:pt>
                <c:pt idx="122">
                  <c:v>0.07</c:v>
                </c:pt>
                <c:pt idx="123">
                  <c:v>0.04</c:v>
                </c:pt>
                <c:pt idx="124">
                  <c:v>0.06</c:v>
                </c:pt>
                <c:pt idx="125">
                  <c:v>0.06</c:v>
                </c:pt>
                <c:pt idx="126">
                  <c:v>0.03</c:v>
                </c:pt>
                <c:pt idx="127">
                  <c:v>0.03</c:v>
                </c:pt>
                <c:pt idx="128">
                  <c:v>0.03</c:v>
                </c:pt>
                <c:pt idx="129">
                  <c:v>0.03</c:v>
                </c:pt>
                <c:pt idx="130">
                  <c:v>0.02</c:v>
                </c:pt>
                <c:pt idx="131">
                  <c:v>0.02</c:v>
                </c:pt>
                <c:pt idx="132">
                  <c:v>0.02</c:v>
                </c:pt>
                <c:pt idx="133">
                  <c:v>0.02</c:v>
                </c:pt>
                <c:pt idx="134">
                  <c:v>0.02</c:v>
                </c:pt>
                <c:pt idx="135">
                  <c:v>0.01</c:v>
                </c:pt>
                <c:pt idx="136">
                  <c:v>0.01</c:v>
                </c:pt>
                <c:pt idx="137">
                  <c:v>0.01</c:v>
                </c:pt>
                <c:pt idx="138">
                  <c:v>0.01</c:v>
                </c:pt>
                <c:pt idx="139">
                  <c:v>0.01</c:v>
                </c:pt>
                <c:pt idx="140">
                  <c:v>0.01</c:v>
                </c:pt>
                <c:pt idx="141">
                  <c:v>0.01</c:v>
                </c:pt>
                <c:pt idx="142">
                  <c:v>0.01</c:v>
                </c:pt>
                <c:pt idx="143">
                  <c:v>0.01</c:v>
                </c:pt>
                <c:pt idx="144">
                  <c:v>0.01</c:v>
                </c:pt>
                <c:pt idx="145">
                  <c:v>0.01</c:v>
                </c:pt>
                <c:pt idx="146">
                  <c:v>0.01</c:v>
                </c:pt>
                <c:pt idx="147">
                  <c:v>0.01</c:v>
                </c:pt>
                <c:pt idx="148">
                  <c:v>0.01</c:v>
                </c:pt>
                <c:pt idx="149">
                  <c:v>0.01</c:v>
                </c:pt>
                <c:pt idx="150">
                  <c:v>0.01</c:v>
                </c:pt>
                <c:pt idx="151">
                  <c:v>0.01</c:v>
                </c:pt>
                <c:pt idx="152">
                  <c:v>0.01</c:v>
                </c:pt>
                <c:pt idx="153">
                  <c:v>0.01</c:v>
                </c:pt>
                <c:pt idx="154">
                  <c:v>0.01</c:v>
                </c:pt>
                <c:pt idx="155">
                  <c:v>0.01</c:v>
                </c:pt>
                <c:pt idx="156">
                  <c:v>0.01</c:v>
                </c:pt>
                <c:pt idx="157">
                  <c:v>0.01</c:v>
                </c:pt>
                <c:pt idx="158">
                  <c:v>0.01</c:v>
                </c:pt>
                <c:pt idx="159">
                  <c:v>0.01</c:v>
                </c:pt>
                <c:pt idx="160">
                  <c:v>0.01</c:v>
                </c:pt>
                <c:pt idx="161">
                  <c:v>0.01</c:v>
                </c:pt>
                <c:pt idx="162">
                  <c:v>0.01</c:v>
                </c:pt>
                <c:pt idx="163">
                  <c:v>0.01</c:v>
                </c:pt>
                <c:pt idx="164">
                  <c:v>0.01</c:v>
                </c:pt>
                <c:pt idx="165">
                  <c:v>0.01</c:v>
                </c:pt>
                <c:pt idx="166">
                  <c:v>0.01</c:v>
                </c:pt>
                <c:pt idx="167">
                  <c:v>0.01</c:v>
                </c:pt>
                <c:pt idx="168">
                  <c:v>0.01</c:v>
                </c:pt>
                <c:pt idx="169">
                  <c:v>0.01</c:v>
                </c:pt>
                <c:pt idx="170">
                  <c:v>0.01</c:v>
                </c:pt>
                <c:pt idx="171">
                  <c:v>0</c:v>
                </c:pt>
                <c:pt idx="172">
                  <c:v>0</c:v>
                </c:pt>
                <c:pt idx="173">
                  <c:v>0</c:v>
                </c:pt>
                <c:pt idx="174">
                  <c:v>0</c:v>
                </c:pt>
                <c:pt idx="175">
                  <c:v>0</c:v>
                </c:pt>
                <c:pt idx="176">
                  <c:v>0</c:v>
                </c:pt>
                <c:pt idx="177">
                  <c:v>0</c:v>
                </c:pt>
                <c:pt idx="178">
                  <c:v>0</c:v>
                </c:pt>
                <c:pt idx="179">
                  <c:v>0</c:v>
                </c:pt>
                <c:pt idx="180">
                  <c:v>0</c:v>
                </c:pt>
                <c:pt idx="181">
                  <c:v>0</c:v>
                </c:pt>
                <c:pt idx="182">
                  <c:v>0</c:v>
                </c:pt>
                <c:pt idx="183">
                  <c:v>0</c:v>
                </c:pt>
                <c:pt idx="184">
                  <c:v>0</c:v>
                </c:pt>
                <c:pt idx="185">
                  <c:v>0</c:v>
                </c:pt>
                <c:pt idx="186">
                  <c:v>0</c:v>
                </c:pt>
                <c:pt idx="187">
                  <c:v>0</c:v>
                </c:pt>
                <c:pt idx="188">
                  <c:v>0</c:v>
                </c:pt>
                <c:pt idx="189">
                  <c:v>0</c:v>
                </c:pt>
                <c:pt idx="190">
                  <c:v>0</c:v>
                </c:pt>
                <c:pt idx="191">
                  <c:v>0</c:v>
                </c:pt>
                <c:pt idx="192">
                  <c:v>0</c:v>
                </c:pt>
                <c:pt idx="193">
                  <c:v>0</c:v>
                </c:pt>
                <c:pt idx="194">
                  <c:v>0</c:v>
                </c:pt>
                <c:pt idx="195">
                  <c:v>0</c:v>
                </c:pt>
                <c:pt idx="196">
                  <c:v>0</c:v>
                </c:pt>
                <c:pt idx="197">
                  <c:v>0</c:v>
                </c:pt>
                <c:pt idx="198">
                  <c:v>0</c:v>
                </c:pt>
                <c:pt idx="199">
                  <c:v>0</c:v>
                </c:pt>
                <c:pt idx="200">
                  <c:v>0</c:v>
                </c:pt>
                <c:pt idx="201">
                  <c:v>0</c:v>
                </c:pt>
                <c:pt idx="202">
                  <c:v>0</c:v>
                </c:pt>
                <c:pt idx="203">
                  <c:v>0</c:v>
                </c:pt>
                <c:pt idx="204">
                  <c:v>0</c:v>
                </c:pt>
                <c:pt idx="205">
                  <c:v>0</c:v>
                </c:pt>
                <c:pt idx="206">
                  <c:v>0</c:v>
                </c:pt>
                <c:pt idx="207">
                  <c:v>0</c:v>
                </c:pt>
                <c:pt idx="208">
                  <c:v>0</c:v>
                </c:pt>
                <c:pt idx="209">
                  <c:v>0</c:v>
                </c:pt>
                <c:pt idx="210">
                  <c:v>0</c:v>
                </c:pt>
                <c:pt idx="211">
                  <c:v>0</c:v>
                </c:pt>
                <c:pt idx="212">
                  <c:v>0</c:v>
                </c:pt>
                <c:pt idx="213">
                  <c:v>0</c:v>
                </c:pt>
                <c:pt idx="214">
                  <c:v>0</c:v>
                </c:pt>
                <c:pt idx="215">
                  <c:v>0</c:v>
                </c:pt>
                <c:pt idx="216">
                  <c:v>0</c:v>
                </c:pt>
                <c:pt idx="217">
                  <c:v>0</c:v>
                </c:pt>
                <c:pt idx="218">
                  <c:v>0</c:v>
                </c:pt>
                <c:pt idx="219">
                  <c:v>0</c:v>
                </c:pt>
                <c:pt idx="220">
                  <c:v>0</c:v>
                </c:pt>
                <c:pt idx="221">
                  <c:v>0</c:v>
                </c:pt>
                <c:pt idx="222">
                  <c:v>0</c:v>
                </c:pt>
                <c:pt idx="223">
                  <c:v>0</c:v>
                </c:pt>
                <c:pt idx="224">
                  <c:v>0</c:v>
                </c:pt>
                <c:pt idx="225">
                  <c:v>0</c:v>
                </c:pt>
                <c:pt idx="226">
                  <c:v>0</c:v>
                </c:pt>
                <c:pt idx="227">
                  <c:v>0</c:v>
                </c:pt>
                <c:pt idx="228">
                  <c:v>0</c:v>
                </c:pt>
                <c:pt idx="229">
                  <c:v>0</c:v>
                </c:pt>
                <c:pt idx="230">
                  <c:v>0</c:v>
                </c:pt>
                <c:pt idx="231">
                  <c:v>0</c:v>
                </c:pt>
                <c:pt idx="232">
                  <c:v>0</c:v>
                </c:pt>
                <c:pt idx="233">
                  <c:v>0</c:v>
                </c:pt>
                <c:pt idx="234">
                  <c:v>0</c:v>
                </c:pt>
                <c:pt idx="235">
                  <c:v>0</c:v>
                </c:pt>
                <c:pt idx="236">
                  <c:v>0</c:v>
                </c:pt>
                <c:pt idx="237">
                  <c:v>0</c:v>
                </c:pt>
                <c:pt idx="238">
                  <c:v>0</c:v>
                </c:pt>
                <c:pt idx="239">
                  <c:v>0</c:v>
                </c:pt>
                <c:pt idx="240">
                  <c:v>0</c:v>
                </c:pt>
              </c:strCache>
            </c:strRef>
          </c:xVal>
          <c:yVal>
            <c:numRef>
              <c:f>Precip_YHD1!$H$3:$H$243</c:f>
              <c:numCache>
                <c:formatCode>General</c:formatCode>
                <c:ptCount val="241"/>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c:v>
                </c:pt>
                <c:pt idx="76">
                  <c:v>0</c:v>
                </c:pt>
                <c:pt idx="77">
                  <c:v>0</c:v>
                </c:pt>
                <c:pt idx="78">
                  <c:v>0</c:v>
                </c:pt>
                <c:pt idx="79">
                  <c:v>0</c:v>
                </c:pt>
                <c:pt idx="80">
                  <c:v>0</c:v>
                </c:pt>
                <c:pt idx="81">
                  <c:v>0</c:v>
                </c:pt>
                <c:pt idx="82">
                  <c:v>0</c:v>
                </c:pt>
                <c:pt idx="83">
                  <c:v>0</c:v>
                </c:pt>
                <c:pt idx="84">
                  <c:v>0</c:v>
                </c:pt>
                <c:pt idx="85">
                  <c:v>0</c:v>
                </c:pt>
                <c:pt idx="86">
                  <c:v>0</c:v>
                </c:pt>
                <c:pt idx="87">
                  <c:v>0</c:v>
                </c:pt>
                <c:pt idx="88">
                  <c:v>0</c:v>
                </c:pt>
                <c:pt idx="89">
                  <c:v>0</c:v>
                </c:pt>
                <c:pt idx="90">
                  <c:v>0</c:v>
                </c:pt>
                <c:pt idx="91">
                  <c:v>0</c:v>
                </c:pt>
                <c:pt idx="92">
                  <c:v>0</c:v>
                </c:pt>
                <c:pt idx="93">
                  <c:v>0</c:v>
                </c:pt>
                <c:pt idx="94">
                  <c:v>0</c:v>
                </c:pt>
                <c:pt idx="95">
                  <c:v>0</c:v>
                </c:pt>
                <c:pt idx="96">
                  <c:v>0</c:v>
                </c:pt>
                <c:pt idx="97">
                  <c:v>0</c:v>
                </c:pt>
                <c:pt idx="98">
                  <c:v>0</c:v>
                </c:pt>
                <c:pt idx="99">
                  <c:v>0</c:v>
                </c:pt>
                <c:pt idx="100">
                  <c:v>0</c:v>
                </c:pt>
                <c:pt idx="101">
                  <c:v>0</c:v>
                </c:pt>
                <c:pt idx="102">
                  <c:v>0</c:v>
                </c:pt>
                <c:pt idx="103">
                  <c:v>0</c:v>
                </c:pt>
                <c:pt idx="104">
                  <c:v>0</c:v>
                </c:pt>
                <c:pt idx="105">
                  <c:v>0</c:v>
                </c:pt>
                <c:pt idx="106">
                  <c:v>0</c:v>
                </c:pt>
                <c:pt idx="107">
                  <c:v>0</c:v>
                </c:pt>
                <c:pt idx="108">
                  <c:v>0</c:v>
                </c:pt>
                <c:pt idx="109">
                  <c:v>0</c:v>
                </c:pt>
                <c:pt idx="110">
                  <c:v>0</c:v>
                </c:pt>
                <c:pt idx="111">
                  <c:v>0</c:v>
                </c:pt>
                <c:pt idx="112">
                  <c:v>0</c:v>
                </c:pt>
                <c:pt idx="113">
                  <c:v>0</c:v>
                </c:pt>
                <c:pt idx="114">
                  <c:v>0</c:v>
                </c:pt>
                <c:pt idx="115">
                  <c:v>0</c:v>
                </c:pt>
                <c:pt idx="116">
                  <c:v>0.01</c:v>
                </c:pt>
                <c:pt idx="117">
                  <c:v>0.01</c:v>
                </c:pt>
                <c:pt idx="118">
                  <c:v>0.02</c:v>
                </c:pt>
                <c:pt idx="119">
                  <c:v>0.02</c:v>
                </c:pt>
                <c:pt idx="120">
                  <c:v>0.06</c:v>
                </c:pt>
                <c:pt idx="121">
                  <c:v>0.16</c:v>
                </c:pt>
                <c:pt idx="122">
                  <c:v>0.06</c:v>
                </c:pt>
                <c:pt idx="123">
                  <c:v>0.04</c:v>
                </c:pt>
                <c:pt idx="124">
                  <c:v>0.05</c:v>
                </c:pt>
                <c:pt idx="125">
                  <c:v>0.05</c:v>
                </c:pt>
                <c:pt idx="126">
                  <c:v>0.03</c:v>
                </c:pt>
                <c:pt idx="127">
                  <c:v>0.03</c:v>
                </c:pt>
                <c:pt idx="128">
                  <c:v>0.03</c:v>
                </c:pt>
                <c:pt idx="129">
                  <c:v>0.02</c:v>
                </c:pt>
                <c:pt idx="130">
                  <c:v>0.02</c:v>
                </c:pt>
                <c:pt idx="131">
                  <c:v>0.02</c:v>
                </c:pt>
                <c:pt idx="132">
                  <c:v>0.02</c:v>
                </c:pt>
                <c:pt idx="133">
                  <c:v>0.02</c:v>
                </c:pt>
                <c:pt idx="134">
                  <c:v>0.01</c:v>
                </c:pt>
                <c:pt idx="135">
                  <c:v>0.01</c:v>
                </c:pt>
                <c:pt idx="136">
                  <c:v>0.01</c:v>
                </c:pt>
                <c:pt idx="137">
                  <c:v>0.01</c:v>
                </c:pt>
                <c:pt idx="138">
                  <c:v>0.01</c:v>
                </c:pt>
                <c:pt idx="139">
                  <c:v>0.01</c:v>
                </c:pt>
                <c:pt idx="140">
                  <c:v>0.01</c:v>
                </c:pt>
                <c:pt idx="141">
                  <c:v>0.01</c:v>
                </c:pt>
                <c:pt idx="142">
                  <c:v>0.01</c:v>
                </c:pt>
                <c:pt idx="143">
                  <c:v>0.01</c:v>
                </c:pt>
                <c:pt idx="144">
                  <c:v>0.01</c:v>
                </c:pt>
                <c:pt idx="145">
                  <c:v>0.01</c:v>
                </c:pt>
                <c:pt idx="146">
                  <c:v>0.01</c:v>
                </c:pt>
                <c:pt idx="147">
                  <c:v>0.01</c:v>
                </c:pt>
                <c:pt idx="148">
                  <c:v>0.01</c:v>
                </c:pt>
                <c:pt idx="149">
                  <c:v>0.01</c:v>
                </c:pt>
                <c:pt idx="150">
                  <c:v>0.01</c:v>
                </c:pt>
                <c:pt idx="151">
                  <c:v>0.01</c:v>
                </c:pt>
                <c:pt idx="152">
                  <c:v>0.01</c:v>
                </c:pt>
                <c:pt idx="153">
                  <c:v>0.01</c:v>
                </c:pt>
                <c:pt idx="154">
                  <c:v>0.01</c:v>
                </c:pt>
                <c:pt idx="155">
                  <c:v>0.01</c:v>
                </c:pt>
                <c:pt idx="156">
                  <c:v>0.01</c:v>
                </c:pt>
                <c:pt idx="157">
                  <c:v>0.01</c:v>
                </c:pt>
                <c:pt idx="158">
                  <c:v>0.01</c:v>
                </c:pt>
                <c:pt idx="159">
                  <c:v>0.01</c:v>
                </c:pt>
                <c:pt idx="160">
                  <c:v>0.01</c:v>
                </c:pt>
                <c:pt idx="161">
                  <c:v>0.01</c:v>
                </c:pt>
                <c:pt idx="162">
                  <c:v>0.01</c:v>
                </c:pt>
                <c:pt idx="163">
                  <c:v>0.01</c:v>
                </c:pt>
                <c:pt idx="164">
                  <c:v>0.01</c:v>
                </c:pt>
                <c:pt idx="165">
                  <c:v>0.01</c:v>
                </c:pt>
                <c:pt idx="166">
                  <c:v>0.01</c:v>
                </c:pt>
                <c:pt idx="167">
                  <c:v>0.01</c:v>
                </c:pt>
                <c:pt idx="168">
                  <c:v>0.01</c:v>
                </c:pt>
                <c:pt idx="169">
                  <c:v>0</c:v>
                </c:pt>
                <c:pt idx="170">
                  <c:v>0</c:v>
                </c:pt>
                <c:pt idx="171">
                  <c:v>0</c:v>
                </c:pt>
                <c:pt idx="172">
                  <c:v>0</c:v>
                </c:pt>
                <c:pt idx="173">
                  <c:v>0</c:v>
                </c:pt>
                <c:pt idx="174">
                  <c:v>0</c:v>
                </c:pt>
                <c:pt idx="175">
                  <c:v>0</c:v>
                </c:pt>
                <c:pt idx="176">
                  <c:v>0</c:v>
                </c:pt>
                <c:pt idx="177">
                  <c:v>0</c:v>
                </c:pt>
                <c:pt idx="178">
                  <c:v>0</c:v>
                </c:pt>
                <c:pt idx="179">
                  <c:v>0</c:v>
                </c:pt>
                <c:pt idx="180">
                  <c:v>0</c:v>
                </c:pt>
                <c:pt idx="181">
                  <c:v>0</c:v>
                </c:pt>
                <c:pt idx="182">
                  <c:v>0</c:v>
                </c:pt>
                <c:pt idx="183">
                  <c:v>0</c:v>
                </c:pt>
                <c:pt idx="184">
                  <c:v>0</c:v>
                </c:pt>
                <c:pt idx="185">
                  <c:v>0</c:v>
                </c:pt>
                <c:pt idx="186">
                  <c:v>0</c:v>
                </c:pt>
                <c:pt idx="187">
                  <c:v>0</c:v>
                </c:pt>
                <c:pt idx="188">
                  <c:v>0</c:v>
                </c:pt>
                <c:pt idx="189">
                  <c:v>0</c:v>
                </c:pt>
                <c:pt idx="190">
                  <c:v>0</c:v>
                </c:pt>
                <c:pt idx="191">
                  <c:v>0</c:v>
                </c:pt>
                <c:pt idx="192">
                  <c:v>0</c:v>
                </c:pt>
                <c:pt idx="193">
                  <c:v>0</c:v>
                </c:pt>
                <c:pt idx="194">
                  <c:v>0</c:v>
                </c:pt>
                <c:pt idx="195">
                  <c:v>0</c:v>
                </c:pt>
                <c:pt idx="196">
                  <c:v>0</c:v>
                </c:pt>
                <c:pt idx="197">
                  <c:v>0</c:v>
                </c:pt>
                <c:pt idx="198">
                  <c:v>0</c:v>
                </c:pt>
                <c:pt idx="199">
                  <c:v>0</c:v>
                </c:pt>
                <c:pt idx="200">
                  <c:v>0</c:v>
                </c:pt>
                <c:pt idx="201">
                  <c:v>0</c:v>
                </c:pt>
                <c:pt idx="202">
                  <c:v>0</c:v>
                </c:pt>
                <c:pt idx="203">
                  <c:v>0</c:v>
                </c:pt>
                <c:pt idx="204">
                  <c:v>0</c:v>
                </c:pt>
                <c:pt idx="205">
                  <c:v>0</c:v>
                </c:pt>
                <c:pt idx="206">
                  <c:v>0</c:v>
                </c:pt>
                <c:pt idx="207">
                  <c:v>0</c:v>
                </c:pt>
                <c:pt idx="208">
                  <c:v>0</c:v>
                </c:pt>
                <c:pt idx="209">
                  <c:v>0</c:v>
                </c:pt>
                <c:pt idx="210">
                  <c:v>0</c:v>
                </c:pt>
                <c:pt idx="211">
                  <c:v>0</c:v>
                </c:pt>
                <c:pt idx="212">
                  <c:v>0</c:v>
                </c:pt>
                <c:pt idx="213">
                  <c:v>0</c:v>
                </c:pt>
                <c:pt idx="214">
                  <c:v>0</c:v>
                </c:pt>
                <c:pt idx="215">
                  <c:v>0</c:v>
                </c:pt>
                <c:pt idx="216">
                  <c:v>0</c:v>
                </c:pt>
                <c:pt idx="217">
                  <c:v>0</c:v>
                </c:pt>
                <c:pt idx="218">
                  <c:v>0</c:v>
                </c:pt>
                <c:pt idx="219">
                  <c:v>0</c:v>
                </c:pt>
                <c:pt idx="220">
                  <c:v>0</c:v>
                </c:pt>
                <c:pt idx="221">
                  <c:v>0</c:v>
                </c:pt>
                <c:pt idx="222">
                  <c:v>0</c:v>
                </c:pt>
                <c:pt idx="223">
                  <c:v>0</c:v>
                </c:pt>
                <c:pt idx="224">
                  <c:v>0</c:v>
                </c:pt>
                <c:pt idx="225">
                  <c:v>0</c:v>
                </c:pt>
                <c:pt idx="226">
                  <c:v>0</c:v>
                </c:pt>
                <c:pt idx="227">
                  <c:v>0</c:v>
                </c:pt>
                <c:pt idx="228">
                  <c:v>0</c:v>
                </c:pt>
                <c:pt idx="229">
                  <c:v>0</c:v>
                </c:pt>
                <c:pt idx="230">
                  <c:v>0</c:v>
                </c:pt>
                <c:pt idx="231">
                  <c:v>0</c:v>
                </c:pt>
                <c:pt idx="232">
                  <c:v>0</c:v>
                </c:pt>
                <c:pt idx="233">
                  <c:v>0</c:v>
                </c:pt>
                <c:pt idx="234">
                  <c:v>0</c:v>
                </c:pt>
                <c:pt idx="235">
                  <c:v>0</c:v>
                </c:pt>
                <c:pt idx="236">
                  <c:v>0</c:v>
                </c:pt>
                <c:pt idx="237">
                  <c:v>0</c:v>
                </c:pt>
                <c:pt idx="238">
                  <c:v>0</c:v>
                </c:pt>
                <c:pt idx="239">
                  <c:v>0</c:v>
                </c:pt>
                <c:pt idx="240">
                  <c:v>0</c:v>
                </c:pt>
              </c:numCache>
            </c:numRef>
          </c:yVal>
          <c:smooth val="1"/>
          <c:extLst xmlns:c16r2="http://schemas.microsoft.com/office/drawing/2015/06/chart">
            <c:ext xmlns:c16="http://schemas.microsoft.com/office/drawing/2014/chart" uri="{C3380CC4-5D6E-409C-BE32-E72D297353CC}">
              <c16:uniqueId val="{00000001-80A8-4490-AE15-47FBA0DFC8E5}"/>
            </c:ext>
          </c:extLst>
        </c:ser>
        <c:dLbls>
          <c:showLegendKey val="0"/>
          <c:showVal val="0"/>
          <c:showCatName val="0"/>
          <c:showSerName val="0"/>
          <c:showPercent val="0"/>
          <c:showBubbleSize val="0"/>
        </c:dLbls>
        <c:axId val="88254720"/>
        <c:axId val="88273280"/>
      </c:scatterChart>
      <c:valAx>
        <c:axId val="88254720"/>
        <c:scaling>
          <c:orientation val="minMax"/>
          <c:max val="1"/>
        </c:scaling>
        <c:delete val="0"/>
        <c:axPos val="b"/>
        <c:title>
          <c:tx>
            <c:rich>
              <a:bodyPr/>
              <a:lstStyle/>
              <a:p>
                <a:pPr>
                  <a:defRPr/>
                </a:pPr>
                <a:r>
                  <a:rPr lang="en-US"/>
                  <a:t>Time (hours)</a:t>
                </a:r>
              </a:p>
            </c:rich>
          </c:tx>
          <c:layout/>
          <c:overlay val="0"/>
        </c:title>
        <c:numFmt formatCode="h:mm;@" sourceLinked="0"/>
        <c:majorTickMark val="out"/>
        <c:minorTickMark val="none"/>
        <c:tickLblPos val="nextTo"/>
        <c:crossAx val="88273280"/>
        <c:crosses val="autoZero"/>
        <c:crossBetween val="midCat"/>
        <c:majorUnit val="0.1"/>
        <c:minorUnit val="2.0000000000000004E-2"/>
      </c:valAx>
      <c:valAx>
        <c:axId val="88273280"/>
        <c:scaling>
          <c:orientation val="minMax"/>
          <c:min val="0"/>
        </c:scaling>
        <c:delete val="0"/>
        <c:axPos val="l"/>
        <c:majorGridlines/>
        <c:title>
          <c:tx>
            <c:rich>
              <a:bodyPr rot="-5400000" vert="horz"/>
              <a:lstStyle/>
              <a:p>
                <a:pPr>
                  <a:defRPr/>
                </a:pPr>
                <a:r>
                  <a:rPr lang="en-US"/>
                  <a:t>Incremental Precipitation</a:t>
                </a:r>
                <a:r>
                  <a:rPr lang="en-US" baseline="0"/>
                  <a:t> (in)</a:t>
                </a:r>
                <a:endParaRPr lang="en-US"/>
              </a:p>
            </c:rich>
          </c:tx>
          <c:layout>
            <c:manualLayout>
              <c:xMode val="edge"/>
              <c:yMode val="edge"/>
              <c:x val="1.0469011725293133E-2"/>
              <c:y val="0.28479270523922046"/>
            </c:manualLayout>
          </c:layout>
          <c:overlay val="0"/>
        </c:title>
        <c:numFmt formatCode="#,##0.00" sourceLinked="0"/>
        <c:majorTickMark val="out"/>
        <c:minorTickMark val="none"/>
        <c:tickLblPos val="nextTo"/>
        <c:crossAx val="88254720"/>
        <c:crosses val="autoZero"/>
        <c:crossBetween val="midCat"/>
      </c:valAx>
      <c:spPr>
        <a:ln>
          <a:solidFill>
            <a:schemeClr val="tx1"/>
          </a:solidFill>
        </a:ln>
      </c:spPr>
    </c:plotArea>
    <c:legend>
      <c:legendPos val="r"/>
      <c:layout>
        <c:manualLayout>
          <c:xMode val="edge"/>
          <c:yMode val="edge"/>
          <c:x val="0.59415701455517345"/>
          <c:y val="4.4241270789018669E-2"/>
          <c:w val="0.3566188841779393"/>
          <c:h val="0.33420722977809592"/>
        </c:manualLayout>
      </c:layout>
      <c:overlay val="1"/>
      <c:spPr>
        <a:solidFill>
          <a:schemeClr val="bg1"/>
        </a:solidFill>
        <a:ln>
          <a:solidFill>
            <a:schemeClr val="tx1"/>
          </a:solidFill>
        </a:ln>
      </c:spPr>
    </c:legend>
    <c:plotVisOnly val="1"/>
    <c:dispBlanksAs val="gap"/>
    <c:showDLblsOverMax val="0"/>
  </c:chart>
  <c:externalData r:id="rId2">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1195224192481558"/>
          <c:y val="3.397975895438294E-2"/>
          <c:w val="0.86330725513243434"/>
          <c:h val="0.8457611863265293"/>
        </c:manualLayout>
      </c:layout>
      <c:scatterChart>
        <c:scatterStyle val="lineMarker"/>
        <c:varyColors val="0"/>
        <c:ser>
          <c:idx val="1"/>
          <c:order val="0"/>
          <c:tx>
            <c:v>Regression</c:v>
          </c:tx>
          <c:spPr>
            <a:ln w="28575" cap="rnd" cmpd="sng" algn="ctr">
              <a:noFill/>
              <a:prstDash val="solid"/>
              <a:round/>
            </a:ln>
            <a:effectLst/>
          </c:spPr>
          <c:marker>
            <c:spPr>
              <a:solidFill>
                <a:schemeClr val="accent2"/>
              </a:solidFill>
              <a:ln w="9525" cap="flat" cmpd="sng" algn="ctr">
                <a:solidFill>
                  <a:schemeClr val="accent2">
                    <a:shade val="95000"/>
                    <a:satMod val="105000"/>
                  </a:schemeClr>
                </a:solidFill>
                <a:prstDash val="solid"/>
                <a:round/>
              </a:ln>
              <a:effectLst/>
            </c:spPr>
          </c:marker>
          <c:dPt>
            <c:idx val="0"/>
            <c:bubble3D val="0"/>
            <c:extLst xmlns:c16r2="http://schemas.microsoft.com/office/drawing/2015/06/chart">
              <c:ext xmlns:c16="http://schemas.microsoft.com/office/drawing/2014/chart" uri="{C3380CC4-5D6E-409C-BE32-E72D297353CC}">
                <c16:uniqueId val="{00000000-54E5-4C6F-8D48-17A8755F1F57}"/>
              </c:ext>
            </c:extLst>
          </c:dPt>
          <c:dPt>
            <c:idx val="1"/>
            <c:bubble3D val="0"/>
            <c:extLst xmlns:c16r2="http://schemas.microsoft.com/office/drawing/2015/06/chart">
              <c:ext xmlns:c16="http://schemas.microsoft.com/office/drawing/2014/chart" uri="{C3380CC4-5D6E-409C-BE32-E72D297353CC}">
                <c16:uniqueId val="{00000001-54E5-4C6F-8D48-17A8755F1F57}"/>
              </c:ext>
            </c:extLst>
          </c:dPt>
          <c:dPt>
            <c:idx val="2"/>
            <c:bubble3D val="0"/>
            <c:extLst xmlns:c16r2="http://schemas.microsoft.com/office/drawing/2015/06/chart">
              <c:ext xmlns:c16="http://schemas.microsoft.com/office/drawing/2014/chart" uri="{C3380CC4-5D6E-409C-BE32-E72D297353CC}">
                <c16:uniqueId val="{00000002-54E5-4C6F-8D48-17A8755F1F57}"/>
              </c:ext>
            </c:extLst>
          </c:dPt>
          <c:errBars>
            <c:errDir val="y"/>
            <c:errBarType val="both"/>
            <c:errValType val="cust"/>
            <c:noEndCap val="0"/>
            <c:plus>
              <c:numRef>
                <c:f>calibration!$I$2:$I$10</c:f>
                <c:numCache>
                  <c:formatCode>General</c:formatCode>
                  <c:ptCount val="9"/>
                  <c:pt idx="0">
                    <c:v>906</c:v>
                  </c:pt>
                  <c:pt idx="1">
                    <c:v>1377</c:v>
                  </c:pt>
                  <c:pt idx="2">
                    <c:v>2561</c:v>
                  </c:pt>
                  <c:pt idx="3">
                    <c:v>924</c:v>
                  </c:pt>
                  <c:pt idx="4">
                    <c:v>2445</c:v>
                  </c:pt>
                  <c:pt idx="5">
                    <c:v>1843</c:v>
                  </c:pt>
                  <c:pt idx="6">
                    <c:v>438</c:v>
                  </c:pt>
                  <c:pt idx="7">
                    <c:v>1655</c:v>
                  </c:pt>
                  <c:pt idx="8">
                    <c:v>1058</c:v>
                  </c:pt>
                </c:numCache>
              </c:numRef>
            </c:plus>
            <c:minus>
              <c:numRef>
                <c:f>calibration!$H$2:$H$10</c:f>
                <c:numCache>
                  <c:formatCode>General</c:formatCode>
                  <c:ptCount val="9"/>
                  <c:pt idx="0">
                    <c:v>453</c:v>
                  </c:pt>
                  <c:pt idx="1">
                    <c:v>690</c:v>
                  </c:pt>
                  <c:pt idx="2">
                    <c:v>1284</c:v>
                  </c:pt>
                  <c:pt idx="3">
                    <c:v>464</c:v>
                  </c:pt>
                  <c:pt idx="4">
                    <c:v>1225</c:v>
                  </c:pt>
                  <c:pt idx="5">
                    <c:v>923</c:v>
                  </c:pt>
                  <c:pt idx="6">
                    <c:v>220</c:v>
                  </c:pt>
                  <c:pt idx="7">
                    <c:v>830</c:v>
                  </c:pt>
                  <c:pt idx="8">
                    <c:v>530</c:v>
                  </c:pt>
                </c:numCache>
              </c:numRef>
            </c:minus>
            <c:spPr>
              <a:solidFill>
                <a:schemeClr val="tx1"/>
              </a:solidFill>
              <a:ln w="9525" cap="flat" cmpd="sng" algn="ctr">
                <a:solidFill>
                  <a:schemeClr val="tx1">
                    <a:shade val="95000"/>
                    <a:satMod val="105000"/>
                  </a:schemeClr>
                </a:solidFill>
                <a:prstDash val="solid"/>
                <a:round/>
              </a:ln>
              <a:effectLst/>
            </c:spPr>
          </c:errBars>
          <c:xVal>
            <c:numRef>
              <c:f>calibration!$C$2:$C$10</c:f>
              <c:numCache>
                <c:formatCode>General</c:formatCode>
                <c:ptCount val="9"/>
                <c:pt idx="0">
                  <c:v>5.23</c:v>
                </c:pt>
                <c:pt idx="1">
                  <c:v>10.11</c:v>
                </c:pt>
                <c:pt idx="2">
                  <c:v>24.94</c:v>
                </c:pt>
                <c:pt idx="3">
                  <c:v>5.76</c:v>
                </c:pt>
                <c:pt idx="4">
                  <c:v>10.73</c:v>
                </c:pt>
                <c:pt idx="5">
                  <c:v>6.87</c:v>
                </c:pt>
                <c:pt idx="6">
                  <c:v>3.12</c:v>
                </c:pt>
                <c:pt idx="7">
                  <c:v>6.49</c:v>
                </c:pt>
                <c:pt idx="8">
                  <c:v>6.87</c:v>
                </c:pt>
              </c:numCache>
            </c:numRef>
          </c:xVal>
          <c:yVal>
            <c:numRef>
              <c:f>calibration!$E$2:$E$10</c:f>
              <c:numCache>
                <c:formatCode>#,##0</c:formatCode>
                <c:ptCount val="9"/>
                <c:pt idx="0">
                  <c:v>909</c:v>
                </c:pt>
                <c:pt idx="1">
                  <c:v>1383</c:v>
                </c:pt>
                <c:pt idx="2">
                  <c:v>2574</c:v>
                </c:pt>
                <c:pt idx="3">
                  <c:v>929</c:v>
                </c:pt>
                <c:pt idx="4">
                  <c:v>2456</c:v>
                </c:pt>
                <c:pt idx="5">
                  <c:v>1851</c:v>
                </c:pt>
                <c:pt idx="6">
                  <c:v>441</c:v>
                </c:pt>
                <c:pt idx="7">
                  <c:v>1663</c:v>
                </c:pt>
                <c:pt idx="8">
                  <c:v>1062</c:v>
                </c:pt>
              </c:numCache>
            </c:numRef>
          </c:yVal>
          <c:smooth val="0"/>
          <c:extLst xmlns:c16r2="http://schemas.microsoft.com/office/drawing/2015/06/chart">
            <c:ext xmlns:c16="http://schemas.microsoft.com/office/drawing/2014/chart" uri="{C3380CC4-5D6E-409C-BE32-E72D297353CC}">
              <c16:uniqueId val="{00000003-54E5-4C6F-8D48-17A8755F1F57}"/>
            </c:ext>
          </c:extLst>
        </c:ser>
        <c:ser>
          <c:idx val="0"/>
          <c:order val="1"/>
          <c:tx>
            <c:v>Modeled Flow</c:v>
          </c:tx>
          <c:spPr>
            <a:ln w="28575" cap="rnd" cmpd="sng" algn="ctr">
              <a:noFill/>
              <a:prstDash val="solid"/>
              <a:round/>
            </a:ln>
            <a:effectLst/>
          </c:spPr>
          <c:marker>
            <c:spPr>
              <a:solidFill>
                <a:schemeClr val="accent1"/>
              </a:solidFill>
              <a:ln w="9525" cap="flat" cmpd="sng" algn="ctr">
                <a:solidFill>
                  <a:schemeClr val="accent1">
                    <a:shade val="95000"/>
                    <a:satMod val="105000"/>
                  </a:schemeClr>
                </a:solidFill>
                <a:prstDash val="solid"/>
                <a:round/>
              </a:ln>
              <a:effectLst/>
            </c:spPr>
          </c:marker>
          <c:xVal>
            <c:numRef>
              <c:f>calibration!$C$2:$C$10</c:f>
              <c:numCache>
                <c:formatCode>General</c:formatCode>
                <c:ptCount val="9"/>
                <c:pt idx="0">
                  <c:v>5.23</c:v>
                </c:pt>
                <c:pt idx="1">
                  <c:v>10.11</c:v>
                </c:pt>
                <c:pt idx="2">
                  <c:v>24.94</c:v>
                </c:pt>
                <c:pt idx="3">
                  <c:v>5.76</c:v>
                </c:pt>
                <c:pt idx="4">
                  <c:v>10.73</c:v>
                </c:pt>
                <c:pt idx="5">
                  <c:v>6.87</c:v>
                </c:pt>
                <c:pt idx="6">
                  <c:v>3.12</c:v>
                </c:pt>
                <c:pt idx="7">
                  <c:v>6.49</c:v>
                </c:pt>
                <c:pt idx="8">
                  <c:v>6.87</c:v>
                </c:pt>
              </c:numCache>
            </c:numRef>
          </c:xVal>
          <c:yVal>
            <c:numRef>
              <c:f>calibration!$G$2:$G$10</c:f>
              <c:numCache>
                <c:formatCode>General</c:formatCode>
                <c:ptCount val="9"/>
                <c:pt idx="0">
                  <c:v>749</c:v>
                </c:pt>
                <c:pt idx="1">
                  <c:v>1064</c:v>
                </c:pt>
                <c:pt idx="2" formatCode="#,##0">
                  <c:v>386</c:v>
                </c:pt>
                <c:pt idx="3">
                  <c:v>269</c:v>
                </c:pt>
                <c:pt idx="4" formatCode="#,##0">
                  <c:v>3128</c:v>
                </c:pt>
                <c:pt idx="5" formatCode="#,##0">
                  <c:v>1686</c:v>
                </c:pt>
                <c:pt idx="6" formatCode="#,##0">
                  <c:v>272</c:v>
                </c:pt>
                <c:pt idx="7" formatCode="#,##0">
                  <c:v>998</c:v>
                </c:pt>
                <c:pt idx="8" formatCode="#,##0">
                  <c:v>381</c:v>
                </c:pt>
              </c:numCache>
            </c:numRef>
          </c:yVal>
          <c:smooth val="0"/>
          <c:extLst xmlns:c16r2="http://schemas.microsoft.com/office/drawing/2015/06/chart">
            <c:ext xmlns:c16="http://schemas.microsoft.com/office/drawing/2014/chart" uri="{C3380CC4-5D6E-409C-BE32-E72D297353CC}">
              <c16:uniqueId val="{00000004-54E5-4C6F-8D48-17A8755F1F57}"/>
            </c:ext>
          </c:extLst>
        </c:ser>
        <c:dLbls>
          <c:showLegendKey val="0"/>
          <c:showVal val="0"/>
          <c:showCatName val="0"/>
          <c:showSerName val="0"/>
          <c:showPercent val="0"/>
          <c:showBubbleSize val="0"/>
        </c:dLbls>
        <c:axId val="160489856"/>
        <c:axId val="160492160"/>
      </c:scatterChart>
      <c:valAx>
        <c:axId val="160489856"/>
        <c:scaling>
          <c:orientation val="minMax"/>
        </c:scaling>
        <c:delete val="0"/>
        <c:axPos val="b"/>
        <c:majorGridlines>
          <c:spPr>
            <a:ln w="9525" cap="flat" cmpd="sng" algn="ctr">
              <a:solidFill>
                <a:schemeClr val="bg1">
                  <a:lumMod val="65000"/>
                  <a:alpha val="50000"/>
                </a:schemeClr>
              </a:solidFill>
              <a:prstDash val="solid"/>
              <a:round/>
            </a:ln>
            <a:effectLst/>
          </c:spPr>
        </c:majorGridlines>
        <c:title>
          <c:tx>
            <c:rich>
              <a:bodyPr rot="0" spcFirstLastPara="1" vertOverflow="ellipsis" vert="horz" wrap="square" anchor="ctr" anchorCtr="1"/>
              <a:lstStyle/>
              <a:p>
                <a:pPr>
                  <a:defRPr sz="1000" b="1" i="0" u="none" strike="noStrike" kern="1200" baseline="0">
                    <a:solidFill>
                      <a:schemeClr val="tx1"/>
                    </a:solidFill>
                    <a:latin typeface="+mn-lt"/>
                    <a:ea typeface="+mn-ea"/>
                    <a:cs typeface="+mn-cs"/>
                  </a:defRPr>
                </a:pPr>
                <a:r>
                  <a:rPr lang="en-US"/>
                  <a:t>Drainage</a:t>
                </a:r>
                <a:r>
                  <a:rPr lang="en-US" baseline="0"/>
                  <a:t> Area (Mi</a:t>
                </a:r>
                <a:r>
                  <a:rPr lang="en-US" baseline="30000"/>
                  <a:t>2</a:t>
                </a:r>
                <a:r>
                  <a:rPr lang="en-US" baseline="0"/>
                  <a:t>)</a:t>
                </a:r>
                <a:endParaRPr lang="en-US"/>
              </a:p>
            </c:rich>
          </c:tx>
          <c:layout/>
          <c:overlay val="0"/>
          <c:spPr>
            <a:noFill/>
            <a:ln>
              <a:noFill/>
            </a:ln>
            <a:effectLst/>
          </c:spPr>
        </c:title>
        <c:numFmt formatCode="General" sourceLinked="1"/>
        <c:majorTickMark val="out"/>
        <c:minorTickMark val="none"/>
        <c:tickLblPos val="nextTo"/>
        <c:spPr>
          <a:noFill/>
          <a:ln w="9525" cap="flat" cmpd="sng" algn="ctr">
            <a:solidFill>
              <a:schemeClr val="tx1">
                <a:tint val="75000"/>
                <a:shade val="95000"/>
                <a:satMod val="105000"/>
              </a:schemeClr>
            </a:solidFill>
            <a:prstDash val="solid"/>
            <a:round/>
          </a:ln>
          <a:effectLst/>
        </c:spPr>
        <c:txPr>
          <a:bodyPr rot="-60000000" spcFirstLastPara="1" vertOverflow="ellipsis" vert="horz" wrap="square" anchor="ctr" anchorCtr="1"/>
          <a:lstStyle/>
          <a:p>
            <a:pPr>
              <a:defRPr sz="1000" b="0" i="0" u="none" strike="noStrike" kern="1200" baseline="0">
                <a:solidFill>
                  <a:schemeClr val="tx1"/>
                </a:solidFill>
                <a:latin typeface="+mn-lt"/>
                <a:ea typeface="+mn-ea"/>
                <a:cs typeface="+mn-cs"/>
              </a:defRPr>
            </a:pPr>
            <a:endParaRPr lang="en-US"/>
          </a:p>
        </c:txPr>
        <c:crossAx val="160492160"/>
        <c:crosses val="autoZero"/>
        <c:crossBetween val="midCat"/>
      </c:valAx>
      <c:valAx>
        <c:axId val="160492160"/>
        <c:scaling>
          <c:orientation val="minMax"/>
        </c:scaling>
        <c:delete val="0"/>
        <c:axPos val="l"/>
        <c:majorGridlines>
          <c:spPr>
            <a:ln w="9525" cap="flat" cmpd="sng" algn="ctr">
              <a:solidFill>
                <a:schemeClr val="bg1">
                  <a:lumMod val="65000"/>
                  <a:alpha val="50000"/>
                </a:schemeClr>
              </a:solidFill>
              <a:prstDash val="solid"/>
              <a:round/>
            </a:ln>
            <a:effectLst/>
          </c:spPr>
        </c:majorGridlines>
        <c:title>
          <c:tx>
            <c:rich>
              <a:bodyPr rot="-5400000" spcFirstLastPara="1" vertOverflow="ellipsis" vert="horz" wrap="square" anchor="ctr" anchorCtr="1"/>
              <a:lstStyle/>
              <a:p>
                <a:pPr>
                  <a:defRPr sz="1000" b="1" i="0" u="none" strike="noStrike" kern="1200" baseline="0">
                    <a:solidFill>
                      <a:schemeClr val="tx1"/>
                    </a:solidFill>
                    <a:latin typeface="+mn-lt"/>
                    <a:ea typeface="+mn-ea"/>
                    <a:cs typeface="+mn-cs"/>
                  </a:defRPr>
                </a:pPr>
                <a:r>
                  <a:rPr lang="en-US"/>
                  <a:t>Discharge</a:t>
                </a:r>
                <a:r>
                  <a:rPr lang="en-US" baseline="0"/>
                  <a:t> (cfs)</a:t>
                </a:r>
                <a:endParaRPr lang="en-US"/>
              </a:p>
            </c:rich>
          </c:tx>
          <c:layout/>
          <c:overlay val="0"/>
          <c:spPr>
            <a:noFill/>
            <a:ln>
              <a:noFill/>
            </a:ln>
            <a:effectLst/>
          </c:spPr>
        </c:title>
        <c:numFmt formatCode="#,##0" sourceLinked="1"/>
        <c:majorTickMark val="out"/>
        <c:minorTickMark val="none"/>
        <c:tickLblPos val="nextTo"/>
        <c:spPr>
          <a:noFill/>
          <a:ln w="9525" cap="flat" cmpd="sng" algn="ctr">
            <a:solidFill>
              <a:schemeClr val="tx1">
                <a:tint val="75000"/>
                <a:shade val="95000"/>
                <a:satMod val="105000"/>
              </a:schemeClr>
            </a:solidFill>
            <a:prstDash val="solid"/>
            <a:round/>
          </a:ln>
          <a:effectLst/>
        </c:spPr>
        <c:txPr>
          <a:bodyPr rot="-60000000" spcFirstLastPara="1" vertOverflow="ellipsis" vert="horz" wrap="square" anchor="ctr" anchorCtr="1"/>
          <a:lstStyle/>
          <a:p>
            <a:pPr>
              <a:defRPr sz="1000" b="0" i="0" u="none" strike="noStrike" kern="1200" baseline="0">
                <a:solidFill>
                  <a:schemeClr val="tx1"/>
                </a:solidFill>
                <a:latin typeface="+mn-lt"/>
                <a:ea typeface="+mn-ea"/>
                <a:cs typeface="+mn-cs"/>
              </a:defRPr>
            </a:pPr>
            <a:endParaRPr lang="en-US"/>
          </a:p>
        </c:txPr>
        <c:crossAx val="160489856"/>
        <c:crosses val="autoZero"/>
        <c:crossBetween val="midCat"/>
      </c:valAx>
      <c:spPr>
        <a:noFill/>
        <a:ln>
          <a:solidFill>
            <a:schemeClr val="bg1">
              <a:lumMod val="65000"/>
              <a:alpha val="50000"/>
            </a:schemeClr>
          </a:solidFill>
        </a:ln>
        <a:effectLst/>
      </c:spPr>
    </c:plotArea>
    <c:legend>
      <c:legendPos val="l"/>
      <c:layout>
        <c:manualLayout>
          <c:xMode val="edge"/>
          <c:yMode val="edge"/>
          <c:x val="0.11696009713746186"/>
          <c:y val="4.4949310246171825E-2"/>
          <c:w val="0.17293959307718115"/>
          <c:h val="0.15822000667182792"/>
        </c:manualLayout>
      </c:layout>
      <c:overlay val="0"/>
      <c:spPr>
        <a:solidFill>
          <a:schemeClr val="bg1"/>
        </a:solidFill>
        <a:ln>
          <a:solidFill>
            <a:schemeClr val="tx1"/>
          </a:solidFill>
        </a:ln>
        <a:effectLst/>
      </c:spPr>
      <c:txPr>
        <a:bodyPr rot="0" spcFirstLastPara="1" vertOverflow="ellipsis" vert="horz" wrap="square" anchor="ctr" anchorCtr="1"/>
        <a:lstStyle/>
        <a:p>
          <a:pPr>
            <a:defRPr sz="1000" b="0" i="0" u="none" strike="noStrike" kern="1200" baseline="0">
              <a:solidFill>
                <a:schemeClr val="tx1"/>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solidFill>
      <a:prstDash val="solid"/>
      <a:round/>
    </a:ln>
    <a:effectLst/>
  </c:spPr>
  <c:txPr>
    <a:bodyPr/>
    <a:lstStyle/>
    <a:p>
      <a:pPr>
        <a:defRPr/>
      </a:pPr>
      <a:endParaRPr lang="en-US"/>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scatterChart>
        <c:scatterStyle val="smoothMarker"/>
        <c:varyColors val="0"/>
        <c:ser>
          <c:idx val="5"/>
          <c:order val="0"/>
          <c:tx>
            <c:v>1 Percent Plus Annual Chance</c:v>
          </c:tx>
          <c:marker>
            <c:symbol val="none"/>
          </c:marker>
          <c:xVal>
            <c:numRef>
              <c:f>Precip_YHD2!$A$3:$A$243</c:f>
              <c:numCache>
                <c:formatCode>h:mm;@</c:formatCode>
                <c:ptCount val="241"/>
                <c:pt idx="0">
                  <c:v>0</c:v>
                </c:pt>
                <c:pt idx="1">
                  <c:v>4.1666666666666666E-3</c:v>
                </c:pt>
                <c:pt idx="2">
                  <c:v>8.3333333333333332E-3</c:v>
                </c:pt>
                <c:pt idx="3">
                  <c:v>1.2499999999999999E-2</c:v>
                </c:pt>
                <c:pt idx="4">
                  <c:v>1.6666666666666666E-2</c:v>
                </c:pt>
                <c:pt idx="5">
                  <c:v>2.0833333333333332E-2</c:v>
                </c:pt>
                <c:pt idx="6">
                  <c:v>2.4999999999999998E-2</c:v>
                </c:pt>
                <c:pt idx="7">
                  <c:v>2.9166666666666664E-2</c:v>
                </c:pt>
                <c:pt idx="8">
                  <c:v>3.3333333333333333E-2</c:v>
                </c:pt>
                <c:pt idx="9">
                  <c:v>3.7499999999999999E-2</c:v>
                </c:pt>
                <c:pt idx="10">
                  <c:v>4.1666666666666664E-2</c:v>
                </c:pt>
                <c:pt idx="11">
                  <c:v>4.5833333333333337E-2</c:v>
                </c:pt>
                <c:pt idx="12">
                  <c:v>4.9999999999999996E-2</c:v>
                </c:pt>
                <c:pt idx="13">
                  <c:v>5.4166666666666669E-2</c:v>
                </c:pt>
                <c:pt idx="14">
                  <c:v>5.8333333333333327E-2</c:v>
                </c:pt>
                <c:pt idx="15">
                  <c:v>6.25E-2</c:v>
                </c:pt>
                <c:pt idx="16">
                  <c:v>6.6666666666666666E-2</c:v>
                </c:pt>
                <c:pt idx="17">
                  <c:v>7.0833333333333331E-2</c:v>
                </c:pt>
                <c:pt idx="18">
                  <c:v>7.4999999999999997E-2</c:v>
                </c:pt>
                <c:pt idx="19">
                  <c:v>7.9166666666666663E-2</c:v>
                </c:pt>
                <c:pt idx="20">
                  <c:v>8.3333333333333329E-2</c:v>
                </c:pt>
                <c:pt idx="21">
                  <c:v>8.7500000000000008E-2</c:v>
                </c:pt>
                <c:pt idx="22">
                  <c:v>9.1666666666666674E-2</c:v>
                </c:pt>
                <c:pt idx="23">
                  <c:v>9.5833333333333326E-2</c:v>
                </c:pt>
                <c:pt idx="24">
                  <c:v>9.9999999999999992E-2</c:v>
                </c:pt>
                <c:pt idx="25">
                  <c:v>0.10416666666666667</c:v>
                </c:pt>
                <c:pt idx="26">
                  <c:v>0.10833333333333334</c:v>
                </c:pt>
                <c:pt idx="27">
                  <c:v>0.1125</c:v>
                </c:pt>
                <c:pt idx="28">
                  <c:v>0.11666666666666665</c:v>
                </c:pt>
                <c:pt idx="29">
                  <c:v>0.12083333333333333</c:v>
                </c:pt>
                <c:pt idx="30">
                  <c:v>0.125</c:v>
                </c:pt>
                <c:pt idx="31">
                  <c:v>0.12916666666666668</c:v>
                </c:pt>
                <c:pt idx="32">
                  <c:v>0.13333333333333333</c:v>
                </c:pt>
                <c:pt idx="33">
                  <c:v>0.13749999999999998</c:v>
                </c:pt>
                <c:pt idx="34">
                  <c:v>0.14166666666666666</c:v>
                </c:pt>
                <c:pt idx="35">
                  <c:v>0.14583333333333334</c:v>
                </c:pt>
                <c:pt idx="36">
                  <c:v>0.15</c:v>
                </c:pt>
                <c:pt idx="37">
                  <c:v>0.15416666666666667</c:v>
                </c:pt>
                <c:pt idx="38">
                  <c:v>0.15833333333333333</c:v>
                </c:pt>
                <c:pt idx="39">
                  <c:v>0.16250000000000001</c:v>
                </c:pt>
                <c:pt idx="40">
                  <c:v>0.16666666666666666</c:v>
                </c:pt>
                <c:pt idx="41">
                  <c:v>0.17083333333333331</c:v>
                </c:pt>
                <c:pt idx="42">
                  <c:v>0.17500000000000002</c:v>
                </c:pt>
                <c:pt idx="43">
                  <c:v>0.17916666666666667</c:v>
                </c:pt>
                <c:pt idx="44">
                  <c:v>0.18333333333333335</c:v>
                </c:pt>
                <c:pt idx="45">
                  <c:v>0.1875</c:v>
                </c:pt>
                <c:pt idx="46">
                  <c:v>0.19166666666666665</c:v>
                </c:pt>
                <c:pt idx="47">
                  <c:v>0.19583333333333333</c:v>
                </c:pt>
                <c:pt idx="48">
                  <c:v>0.19999999999999998</c:v>
                </c:pt>
                <c:pt idx="49">
                  <c:v>0.20416666666666669</c:v>
                </c:pt>
                <c:pt idx="50">
                  <c:v>0.20833333333333334</c:v>
                </c:pt>
                <c:pt idx="51">
                  <c:v>0.21249999999999999</c:v>
                </c:pt>
                <c:pt idx="52">
                  <c:v>0.21666666666666667</c:v>
                </c:pt>
                <c:pt idx="53">
                  <c:v>0.22083333333333333</c:v>
                </c:pt>
                <c:pt idx="54">
                  <c:v>0.22500000000000001</c:v>
                </c:pt>
                <c:pt idx="55">
                  <c:v>0.22916666666666666</c:v>
                </c:pt>
                <c:pt idx="56">
                  <c:v>0.23333333333333331</c:v>
                </c:pt>
                <c:pt idx="57">
                  <c:v>0.23750000000000002</c:v>
                </c:pt>
                <c:pt idx="58">
                  <c:v>0.24166666666666667</c:v>
                </c:pt>
                <c:pt idx="59">
                  <c:v>0.24583333333333335</c:v>
                </c:pt>
                <c:pt idx="60">
                  <c:v>0.25</c:v>
                </c:pt>
                <c:pt idx="61">
                  <c:v>0.25416666666666665</c:v>
                </c:pt>
                <c:pt idx="62">
                  <c:v>0.25833333333333336</c:v>
                </c:pt>
                <c:pt idx="63">
                  <c:v>0.26250000000000001</c:v>
                </c:pt>
                <c:pt idx="64">
                  <c:v>0.26666666666666666</c:v>
                </c:pt>
                <c:pt idx="65">
                  <c:v>0.27083333333333331</c:v>
                </c:pt>
                <c:pt idx="66">
                  <c:v>0.27499999999999997</c:v>
                </c:pt>
                <c:pt idx="67">
                  <c:v>0.27916666666666667</c:v>
                </c:pt>
                <c:pt idx="68">
                  <c:v>0.28333333333333333</c:v>
                </c:pt>
                <c:pt idx="69">
                  <c:v>0.28750000000000003</c:v>
                </c:pt>
                <c:pt idx="70">
                  <c:v>0.29166666666666669</c:v>
                </c:pt>
                <c:pt idx="71">
                  <c:v>0.29583333333333334</c:v>
                </c:pt>
                <c:pt idx="72">
                  <c:v>0.3</c:v>
                </c:pt>
                <c:pt idx="73">
                  <c:v>0.30416666666666664</c:v>
                </c:pt>
                <c:pt idx="74">
                  <c:v>0.30833333333333335</c:v>
                </c:pt>
                <c:pt idx="75">
                  <c:v>0.3125</c:v>
                </c:pt>
                <c:pt idx="76">
                  <c:v>0.31666666666666665</c:v>
                </c:pt>
                <c:pt idx="77">
                  <c:v>0.32083333333333336</c:v>
                </c:pt>
                <c:pt idx="78">
                  <c:v>0.32500000000000001</c:v>
                </c:pt>
                <c:pt idx="79">
                  <c:v>0.32916666666666666</c:v>
                </c:pt>
                <c:pt idx="80">
                  <c:v>0.33333333333333331</c:v>
                </c:pt>
                <c:pt idx="81">
                  <c:v>0.33749999999999997</c:v>
                </c:pt>
                <c:pt idx="82">
                  <c:v>0.34166666666666662</c:v>
                </c:pt>
                <c:pt idx="83">
                  <c:v>0.34583333333333338</c:v>
                </c:pt>
                <c:pt idx="84">
                  <c:v>0.35000000000000003</c:v>
                </c:pt>
                <c:pt idx="85">
                  <c:v>0.35416666666666669</c:v>
                </c:pt>
                <c:pt idx="86">
                  <c:v>0.35833333333333334</c:v>
                </c:pt>
                <c:pt idx="87">
                  <c:v>0.36249999999999999</c:v>
                </c:pt>
                <c:pt idx="88">
                  <c:v>0.3666666666666667</c:v>
                </c:pt>
                <c:pt idx="89">
                  <c:v>0.37083333333333335</c:v>
                </c:pt>
                <c:pt idx="90">
                  <c:v>0.375</c:v>
                </c:pt>
                <c:pt idx="91">
                  <c:v>0.37916666666666665</c:v>
                </c:pt>
                <c:pt idx="92">
                  <c:v>0.3833333333333333</c:v>
                </c:pt>
                <c:pt idx="93">
                  <c:v>0.38750000000000001</c:v>
                </c:pt>
                <c:pt idx="94">
                  <c:v>0.39166666666666666</c:v>
                </c:pt>
                <c:pt idx="95">
                  <c:v>0.39583333333333331</c:v>
                </c:pt>
                <c:pt idx="96">
                  <c:v>0.39999999999999997</c:v>
                </c:pt>
                <c:pt idx="97">
                  <c:v>0.40416666666666662</c:v>
                </c:pt>
                <c:pt idx="98">
                  <c:v>0.40833333333333338</c:v>
                </c:pt>
                <c:pt idx="99">
                  <c:v>0.41250000000000003</c:v>
                </c:pt>
                <c:pt idx="100">
                  <c:v>0.41666666666666669</c:v>
                </c:pt>
                <c:pt idx="101">
                  <c:v>0.42083333333333334</c:v>
                </c:pt>
                <c:pt idx="102">
                  <c:v>0.42499999999999999</c:v>
                </c:pt>
                <c:pt idx="103">
                  <c:v>0.4291666666666667</c:v>
                </c:pt>
                <c:pt idx="104">
                  <c:v>0.43333333333333335</c:v>
                </c:pt>
                <c:pt idx="105">
                  <c:v>0.4375</c:v>
                </c:pt>
                <c:pt idx="106">
                  <c:v>0.44166666666666665</c:v>
                </c:pt>
                <c:pt idx="107">
                  <c:v>0.4458333333333333</c:v>
                </c:pt>
                <c:pt idx="108">
                  <c:v>0.45</c:v>
                </c:pt>
                <c:pt idx="109">
                  <c:v>0.45416666666666666</c:v>
                </c:pt>
                <c:pt idx="110">
                  <c:v>0.45833333333333331</c:v>
                </c:pt>
                <c:pt idx="111">
                  <c:v>0.46249999999999997</c:v>
                </c:pt>
                <c:pt idx="112">
                  <c:v>0.46666666666666662</c:v>
                </c:pt>
                <c:pt idx="113">
                  <c:v>0.47083333333333338</c:v>
                </c:pt>
                <c:pt idx="114">
                  <c:v>0.47500000000000003</c:v>
                </c:pt>
                <c:pt idx="115">
                  <c:v>0.47916666666666669</c:v>
                </c:pt>
                <c:pt idx="116">
                  <c:v>0.48333333333333334</c:v>
                </c:pt>
                <c:pt idx="117">
                  <c:v>0.48749999999999999</c:v>
                </c:pt>
                <c:pt idx="118">
                  <c:v>0.4916666666666667</c:v>
                </c:pt>
                <c:pt idx="119">
                  <c:v>0.49583333333333335</c:v>
                </c:pt>
                <c:pt idx="120">
                  <c:v>0.5</c:v>
                </c:pt>
                <c:pt idx="121">
                  <c:v>0.50416666666666665</c:v>
                </c:pt>
                <c:pt idx="122">
                  <c:v>0.5083333333333333</c:v>
                </c:pt>
                <c:pt idx="123">
                  <c:v>0.51250000000000007</c:v>
                </c:pt>
                <c:pt idx="124">
                  <c:v>0.51666666666666672</c:v>
                </c:pt>
                <c:pt idx="125">
                  <c:v>0.52083333333333337</c:v>
                </c:pt>
                <c:pt idx="126">
                  <c:v>0.52500000000000002</c:v>
                </c:pt>
                <c:pt idx="127">
                  <c:v>0.52916666666666667</c:v>
                </c:pt>
                <c:pt idx="128">
                  <c:v>0.53333333333333333</c:v>
                </c:pt>
                <c:pt idx="129">
                  <c:v>0.53749999999999998</c:v>
                </c:pt>
                <c:pt idx="130">
                  <c:v>0.54166666666666663</c:v>
                </c:pt>
                <c:pt idx="131">
                  <c:v>0.54583333333333328</c:v>
                </c:pt>
                <c:pt idx="132">
                  <c:v>0.54999999999999993</c:v>
                </c:pt>
                <c:pt idx="133">
                  <c:v>0.5541666666666667</c:v>
                </c:pt>
                <c:pt idx="134">
                  <c:v>0.55833333333333335</c:v>
                </c:pt>
                <c:pt idx="135">
                  <c:v>0.5625</c:v>
                </c:pt>
                <c:pt idx="136">
                  <c:v>0.56666666666666665</c:v>
                </c:pt>
                <c:pt idx="137">
                  <c:v>0.5708333333333333</c:v>
                </c:pt>
                <c:pt idx="138">
                  <c:v>0.57500000000000007</c:v>
                </c:pt>
                <c:pt idx="139">
                  <c:v>0.57916666666666672</c:v>
                </c:pt>
                <c:pt idx="140">
                  <c:v>0.58333333333333337</c:v>
                </c:pt>
                <c:pt idx="141">
                  <c:v>0.58750000000000002</c:v>
                </c:pt>
                <c:pt idx="142">
                  <c:v>0.59166666666666667</c:v>
                </c:pt>
                <c:pt idx="143">
                  <c:v>0.59583333333333333</c:v>
                </c:pt>
                <c:pt idx="144">
                  <c:v>0.6</c:v>
                </c:pt>
                <c:pt idx="145">
                  <c:v>0.60416666666666663</c:v>
                </c:pt>
                <c:pt idx="146">
                  <c:v>0.60833333333333328</c:v>
                </c:pt>
                <c:pt idx="147">
                  <c:v>0.61249999999999993</c:v>
                </c:pt>
                <c:pt idx="148">
                  <c:v>0.6166666666666667</c:v>
                </c:pt>
                <c:pt idx="149">
                  <c:v>0.62083333333333335</c:v>
                </c:pt>
                <c:pt idx="150">
                  <c:v>0.625</c:v>
                </c:pt>
                <c:pt idx="151">
                  <c:v>0.62916666666666665</c:v>
                </c:pt>
                <c:pt idx="152">
                  <c:v>0.6333333333333333</c:v>
                </c:pt>
                <c:pt idx="153">
                  <c:v>0.63750000000000007</c:v>
                </c:pt>
                <c:pt idx="154">
                  <c:v>0.64166666666666672</c:v>
                </c:pt>
                <c:pt idx="155">
                  <c:v>0.64583333333333337</c:v>
                </c:pt>
                <c:pt idx="156">
                  <c:v>0.65</c:v>
                </c:pt>
                <c:pt idx="157">
                  <c:v>0.65416666666666667</c:v>
                </c:pt>
                <c:pt idx="158">
                  <c:v>0.65833333333333333</c:v>
                </c:pt>
                <c:pt idx="159">
                  <c:v>0.66249999999999998</c:v>
                </c:pt>
                <c:pt idx="160">
                  <c:v>0.66666666666666663</c:v>
                </c:pt>
                <c:pt idx="161">
                  <c:v>0.67083333333333339</c:v>
                </c:pt>
                <c:pt idx="162">
                  <c:v>0.67499999999999993</c:v>
                </c:pt>
                <c:pt idx="163">
                  <c:v>0.6791666666666667</c:v>
                </c:pt>
                <c:pt idx="164">
                  <c:v>0.68333333333333324</c:v>
                </c:pt>
                <c:pt idx="165">
                  <c:v>0.6875</c:v>
                </c:pt>
                <c:pt idx="166">
                  <c:v>0.69166666666666676</c:v>
                </c:pt>
                <c:pt idx="167">
                  <c:v>0.6958333333333333</c:v>
                </c:pt>
                <c:pt idx="168">
                  <c:v>0.70000000000000007</c:v>
                </c:pt>
                <c:pt idx="169">
                  <c:v>0.70416666666666661</c:v>
                </c:pt>
                <c:pt idx="170">
                  <c:v>0.70833333333333337</c:v>
                </c:pt>
                <c:pt idx="171">
                  <c:v>0.71250000000000002</c:v>
                </c:pt>
                <c:pt idx="172">
                  <c:v>0.71666666666666667</c:v>
                </c:pt>
                <c:pt idx="173">
                  <c:v>0.72083333333333333</c:v>
                </c:pt>
                <c:pt idx="174">
                  <c:v>0.72499999999999998</c:v>
                </c:pt>
                <c:pt idx="175">
                  <c:v>0.72916666666666663</c:v>
                </c:pt>
                <c:pt idx="176">
                  <c:v>0.73333333333333339</c:v>
                </c:pt>
                <c:pt idx="177">
                  <c:v>0.73749999999999993</c:v>
                </c:pt>
                <c:pt idx="178">
                  <c:v>0.7416666666666667</c:v>
                </c:pt>
                <c:pt idx="179">
                  <c:v>0.74583333333333324</c:v>
                </c:pt>
                <c:pt idx="180">
                  <c:v>0.75</c:v>
                </c:pt>
                <c:pt idx="181">
                  <c:v>0.75416666666666676</c:v>
                </c:pt>
                <c:pt idx="182">
                  <c:v>0.7583333333333333</c:v>
                </c:pt>
                <c:pt idx="183">
                  <c:v>0.76250000000000007</c:v>
                </c:pt>
                <c:pt idx="184">
                  <c:v>0.76666666666666661</c:v>
                </c:pt>
                <c:pt idx="185">
                  <c:v>0.77083333333333337</c:v>
                </c:pt>
                <c:pt idx="186">
                  <c:v>0.77500000000000002</c:v>
                </c:pt>
                <c:pt idx="187">
                  <c:v>0.77916666666666667</c:v>
                </c:pt>
                <c:pt idx="188">
                  <c:v>0.78333333333333333</c:v>
                </c:pt>
                <c:pt idx="189">
                  <c:v>0.78749999999999998</c:v>
                </c:pt>
                <c:pt idx="190">
                  <c:v>0.79166666666666663</c:v>
                </c:pt>
                <c:pt idx="191">
                  <c:v>0.79583333333333339</c:v>
                </c:pt>
                <c:pt idx="192">
                  <c:v>0.79999999999999993</c:v>
                </c:pt>
                <c:pt idx="193">
                  <c:v>0.8041666666666667</c:v>
                </c:pt>
                <c:pt idx="194">
                  <c:v>0.80833333333333324</c:v>
                </c:pt>
                <c:pt idx="195">
                  <c:v>0.8125</c:v>
                </c:pt>
                <c:pt idx="196">
                  <c:v>0.81666666666666676</c:v>
                </c:pt>
                <c:pt idx="197">
                  <c:v>0.8208333333333333</c:v>
                </c:pt>
                <c:pt idx="198">
                  <c:v>0.82500000000000007</c:v>
                </c:pt>
                <c:pt idx="199">
                  <c:v>0.82916666666666661</c:v>
                </c:pt>
                <c:pt idx="200">
                  <c:v>0.83333333333333337</c:v>
                </c:pt>
                <c:pt idx="201">
                  <c:v>0.83750000000000002</c:v>
                </c:pt>
                <c:pt idx="202">
                  <c:v>0.84166666666666667</c:v>
                </c:pt>
                <c:pt idx="203">
                  <c:v>0.84583333333333333</c:v>
                </c:pt>
                <c:pt idx="204">
                  <c:v>0.85</c:v>
                </c:pt>
                <c:pt idx="205">
                  <c:v>0.85416666666666663</c:v>
                </c:pt>
                <c:pt idx="206">
                  <c:v>0.85833333333333339</c:v>
                </c:pt>
                <c:pt idx="207">
                  <c:v>0.86249999999999993</c:v>
                </c:pt>
                <c:pt idx="208">
                  <c:v>0.8666666666666667</c:v>
                </c:pt>
                <c:pt idx="209">
                  <c:v>0.87083333333333324</c:v>
                </c:pt>
                <c:pt idx="210">
                  <c:v>0.875</c:v>
                </c:pt>
                <c:pt idx="211">
                  <c:v>0.87916666666666676</c:v>
                </c:pt>
                <c:pt idx="212">
                  <c:v>0.8833333333333333</c:v>
                </c:pt>
                <c:pt idx="213">
                  <c:v>0.88750000000000007</c:v>
                </c:pt>
                <c:pt idx="214">
                  <c:v>0.89166666666666661</c:v>
                </c:pt>
                <c:pt idx="215">
                  <c:v>0.89583333333333337</c:v>
                </c:pt>
                <c:pt idx="216">
                  <c:v>0.9</c:v>
                </c:pt>
                <c:pt idx="217">
                  <c:v>0.90416666666666667</c:v>
                </c:pt>
                <c:pt idx="218">
                  <c:v>0.90833333333333333</c:v>
                </c:pt>
                <c:pt idx="219">
                  <c:v>0.91249999999999998</c:v>
                </c:pt>
                <c:pt idx="220">
                  <c:v>0.91666666666666663</c:v>
                </c:pt>
                <c:pt idx="221">
                  <c:v>0.92083333333333339</c:v>
                </c:pt>
                <c:pt idx="222">
                  <c:v>0.92499999999999993</c:v>
                </c:pt>
                <c:pt idx="223">
                  <c:v>0.9291666666666667</c:v>
                </c:pt>
                <c:pt idx="224">
                  <c:v>0.93333333333333324</c:v>
                </c:pt>
                <c:pt idx="225">
                  <c:v>0.9375</c:v>
                </c:pt>
                <c:pt idx="226">
                  <c:v>0.94166666666666676</c:v>
                </c:pt>
                <c:pt idx="227">
                  <c:v>0.9458333333333333</c:v>
                </c:pt>
                <c:pt idx="228">
                  <c:v>0.95000000000000007</c:v>
                </c:pt>
                <c:pt idx="229">
                  <c:v>0.95416666666666661</c:v>
                </c:pt>
                <c:pt idx="230">
                  <c:v>0.95833333333333337</c:v>
                </c:pt>
                <c:pt idx="231">
                  <c:v>0.96250000000000002</c:v>
                </c:pt>
                <c:pt idx="232">
                  <c:v>0.96666666666666667</c:v>
                </c:pt>
                <c:pt idx="233">
                  <c:v>0.97083333333333333</c:v>
                </c:pt>
                <c:pt idx="234">
                  <c:v>0.97499999999999998</c:v>
                </c:pt>
                <c:pt idx="235">
                  <c:v>0.97916666666666663</c:v>
                </c:pt>
                <c:pt idx="236">
                  <c:v>0.98333333333333339</c:v>
                </c:pt>
                <c:pt idx="237">
                  <c:v>0.98749999999999993</c:v>
                </c:pt>
                <c:pt idx="238">
                  <c:v>0.9916666666666667</c:v>
                </c:pt>
                <c:pt idx="239">
                  <c:v>0.99583333333333324</c:v>
                </c:pt>
                <c:pt idx="240">
                  <c:v>1</c:v>
                </c:pt>
              </c:numCache>
            </c:numRef>
          </c:xVal>
          <c:yVal>
            <c:numRef>
              <c:f>Precip_YHD2!$G$3:$G$243</c:f>
              <c:numCache>
                <c:formatCode>General</c:formatCode>
                <c:ptCount val="241"/>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0.01</c:v>
                </c:pt>
                <c:pt idx="66">
                  <c:v>0.01</c:v>
                </c:pt>
                <c:pt idx="67">
                  <c:v>0.01</c:v>
                </c:pt>
                <c:pt idx="68">
                  <c:v>0.01</c:v>
                </c:pt>
                <c:pt idx="69">
                  <c:v>0.01</c:v>
                </c:pt>
                <c:pt idx="70">
                  <c:v>0.01</c:v>
                </c:pt>
                <c:pt idx="71">
                  <c:v>0.01</c:v>
                </c:pt>
                <c:pt idx="72">
                  <c:v>0.01</c:v>
                </c:pt>
                <c:pt idx="73">
                  <c:v>0.01</c:v>
                </c:pt>
                <c:pt idx="74">
                  <c:v>0.01</c:v>
                </c:pt>
                <c:pt idx="75">
                  <c:v>0.01</c:v>
                </c:pt>
                <c:pt idx="76">
                  <c:v>0.01</c:v>
                </c:pt>
                <c:pt idx="77">
                  <c:v>0.01</c:v>
                </c:pt>
                <c:pt idx="78">
                  <c:v>0.01</c:v>
                </c:pt>
                <c:pt idx="79">
                  <c:v>0.01</c:v>
                </c:pt>
                <c:pt idx="80">
                  <c:v>0.01</c:v>
                </c:pt>
                <c:pt idx="81">
                  <c:v>0.01</c:v>
                </c:pt>
                <c:pt idx="82">
                  <c:v>0.01</c:v>
                </c:pt>
                <c:pt idx="83">
                  <c:v>0.01</c:v>
                </c:pt>
                <c:pt idx="84">
                  <c:v>0.01</c:v>
                </c:pt>
                <c:pt idx="85">
                  <c:v>0.01</c:v>
                </c:pt>
                <c:pt idx="86">
                  <c:v>0.01</c:v>
                </c:pt>
                <c:pt idx="87">
                  <c:v>0.01</c:v>
                </c:pt>
                <c:pt idx="88">
                  <c:v>0.01</c:v>
                </c:pt>
                <c:pt idx="89">
                  <c:v>0.01</c:v>
                </c:pt>
                <c:pt idx="90">
                  <c:v>0.01</c:v>
                </c:pt>
                <c:pt idx="91">
                  <c:v>0.01</c:v>
                </c:pt>
                <c:pt idx="92">
                  <c:v>0.01</c:v>
                </c:pt>
                <c:pt idx="93">
                  <c:v>0.01</c:v>
                </c:pt>
                <c:pt idx="94">
                  <c:v>0.01</c:v>
                </c:pt>
                <c:pt idx="95">
                  <c:v>0.01</c:v>
                </c:pt>
                <c:pt idx="96">
                  <c:v>0.02</c:v>
                </c:pt>
                <c:pt idx="97">
                  <c:v>0.02</c:v>
                </c:pt>
                <c:pt idx="98">
                  <c:v>0.02</c:v>
                </c:pt>
                <c:pt idx="99">
                  <c:v>0.02</c:v>
                </c:pt>
                <c:pt idx="100">
                  <c:v>0.02</c:v>
                </c:pt>
                <c:pt idx="101">
                  <c:v>0.02</c:v>
                </c:pt>
                <c:pt idx="102">
                  <c:v>0.02</c:v>
                </c:pt>
                <c:pt idx="103">
                  <c:v>0.02</c:v>
                </c:pt>
                <c:pt idx="104">
                  <c:v>0.02</c:v>
                </c:pt>
                <c:pt idx="105">
                  <c:v>0.02</c:v>
                </c:pt>
                <c:pt idx="106">
                  <c:v>0.03</c:v>
                </c:pt>
                <c:pt idx="107">
                  <c:v>0.03</c:v>
                </c:pt>
                <c:pt idx="108">
                  <c:v>0.03</c:v>
                </c:pt>
                <c:pt idx="109">
                  <c:v>0.03</c:v>
                </c:pt>
                <c:pt idx="110">
                  <c:v>0.04</c:v>
                </c:pt>
                <c:pt idx="111">
                  <c:v>0.05</c:v>
                </c:pt>
                <c:pt idx="112">
                  <c:v>0.06</c:v>
                </c:pt>
                <c:pt idx="113">
                  <c:v>0.06</c:v>
                </c:pt>
                <c:pt idx="114">
                  <c:v>7.0000000000000007E-2</c:v>
                </c:pt>
                <c:pt idx="115">
                  <c:v>0.08</c:v>
                </c:pt>
                <c:pt idx="116">
                  <c:v>0.15</c:v>
                </c:pt>
                <c:pt idx="117">
                  <c:v>0.16</c:v>
                </c:pt>
                <c:pt idx="118">
                  <c:v>0.19</c:v>
                </c:pt>
                <c:pt idx="119">
                  <c:v>0.17</c:v>
                </c:pt>
                <c:pt idx="120">
                  <c:v>0.4</c:v>
                </c:pt>
                <c:pt idx="121">
                  <c:v>0.75</c:v>
                </c:pt>
                <c:pt idx="122">
                  <c:v>0.26</c:v>
                </c:pt>
                <c:pt idx="123">
                  <c:v>0.15</c:v>
                </c:pt>
                <c:pt idx="124">
                  <c:v>0.19</c:v>
                </c:pt>
                <c:pt idx="125">
                  <c:v>0.17</c:v>
                </c:pt>
                <c:pt idx="126">
                  <c:v>0.09</c:v>
                </c:pt>
                <c:pt idx="127">
                  <c:v>0.08</c:v>
                </c:pt>
                <c:pt idx="128">
                  <c:v>0.08</c:v>
                </c:pt>
                <c:pt idx="129">
                  <c:v>7.0000000000000007E-2</c:v>
                </c:pt>
                <c:pt idx="130">
                  <c:v>0.06</c:v>
                </c:pt>
                <c:pt idx="131">
                  <c:v>0.05</c:v>
                </c:pt>
                <c:pt idx="132">
                  <c:v>0.04</c:v>
                </c:pt>
                <c:pt idx="133">
                  <c:v>0.04</c:v>
                </c:pt>
                <c:pt idx="134">
                  <c:v>0.04</c:v>
                </c:pt>
                <c:pt idx="135">
                  <c:v>0.04</c:v>
                </c:pt>
                <c:pt idx="136">
                  <c:v>0.03</c:v>
                </c:pt>
                <c:pt idx="137">
                  <c:v>0.03</c:v>
                </c:pt>
                <c:pt idx="138">
                  <c:v>0.03</c:v>
                </c:pt>
                <c:pt idx="139">
                  <c:v>0.03</c:v>
                </c:pt>
                <c:pt idx="140">
                  <c:v>0.03</c:v>
                </c:pt>
                <c:pt idx="141">
                  <c:v>0.02</c:v>
                </c:pt>
                <c:pt idx="142">
                  <c:v>0.02</c:v>
                </c:pt>
                <c:pt idx="143">
                  <c:v>0.02</c:v>
                </c:pt>
                <c:pt idx="144">
                  <c:v>0.02</c:v>
                </c:pt>
                <c:pt idx="145">
                  <c:v>0.02</c:v>
                </c:pt>
                <c:pt idx="146">
                  <c:v>0.02</c:v>
                </c:pt>
                <c:pt idx="147">
                  <c:v>0.02</c:v>
                </c:pt>
                <c:pt idx="148">
                  <c:v>0.02</c:v>
                </c:pt>
                <c:pt idx="149">
                  <c:v>0.02</c:v>
                </c:pt>
                <c:pt idx="150">
                  <c:v>0.02</c:v>
                </c:pt>
                <c:pt idx="151">
                  <c:v>0.02</c:v>
                </c:pt>
                <c:pt idx="152">
                  <c:v>0.02</c:v>
                </c:pt>
                <c:pt idx="153">
                  <c:v>0.02</c:v>
                </c:pt>
                <c:pt idx="154">
                  <c:v>0.02</c:v>
                </c:pt>
                <c:pt idx="155">
                  <c:v>0.02</c:v>
                </c:pt>
                <c:pt idx="156">
                  <c:v>0.02</c:v>
                </c:pt>
                <c:pt idx="157">
                  <c:v>0.02</c:v>
                </c:pt>
                <c:pt idx="158">
                  <c:v>0.02</c:v>
                </c:pt>
                <c:pt idx="159">
                  <c:v>0.01</c:v>
                </c:pt>
                <c:pt idx="160">
                  <c:v>0.01</c:v>
                </c:pt>
                <c:pt idx="161">
                  <c:v>0.01</c:v>
                </c:pt>
                <c:pt idx="162">
                  <c:v>0.01</c:v>
                </c:pt>
                <c:pt idx="163">
                  <c:v>0.01</c:v>
                </c:pt>
                <c:pt idx="164">
                  <c:v>0.01</c:v>
                </c:pt>
                <c:pt idx="165">
                  <c:v>0.01</c:v>
                </c:pt>
                <c:pt idx="166">
                  <c:v>0.01</c:v>
                </c:pt>
                <c:pt idx="167">
                  <c:v>0.01</c:v>
                </c:pt>
                <c:pt idx="168">
                  <c:v>0.01</c:v>
                </c:pt>
                <c:pt idx="169">
                  <c:v>0.01</c:v>
                </c:pt>
                <c:pt idx="170">
                  <c:v>0.01</c:v>
                </c:pt>
                <c:pt idx="171">
                  <c:v>0.01</c:v>
                </c:pt>
                <c:pt idx="172">
                  <c:v>0.01</c:v>
                </c:pt>
                <c:pt idx="173">
                  <c:v>0.01</c:v>
                </c:pt>
                <c:pt idx="174">
                  <c:v>0.01</c:v>
                </c:pt>
                <c:pt idx="175">
                  <c:v>0.01</c:v>
                </c:pt>
                <c:pt idx="176">
                  <c:v>0.01</c:v>
                </c:pt>
                <c:pt idx="177">
                  <c:v>0.01</c:v>
                </c:pt>
                <c:pt idx="178">
                  <c:v>0.01</c:v>
                </c:pt>
                <c:pt idx="179">
                  <c:v>0.01</c:v>
                </c:pt>
                <c:pt idx="180">
                  <c:v>0.01</c:v>
                </c:pt>
                <c:pt idx="181">
                  <c:v>0.01</c:v>
                </c:pt>
                <c:pt idx="182">
                  <c:v>0.01</c:v>
                </c:pt>
                <c:pt idx="183">
                  <c:v>0.01</c:v>
                </c:pt>
                <c:pt idx="184">
                  <c:v>0.01</c:v>
                </c:pt>
                <c:pt idx="185">
                  <c:v>0.01</c:v>
                </c:pt>
                <c:pt idx="186">
                  <c:v>0.01</c:v>
                </c:pt>
                <c:pt idx="187">
                  <c:v>0.01</c:v>
                </c:pt>
                <c:pt idx="188">
                  <c:v>0.01</c:v>
                </c:pt>
                <c:pt idx="189">
                  <c:v>0.01</c:v>
                </c:pt>
                <c:pt idx="190">
                  <c:v>0.01</c:v>
                </c:pt>
                <c:pt idx="191">
                  <c:v>0.01</c:v>
                </c:pt>
                <c:pt idx="192">
                  <c:v>0.01</c:v>
                </c:pt>
                <c:pt idx="193">
                  <c:v>0.01</c:v>
                </c:pt>
                <c:pt idx="194">
                  <c:v>0.01</c:v>
                </c:pt>
                <c:pt idx="195">
                  <c:v>0.01</c:v>
                </c:pt>
                <c:pt idx="196">
                  <c:v>0.01</c:v>
                </c:pt>
                <c:pt idx="197">
                  <c:v>0.01</c:v>
                </c:pt>
                <c:pt idx="198">
                  <c:v>0.01</c:v>
                </c:pt>
                <c:pt idx="199">
                  <c:v>0.01</c:v>
                </c:pt>
                <c:pt idx="200">
                  <c:v>0.01</c:v>
                </c:pt>
                <c:pt idx="201">
                  <c:v>0.01</c:v>
                </c:pt>
                <c:pt idx="202">
                  <c:v>0.01</c:v>
                </c:pt>
                <c:pt idx="203">
                  <c:v>0.01</c:v>
                </c:pt>
                <c:pt idx="204">
                  <c:v>0.01</c:v>
                </c:pt>
                <c:pt idx="205">
                  <c:v>0.01</c:v>
                </c:pt>
                <c:pt idx="206">
                  <c:v>0.01</c:v>
                </c:pt>
                <c:pt idx="207">
                  <c:v>0.01</c:v>
                </c:pt>
                <c:pt idx="208">
                  <c:v>0.01</c:v>
                </c:pt>
                <c:pt idx="209">
                  <c:v>0.01</c:v>
                </c:pt>
                <c:pt idx="210">
                  <c:v>0.01</c:v>
                </c:pt>
                <c:pt idx="211">
                  <c:v>0.01</c:v>
                </c:pt>
                <c:pt idx="212">
                  <c:v>0.01</c:v>
                </c:pt>
                <c:pt idx="213">
                  <c:v>0.01</c:v>
                </c:pt>
                <c:pt idx="214">
                  <c:v>0.01</c:v>
                </c:pt>
                <c:pt idx="215">
                  <c:v>0.01</c:v>
                </c:pt>
                <c:pt idx="216">
                  <c:v>0.01</c:v>
                </c:pt>
                <c:pt idx="217">
                  <c:v>0.01</c:v>
                </c:pt>
                <c:pt idx="218">
                  <c:v>0.01</c:v>
                </c:pt>
                <c:pt idx="219">
                  <c:v>0.01</c:v>
                </c:pt>
                <c:pt idx="220">
                  <c:v>0.01</c:v>
                </c:pt>
                <c:pt idx="221">
                  <c:v>0.01</c:v>
                </c:pt>
                <c:pt idx="222">
                  <c:v>0.01</c:v>
                </c:pt>
                <c:pt idx="223">
                  <c:v>0.01</c:v>
                </c:pt>
                <c:pt idx="224">
                  <c:v>0.01</c:v>
                </c:pt>
                <c:pt idx="225">
                  <c:v>0.01</c:v>
                </c:pt>
                <c:pt idx="226">
                  <c:v>0.01</c:v>
                </c:pt>
                <c:pt idx="227">
                  <c:v>0.01</c:v>
                </c:pt>
                <c:pt idx="228">
                  <c:v>0.01</c:v>
                </c:pt>
                <c:pt idx="229">
                  <c:v>0.01</c:v>
                </c:pt>
                <c:pt idx="230">
                  <c:v>0.01</c:v>
                </c:pt>
                <c:pt idx="231">
                  <c:v>0.01</c:v>
                </c:pt>
                <c:pt idx="232">
                  <c:v>0.01</c:v>
                </c:pt>
                <c:pt idx="233">
                  <c:v>0.01</c:v>
                </c:pt>
                <c:pt idx="234">
                  <c:v>0.01</c:v>
                </c:pt>
                <c:pt idx="235">
                  <c:v>0.01</c:v>
                </c:pt>
                <c:pt idx="236">
                  <c:v>0.01</c:v>
                </c:pt>
                <c:pt idx="237">
                  <c:v>0.01</c:v>
                </c:pt>
                <c:pt idx="238">
                  <c:v>0.01</c:v>
                </c:pt>
                <c:pt idx="239">
                  <c:v>0.01</c:v>
                </c:pt>
                <c:pt idx="240">
                  <c:v>0.01</c:v>
                </c:pt>
              </c:numCache>
            </c:numRef>
          </c:yVal>
          <c:smooth val="1"/>
          <c:extLst xmlns:c16r2="http://schemas.microsoft.com/office/drawing/2015/06/chart">
            <c:ext xmlns:c16="http://schemas.microsoft.com/office/drawing/2014/chart" uri="{C3380CC4-5D6E-409C-BE32-E72D297353CC}">
              <c16:uniqueId val="{00000005-74B7-4CC5-B208-17FD530AA5AF}"/>
            </c:ext>
          </c:extLst>
        </c:ser>
        <c:ser>
          <c:idx val="4"/>
          <c:order val="1"/>
          <c:tx>
            <c:v>0.2 Percent Annual Chance</c:v>
          </c:tx>
          <c:spPr>
            <a:ln>
              <a:solidFill>
                <a:schemeClr val="accent2"/>
              </a:solidFill>
            </a:ln>
          </c:spPr>
          <c:marker>
            <c:symbol val="none"/>
          </c:marker>
          <c:xVal>
            <c:numRef>
              <c:f>Precip_YHD2!$A$3:$A$243</c:f>
              <c:numCache>
                <c:formatCode>h:mm;@</c:formatCode>
                <c:ptCount val="241"/>
                <c:pt idx="0">
                  <c:v>0</c:v>
                </c:pt>
                <c:pt idx="1">
                  <c:v>4.1666666666666666E-3</c:v>
                </c:pt>
                <c:pt idx="2">
                  <c:v>8.3333333333333332E-3</c:v>
                </c:pt>
                <c:pt idx="3">
                  <c:v>1.2499999999999999E-2</c:v>
                </c:pt>
                <c:pt idx="4">
                  <c:v>1.6666666666666666E-2</c:v>
                </c:pt>
                <c:pt idx="5">
                  <c:v>2.0833333333333332E-2</c:v>
                </c:pt>
                <c:pt idx="6">
                  <c:v>2.4999999999999998E-2</c:v>
                </c:pt>
                <c:pt idx="7">
                  <c:v>2.9166666666666664E-2</c:v>
                </c:pt>
                <c:pt idx="8">
                  <c:v>3.3333333333333333E-2</c:v>
                </c:pt>
                <c:pt idx="9">
                  <c:v>3.7499999999999999E-2</c:v>
                </c:pt>
                <c:pt idx="10">
                  <c:v>4.1666666666666664E-2</c:v>
                </c:pt>
                <c:pt idx="11">
                  <c:v>4.5833333333333337E-2</c:v>
                </c:pt>
                <c:pt idx="12">
                  <c:v>4.9999999999999996E-2</c:v>
                </c:pt>
                <c:pt idx="13">
                  <c:v>5.4166666666666669E-2</c:v>
                </c:pt>
                <c:pt idx="14">
                  <c:v>5.8333333333333327E-2</c:v>
                </c:pt>
                <c:pt idx="15">
                  <c:v>6.25E-2</c:v>
                </c:pt>
                <c:pt idx="16">
                  <c:v>6.6666666666666666E-2</c:v>
                </c:pt>
                <c:pt idx="17">
                  <c:v>7.0833333333333331E-2</c:v>
                </c:pt>
                <c:pt idx="18">
                  <c:v>7.4999999999999997E-2</c:v>
                </c:pt>
                <c:pt idx="19">
                  <c:v>7.9166666666666663E-2</c:v>
                </c:pt>
                <c:pt idx="20">
                  <c:v>8.3333333333333329E-2</c:v>
                </c:pt>
                <c:pt idx="21">
                  <c:v>8.7500000000000008E-2</c:v>
                </c:pt>
                <c:pt idx="22">
                  <c:v>9.1666666666666674E-2</c:v>
                </c:pt>
                <c:pt idx="23">
                  <c:v>9.5833333333333326E-2</c:v>
                </c:pt>
                <c:pt idx="24">
                  <c:v>9.9999999999999992E-2</c:v>
                </c:pt>
                <c:pt idx="25">
                  <c:v>0.10416666666666667</c:v>
                </c:pt>
                <c:pt idx="26">
                  <c:v>0.10833333333333334</c:v>
                </c:pt>
                <c:pt idx="27">
                  <c:v>0.1125</c:v>
                </c:pt>
                <c:pt idx="28">
                  <c:v>0.11666666666666665</c:v>
                </c:pt>
                <c:pt idx="29">
                  <c:v>0.12083333333333333</c:v>
                </c:pt>
                <c:pt idx="30">
                  <c:v>0.125</c:v>
                </c:pt>
                <c:pt idx="31">
                  <c:v>0.12916666666666668</c:v>
                </c:pt>
                <c:pt idx="32">
                  <c:v>0.13333333333333333</c:v>
                </c:pt>
                <c:pt idx="33">
                  <c:v>0.13749999999999998</c:v>
                </c:pt>
                <c:pt idx="34">
                  <c:v>0.14166666666666666</c:v>
                </c:pt>
                <c:pt idx="35">
                  <c:v>0.14583333333333334</c:v>
                </c:pt>
                <c:pt idx="36">
                  <c:v>0.15</c:v>
                </c:pt>
                <c:pt idx="37">
                  <c:v>0.15416666666666667</c:v>
                </c:pt>
                <c:pt idx="38">
                  <c:v>0.15833333333333333</c:v>
                </c:pt>
                <c:pt idx="39">
                  <c:v>0.16250000000000001</c:v>
                </c:pt>
                <c:pt idx="40">
                  <c:v>0.16666666666666666</c:v>
                </c:pt>
                <c:pt idx="41">
                  <c:v>0.17083333333333331</c:v>
                </c:pt>
                <c:pt idx="42">
                  <c:v>0.17500000000000002</c:v>
                </c:pt>
                <c:pt idx="43">
                  <c:v>0.17916666666666667</c:v>
                </c:pt>
                <c:pt idx="44">
                  <c:v>0.18333333333333335</c:v>
                </c:pt>
                <c:pt idx="45">
                  <c:v>0.1875</c:v>
                </c:pt>
                <c:pt idx="46">
                  <c:v>0.19166666666666665</c:v>
                </c:pt>
                <c:pt idx="47">
                  <c:v>0.19583333333333333</c:v>
                </c:pt>
                <c:pt idx="48">
                  <c:v>0.19999999999999998</c:v>
                </c:pt>
                <c:pt idx="49">
                  <c:v>0.20416666666666669</c:v>
                </c:pt>
                <c:pt idx="50">
                  <c:v>0.20833333333333334</c:v>
                </c:pt>
                <c:pt idx="51">
                  <c:v>0.21249999999999999</c:v>
                </c:pt>
                <c:pt idx="52">
                  <c:v>0.21666666666666667</c:v>
                </c:pt>
                <c:pt idx="53">
                  <c:v>0.22083333333333333</c:v>
                </c:pt>
                <c:pt idx="54">
                  <c:v>0.22500000000000001</c:v>
                </c:pt>
                <c:pt idx="55">
                  <c:v>0.22916666666666666</c:v>
                </c:pt>
                <c:pt idx="56">
                  <c:v>0.23333333333333331</c:v>
                </c:pt>
                <c:pt idx="57">
                  <c:v>0.23750000000000002</c:v>
                </c:pt>
                <c:pt idx="58">
                  <c:v>0.24166666666666667</c:v>
                </c:pt>
                <c:pt idx="59">
                  <c:v>0.24583333333333335</c:v>
                </c:pt>
                <c:pt idx="60">
                  <c:v>0.25</c:v>
                </c:pt>
                <c:pt idx="61">
                  <c:v>0.25416666666666665</c:v>
                </c:pt>
                <c:pt idx="62">
                  <c:v>0.25833333333333336</c:v>
                </c:pt>
                <c:pt idx="63">
                  <c:v>0.26250000000000001</c:v>
                </c:pt>
                <c:pt idx="64">
                  <c:v>0.26666666666666666</c:v>
                </c:pt>
                <c:pt idx="65">
                  <c:v>0.27083333333333331</c:v>
                </c:pt>
                <c:pt idx="66">
                  <c:v>0.27499999999999997</c:v>
                </c:pt>
                <c:pt idx="67">
                  <c:v>0.27916666666666667</c:v>
                </c:pt>
                <c:pt idx="68">
                  <c:v>0.28333333333333333</c:v>
                </c:pt>
                <c:pt idx="69">
                  <c:v>0.28750000000000003</c:v>
                </c:pt>
                <c:pt idx="70">
                  <c:v>0.29166666666666669</c:v>
                </c:pt>
                <c:pt idx="71">
                  <c:v>0.29583333333333334</c:v>
                </c:pt>
                <c:pt idx="72">
                  <c:v>0.3</c:v>
                </c:pt>
                <c:pt idx="73">
                  <c:v>0.30416666666666664</c:v>
                </c:pt>
                <c:pt idx="74">
                  <c:v>0.30833333333333335</c:v>
                </c:pt>
                <c:pt idx="75">
                  <c:v>0.3125</c:v>
                </c:pt>
                <c:pt idx="76">
                  <c:v>0.31666666666666665</c:v>
                </c:pt>
                <c:pt idx="77">
                  <c:v>0.32083333333333336</c:v>
                </c:pt>
                <c:pt idx="78">
                  <c:v>0.32500000000000001</c:v>
                </c:pt>
                <c:pt idx="79">
                  <c:v>0.32916666666666666</c:v>
                </c:pt>
                <c:pt idx="80">
                  <c:v>0.33333333333333331</c:v>
                </c:pt>
                <c:pt idx="81">
                  <c:v>0.33749999999999997</c:v>
                </c:pt>
                <c:pt idx="82">
                  <c:v>0.34166666666666662</c:v>
                </c:pt>
                <c:pt idx="83">
                  <c:v>0.34583333333333338</c:v>
                </c:pt>
                <c:pt idx="84">
                  <c:v>0.35000000000000003</c:v>
                </c:pt>
                <c:pt idx="85">
                  <c:v>0.35416666666666669</c:v>
                </c:pt>
                <c:pt idx="86">
                  <c:v>0.35833333333333334</c:v>
                </c:pt>
                <c:pt idx="87">
                  <c:v>0.36249999999999999</c:v>
                </c:pt>
                <c:pt idx="88">
                  <c:v>0.3666666666666667</c:v>
                </c:pt>
                <c:pt idx="89">
                  <c:v>0.37083333333333335</c:v>
                </c:pt>
                <c:pt idx="90">
                  <c:v>0.375</c:v>
                </c:pt>
                <c:pt idx="91">
                  <c:v>0.37916666666666665</c:v>
                </c:pt>
                <c:pt idx="92">
                  <c:v>0.3833333333333333</c:v>
                </c:pt>
                <c:pt idx="93">
                  <c:v>0.38750000000000001</c:v>
                </c:pt>
                <c:pt idx="94">
                  <c:v>0.39166666666666666</c:v>
                </c:pt>
                <c:pt idx="95">
                  <c:v>0.39583333333333331</c:v>
                </c:pt>
                <c:pt idx="96">
                  <c:v>0.39999999999999997</c:v>
                </c:pt>
                <c:pt idx="97">
                  <c:v>0.40416666666666662</c:v>
                </c:pt>
                <c:pt idx="98">
                  <c:v>0.40833333333333338</c:v>
                </c:pt>
                <c:pt idx="99">
                  <c:v>0.41250000000000003</c:v>
                </c:pt>
                <c:pt idx="100">
                  <c:v>0.41666666666666669</c:v>
                </c:pt>
                <c:pt idx="101">
                  <c:v>0.42083333333333334</c:v>
                </c:pt>
                <c:pt idx="102">
                  <c:v>0.42499999999999999</c:v>
                </c:pt>
                <c:pt idx="103">
                  <c:v>0.4291666666666667</c:v>
                </c:pt>
                <c:pt idx="104">
                  <c:v>0.43333333333333335</c:v>
                </c:pt>
                <c:pt idx="105">
                  <c:v>0.4375</c:v>
                </c:pt>
                <c:pt idx="106">
                  <c:v>0.44166666666666665</c:v>
                </c:pt>
                <c:pt idx="107">
                  <c:v>0.4458333333333333</c:v>
                </c:pt>
                <c:pt idx="108">
                  <c:v>0.45</c:v>
                </c:pt>
                <c:pt idx="109">
                  <c:v>0.45416666666666666</c:v>
                </c:pt>
                <c:pt idx="110">
                  <c:v>0.45833333333333331</c:v>
                </c:pt>
                <c:pt idx="111">
                  <c:v>0.46249999999999997</c:v>
                </c:pt>
                <c:pt idx="112">
                  <c:v>0.46666666666666662</c:v>
                </c:pt>
                <c:pt idx="113">
                  <c:v>0.47083333333333338</c:v>
                </c:pt>
                <c:pt idx="114">
                  <c:v>0.47500000000000003</c:v>
                </c:pt>
                <c:pt idx="115">
                  <c:v>0.47916666666666669</c:v>
                </c:pt>
                <c:pt idx="116">
                  <c:v>0.48333333333333334</c:v>
                </c:pt>
                <c:pt idx="117">
                  <c:v>0.48749999999999999</c:v>
                </c:pt>
                <c:pt idx="118">
                  <c:v>0.4916666666666667</c:v>
                </c:pt>
                <c:pt idx="119">
                  <c:v>0.49583333333333335</c:v>
                </c:pt>
                <c:pt idx="120">
                  <c:v>0.5</c:v>
                </c:pt>
                <c:pt idx="121">
                  <c:v>0.50416666666666665</c:v>
                </c:pt>
                <c:pt idx="122">
                  <c:v>0.5083333333333333</c:v>
                </c:pt>
                <c:pt idx="123">
                  <c:v>0.51250000000000007</c:v>
                </c:pt>
                <c:pt idx="124">
                  <c:v>0.51666666666666672</c:v>
                </c:pt>
                <c:pt idx="125">
                  <c:v>0.52083333333333337</c:v>
                </c:pt>
                <c:pt idx="126">
                  <c:v>0.52500000000000002</c:v>
                </c:pt>
                <c:pt idx="127">
                  <c:v>0.52916666666666667</c:v>
                </c:pt>
                <c:pt idx="128">
                  <c:v>0.53333333333333333</c:v>
                </c:pt>
                <c:pt idx="129">
                  <c:v>0.53749999999999998</c:v>
                </c:pt>
                <c:pt idx="130">
                  <c:v>0.54166666666666663</c:v>
                </c:pt>
                <c:pt idx="131">
                  <c:v>0.54583333333333328</c:v>
                </c:pt>
                <c:pt idx="132">
                  <c:v>0.54999999999999993</c:v>
                </c:pt>
                <c:pt idx="133">
                  <c:v>0.5541666666666667</c:v>
                </c:pt>
                <c:pt idx="134">
                  <c:v>0.55833333333333335</c:v>
                </c:pt>
                <c:pt idx="135">
                  <c:v>0.5625</c:v>
                </c:pt>
                <c:pt idx="136">
                  <c:v>0.56666666666666665</c:v>
                </c:pt>
                <c:pt idx="137">
                  <c:v>0.5708333333333333</c:v>
                </c:pt>
                <c:pt idx="138">
                  <c:v>0.57500000000000007</c:v>
                </c:pt>
                <c:pt idx="139">
                  <c:v>0.57916666666666672</c:v>
                </c:pt>
                <c:pt idx="140">
                  <c:v>0.58333333333333337</c:v>
                </c:pt>
                <c:pt idx="141">
                  <c:v>0.58750000000000002</c:v>
                </c:pt>
                <c:pt idx="142">
                  <c:v>0.59166666666666667</c:v>
                </c:pt>
                <c:pt idx="143">
                  <c:v>0.59583333333333333</c:v>
                </c:pt>
                <c:pt idx="144">
                  <c:v>0.6</c:v>
                </c:pt>
                <c:pt idx="145">
                  <c:v>0.60416666666666663</c:v>
                </c:pt>
                <c:pt idx="146">
                  <c:v>0.60833333333333328</c:v>
                </c:pt>
                <c:pt idx="147">
                  <c:v>0.61249999999999993</c:v>
                </c:pt>
                <c:pt idx="148">
                  <c:v>0.6166666666666667</c:v>
                </c:pt>
                <c:pt idx="149">
                  <c:v>0.62083333333333335</c:v>
                </c:pt>
                <c:pt idx="150">
                  <c:v>0.625</c:v>
                </c:pt>
                <c:pt idx="151">
                  <c:v>0.62916666666666665</c:v>
                </c:pt>
                <c:pt idx="152">
                  <c:v>0.6333333333333333</c:v>
                </c:pt>
                <c:pt idx="153">
                  <c:v>0.63750000000000007</c:v>
                </c:pt>
                <c:pt idx="154">
                  <c:v>0.64166666666666672</c:v>
                </c:pt>
                <c:pt idx="155">
                  <c:v>0.64583333333333337</c:v>
                </c:pt>
                <c:pt idx="156">
                  <c:v>0.65</c:v>
                </c:pt>
                <c:pt idx="157">
                  <c:v>0.65416666666666667</c:v>
                </c:pt>
                <c:pt idx="158">
                  <c:v>0.65833333333333333</c:v>
                </c:pt>
                <c:pt idx="159">
                  <c:v>0.66249999999999998</c:v>
                </c:pt>
                <c:pt idx="160">
                  <c:v>0.66666666666666663</c:v>
                </c:pt>
                <c:pt idx="161">
                  <c:v>0.67083333333333339</c:v>
                </c:pt>
                <c:pt idx="162">
                  <c:v>0.67499999999999993</c:v>
                </c:pt>
                <c:pt idx="163">
                  <c:v>0.6791666666666667</c:v>
                </c:pt>
                <c:pt idx="164">
                  <c:v>0.68333333333333324</c:v>
                </c:pt>
                <c:pt idx="165">
                  <c:v>0.6875</c:v>
                </c:pt>
                <c:pt idx="166">
                  <c:v>0.69166666666666676</c:v>
                </c:pt>
                <c:pt idx="167">
                  <c:v>0.6958333333333333</c:v>
                </c:pt>
                <c:pt idx="168">
                  <c:v>0.70000000000000007</c:v>
                </c:pt>
                <c:pt idx="169">
                  <c:v>0.70416666666666661</c:v>
                </c:pt>
                <c:pt idx="170">
                  <c:v>0.70833333333333337</c:v>
                </c:pt>
                <c:pt idx="171">
                  <c:v>0.71250000000000002</c:v>
                </c:pt>
                <c:pt idx="172">
                  <c:v>0.71666666666666667</c:v>
                </c:pt>
                <c:pt idx="173">
                  <c:v>0.72083333333333333</c:v>
                </c:pt>
                <c:pt idx="174">
                  <c:v>0.72499999999999998</c:v>
                </c:pt>
                <c:pt idx="175">
                  <c:v>0.72916666666666663</c:v>
                </c:pt>
                <c:pt idx="176">
                  <c:v>0.73333333333333339</c:v>
                </c:pt>
                <c:pt idx="177">
                  <c:v>0.73749999999999993</c:v>
                </c:pt>
                <c:pt idx="178">
                  <c:v>0.7416666666666667</c:v>
                </c:pt>
                <c:pt idx="179">
                  <c:v>0.74583333333333324</c:v>
                </c:pt>
                <c:pt idx="180">
                  <c:v>0.75</c:v>
                </c:pt>
                <c:pt idx="181">
                  <c:v>0.75416666666666676</c:v>
                </c:pt>
                <c:pt idx="182">
                  <c:v>0.7583333333333333</c:v>
                </c:pt>
                <c:pt idx="183">
                  <c:v>0.76250000000000007</c:v>
                </c:pt>
                <c:pt idx="184">
                  <c:v>0.76666666666666661</c:v>
                </c:pt>
                <c:pt idx="185">
                  <c:v>0.77083333333333337</c:v>
                </c:pt>
                <c:pt idx="186">
                  <c:v>0.77500000000000002</c:v>
                </c:pt>
                <c:pt idx="187">
                  <c:v>0.77916666666666667</c:v>
                </c:pt>
                <c:pt idx="188">
                  <c:v>0.78333333333333333</c:v>
                </c:pt>
                <c:pt idx="189">
                  <c:v>0.78749999999999998</c:v>
                </c:pt>
                <c:pt idx="190">
                  <c:v>0.79166666666666663</c:v>
                </c:pt>
                <c:pt idx="191">
                  <c:v>0.79583333333333339</c:v>
                </c:pt>
                <c:pt idx="192">
                  <c:v>0.79999999999999993</c:v>
                </c:pt>
                <c:pt idx="193">
                  <c:v>0.8041666666666667</c:v>
                </c:pt>
                <c:pt idx="194">
                  <c:v>0.80833333333333324</c:v>
                </c:pt>
                <c:pt idx="195">
                  <c:v>0.8125</c:v>
                </c:pt>
                <c:pt idx="196">
                  <c:v>0.81666666666666676</c:v>
                </c:pt>
                <c:pt idx="197">
                  <c:v>0.8208333333333333</c:v>
                </c:pt>
                <c:pt idx="198">
                  <c:v>0.82500000000000007</c:v>
                </c:pt>
                <c:pt idx="199">
                  <c:v>0.82916666666666661</c:v>
                </c:pt>
                <c:pt idx="200">
                  <c:v>0.83333333333333337</c:v>
                </c:pt>
                <c:pt idx="201">
                  <c:v>0.83750000000000002</c:v>
                </c:pt>
                <c:pt idx="202">
                  <c:v>0.84166666666666667</c:v>
                </c:pt>
                <c:pt idx="203">
                  <c:v>0.84583333333333333</c:v>
                </c:pt>
                <c:pt idx="204">
                  <c:v>0.85</c:v>
                </c:pt>
                <c:pt idx="205">
                  <c:v>0.85416666666666663</c:v>
                </c:pt>
                <c:pt idx="206">
                  <c:v>0.85833333333333339</c:v>
                </c:pt>
                <c:pt idx="207">
                  <c:v>0.86249999999999993</c:v>
                </c:pt>
                <c:pt idx="208">
                  <c:v>0.8666666666666667</c:v>
                </c:pt>
                <c:pt idx="209">
                  <c:v>0.87083333333333324</c:v>
                </c:pt>
                <c:pt idx="210">
                  <c:v>0.875</c:v>
                </c:pt>
                <c:pt idx="211">
                  <c:v>0.87916666666666676</c:v>
                </c:pt>
                <c:pt idx="212">
                  <c:v>0.8833333333333333</c:v>
                </c:pt>
                <c:pt idx="213">
                  <c:v>0.88750000000000007</c:v>
                </c:pt>
                <c:pt idx="214">
                  <c:v>0.89166666666666661</c:v>
                </c:pt>
                <c:pt idx="215">
                  <c:v>0.89583333333333337</c:v>
                </c:pt>
                <c:pt idx="216">
                  <c:v>0.9</c:v>
                </c:pt>
                <c:pt idx="217">
                  <c:v>0.90416666666666667</c:v>
                </c:pt>
                <c:pt idx="218">
                  <c:v>0.90833333333333333</c:v>
                </c:pt>
                <c:pt idx="219">
                  <c:v>0.91249999999999998</c:v>
                </c:pt>
                <c:pt idx="220">
                  <c:v>0.91666666666666663</c:v>
                </c:pt>
                <c:pt idx="221">
                  <c:v>0.92083333333333339</c:v>
                </c:pt>
                <c:pt idx="222">
                  <c:v>0.92499999999999993</c:v>
                </c:pt>
                <c:pt idx="223">
                  <c:v>0.9291666666666667</c:v>
                </c:pt>
                <c:pt idx="224">
                  <c:v>0.93333333333333324</c:v>
                </c:pt>
                <c:pt idx="225">
                  <c:v>0.9375</c:v>
                </c:pt>
                <c:pt idx="226">
                  <c:v>0.94166666666666676</c:v>
                </c:pt>
                <c:pt idx="227">
                  <c:v>0.9458333333333333</c:v>
                </c:pt>
                <c:pt idx="228">
                  <c:v>0.95000000000000007</c:v>
                </c:pt>
                <c:pt idx="229">
                  <c:v>0.95416666666666661</c:v>
                </c:pt>
                <c:pt idx="230">
                  <c:v>0.95833333333333337</c:v>
                </c:pt>
                <c:pt idx="231">
                  <c:v>0.96250000000000002</c:v>
                </c:pt>
                <c:pt idx="232">
                  <c:v>0.96666666666666667</c:v>
                </c:pt>
                <c:pt idx="233">
                  <c:v>0.97083333333333333</c:v>
                </c:pt>
                <c:pt idx="234">
                  <c:v>0.97499999999999998</c:v>
                </c:pt>
                <c:pt idx="235">
                  <c:v>0.97916666666666663</c:v>
                </c:pt>
                <c:pt idx="236">
                  <c:v>0.98333333333333339</c:v>
                </c:pt>
                <c:pt idx="237">
                  <c:v>0.98749999999999993</c:v>
                </c:pt>
                <c:pt idx="238">
                  <c:v>0.9916666666666667</c:v>
                </c:pt>
                <c:pt idx="239">
                  <c:v>0.99583333333333324</c:v>
                </c:pt>
                <c:pt idx="240">
                  <c:v>1</c:v>
                </c:pt>
              </c:numCache>
            </c:numRef>
          </c:xVal>
          <c:yVal>
            <c:numRef>
              <c:f>Precip_YHD2!$F$3:$F$243</c:f>
              <c:numCache>
                <c:formatCode>General</c:formatCode>
                <c:ptCount val="241"/>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c:v>
                </c:pt>
                <c:pt idx="76">
                  <c:v>0.01</c:v>
                </c:pt>
                <c:pt idx="77">
                  <c:v>0.01</c:v>
                </c:pt>
                <c:pt idx="78">
                  <c:v>0.01</c:v>
                </c:pt>
                <c:pt idx="79">
                  <c:v>0.01</c:v>
                </c:pt>
                <c:pt idx="80">
                  <c:v>0.01</c:v>
                </c:pt>
                <c:pt idx="81">
                  <c:v>0.01</c:v>
                </c:pt>
                <c:pt idx="82">
                  <c:v>0.01</c:v>
                </c:pt>
                <c:pt idx="83">
                  <c:v>0.01</c:v>
                </c:pt>
                <c:pt idx="84">
                  <c:v>0.01</c:v>
                </c:pt>
                <c:pt idx="85">
                  <c:v>0.01</c:v>
                </c:pt>
                <c:pt idx="86">
                  <c:v>0.01</c:v>
                </c:pt>
                <c:pt idx="87">
                  <c:v>0.01</c:v>
                </c:pt>
                <c:pt idx="88">
                  <c:v>0.01</c:v>
                </c:pt>
                <c:pt idx="89">
                  <c:v>0.01</c:v>
                </c:pt>
                <c:pt idx="90">
                  <c:v>0.01</c:v>
                </c:pt>
                <c:pt idx="91">
                  <c:v>0.01</c:v>
                </c:pt>
                <c:pt idx="92">
                  <c:v>0.01</c:v>
                </c:pt>
                <c:pt idx="93">
                  <c:v>0.01</c:v>
                </c:pt>
                <c:pt idx="94">
                  <c:v>0.01</c:v>
                </c:pt>
                <c:pt idx="95">
                  <c:v>0.01</c:v>
                </c:pt>
                <c:pt idx="96">
                  <c:v>0.01</c:v>
                </c:pt>
                <c:pt idx="97">
                  <c:v>0.01</c:v>
                </c:pt>
                <c:pt idx="98">
                  <c:v>0.01</c:v>
                </c:pt>
                <c:pt idx="99">
                  <c:v>0.01</c:v>
                </c:pt>
                <c:pt idx="100">
                  <c:v>0.01</c:v>
                </c:pt>
                <c:pt idx="101">
                  <c:v>0.02</c:v>
                </c:pt>
                <c:pt idx="102">
                  <c:v>0.02</c:v>
                </c:pt>
                <c:pt idx="103">
                  <c:v>0.02</c:v>
                </c:pt>
                <c:pt idx="104">
                  <c:v>0.02</c:v>
                </c:pt>
                <c:pt idx="105">
                  <c:v>0.02</c:v>
                </c:pt>
                <c:pt idx="106">
                  <c:v>0.02</c:v>
                </c:pt>
                <c:pt idx="107">
                  <c:v>0.03</c:v>
                </c:pt>
                <c:pt idx="108">
                  <c:v>0.03</c:v>
                </c:pt>
                <c:pt idx="109">
                  <c:v>0.03</c:v>
                </c:pt>
                <c:pt idx="110">
                  <c:v>0.03</c:v>
                </c:pt>
                <c:pt idx="111">
                  <c:v>0.04</c:v>
                </c:pt>
                <c:pt idx="112">
                  <c:v>0.05</c:v>
                </c:pt>
                <c:pt idx="113">
                  <c:v>0.05</c:v>
                </c:pt>
                <c:pt idx="114">
                  <c:v>0.06</c:v>
                </c:pt>
                <c:pt idx="115">
                  <c:v>7.0000000000000007E-2</c:v>
                </c:pt>
                <c:pt idx="116">
                  <c:v>0.13</c:v>
                </c:pt>
                <c:pt idx="117">
                  <c:v>0.15</c:v>
                </c:pt>
                <c:pt idx="118">
                  <c:v>0.18</c:v>
                </c:pt>
                <c:pt idx="119">
                  <c:v>0.16</c:v>
                </c:pt>
                <c:pt idx="120">
                  <c:v>0.39</c:v>
                </c:pt>
                <c:pt idx="121">
                  <c:v>0.75</c:v>
                </c:pt>
                <c:pt idx="122">
                  <c:v>0.26</c:v>
                </c:pt>
                <c:pt idx="123">
                  <c:v>0.16</c:v>
                </c:pt>
                <c:pt idx="124">
                  <c:v>0.19</c:v>
                </c:pt>
                <c:pt idx="125">
                  <c:v>0.17</c:v>
                </c:pt>
                <c:pt idx="126">
                  <c:v>0.09</c:v>
                </c:pt>
                <c:pt idx="127">
                  <c:v>0.08</c:v>
                </c:pt>
                <c:pt idx="128">
                  <c:v>0.08</c:v>
                </c:pt>
                <c:pt idx="129">
                  <c:v>7.0000000000000007E-2</c:v>
                </c:pt>
                <c:pt idx="130">
                  <c:v>7.0000000000000007E-2</c:v>
                </c:pt>
                <c:pt idx="131">
                  <c:v>0.05</c:v>
                </c:pt>
                <c:pt idx="132">
                  <c:v>0.05</c:v>
                </c:pt>
                <c:pt idx="133">
                  <c:v>0.04</c:v>
                </c:pt>
                <c:pt idx="134">
                  <c:v>0.04</c:v>
                </c:pt>
                <c:pt idx="135">
                  <c:v>0.04</c:v>
                </c:pt>
                <c:pt idx="136">
                  <c:v>0.03</c:v>
                </c:pt>
                <c:pt idx="137">
                  <c:v>0.03</c:v>
                </c:pt>
                <c:pt idx="138">
                  <c:v>0.03</c:v>
                </c:pt>
                <c:pt idx="139">
                  <c:v>0.03</c:v>
                </c:pt>
                <c:pt idx="140">
                  <c:v>0.03</c:v>
                </c:pt>
                <c:pt idx="141">
                  <c:v>0.03</c:v>
                </c:pt>
                <c:pt idx="142">
                  <c:v>0.03</c:v>
                </c:pt>
                <c:pt idx="143">
                  <c:v>0.02</c:v>
                </c:pt>
                <c:pt idx="144">
                  <c:v>0.02</c:v>
                </c:pt>
                <c:pt idx="145">
                  <c:v>0.02</c:v>
                </c:pt>
                <c:pt idx="146">
                  <c:v>0.02</c:v>
                </c:pt>
                <c:pt idx="147">
                  <c:v>0.02</c:v>
                </c:pt>
                <c:pt idx="148">
                  <c:v>0.02</c:v>
                </c:pt>
                <c:pt idx="149">
                  <c:v>0.02</c:v>
                </c:pt>
                <c:pt idx="150">
                  <c:v>0.02</c:v>
                </c:pt>
                <c:pt idx="151">
                  <c:v>0.02</c:v>
                </c:pt>
                <c:pt idx="152">
                  <c:v>0.02</c:v>
                </c:pt>
                <c:pt idx="153">
                  <c:v>0.02</c:v>
                </c:pt>
                <c:pt idx="154">
                  <c:v>0.02</c:v>
                </c:pt>
                <c:pt idx="155">
                  <c:v>0.02</c:v>
                </c:pt>
                <c:pt idx="156">
                  <c:v>0.02</c:v>
                </c:pt>
                <c:pt idx="157">
                  <c:v>0.02</c:v>
                </c:pt>
                <c:pt idx="158">
                  <c:v>0.02</c:v>
                </c:pt>
                <c:pt idx="159">
                  <c:v>0.02</c:v>
                </c:pt>
                <c:pt idx="160">
                  <c:v>0.02</c:v>
                </c:pt>
                <c:pt idx="161">
                  <c:v>0.02</c:v>
                </c:pt>
                <c:pt idx="162">
                  <c:v>0.02</c:v>
                </c:pt>
                <c:pt idx="163">
                  <c:v>0.02</c:v>
                </c:pt>
                <c:pt idx="164">
                  <c:v>0.02</c:v>
                </c:pt>
                <c:pt idx="165">
                  <c:v>0.02</c:v>
                </c:pt>
                <c:pt idx="166">
                  <c:v>0.02</c:v>
                </c:pt>
                <c:pt idx="167">
                  <c:v>0.01</c:v>
                </c:pt>
                <c:pt idx="168">
                  <c:v>0.01</c:v>
                </c:pt>
                <c:pt idx="169">
                  <c:v>0.01</c:v>
                </c:pt>
                <c:pt idx="170">
                  <c:v>0.01</c:v>
                </c:pt>
                <c:pt idx="171">
                  <c:v>0.01</c:v>
                </c:pt>
                <c:pt idx="172">
                  <c:v>0.01</c:v>
                </c:pt>
                <c:pt idx="173">
                  <c:v>0.01</c:v>
                </c:pt>
                <c:pt idx="174">
                  <c:v>0.01</c:v>
                </c:pt>
                <c:pt idx="175">
                  <c:v>0.01</c:v>
                </c:pt>
                <c:pt idx="176">
                  <c:v>0.01</c:v>
                </c:pt>
                <c:pt idx="177">
                  <c:v>0.01</c:v>
                </c:pt>
                <c:pt idx="178">
                  <c:v>0.01</c:v>
                </c:pt>
                <c:pt idx="179">
                  <c:v>0.01</c:v>
                </c:pt>
                <c:pt idx="180">
                  <c:v>0.01</c:v>
                </c:pt>
                <c:pt idx="181">
                  <c:v>0.01</c:v>
                </c:pt>
                <c:pt idx="182">
                  <c:v>0.01</c:v>
                </c:pt>
                <c:pt idx="183">
                  <c:v>0.01</c:v>
                </c:pt>
                <c:pt idx="184">
                  <c:v>0.01</c:v>
                </c:pt>
                <c:pt idx="185">
                  <c:v>0.01</c:v>
                </c:pt>
                <c:pt idx="186">
                  <c:v>0.01</c:v>
                </c:pt>
                <c:pt idx="187">
                  <c:v>0.01</c:v>
                </c:pt>
                <c:pt idx="188">
                  <c:v>0.01</c:v>
                </c:pt>
                <c:pt idx="189">
                  <c:v>0.01</c:v>
                </c:pt>
                <c:pt idx="190">
                  <c:v>0.01</c:v>
                </c:pt>
                <c:pt idx="191">
                  <c:v>0.01</c:v>
                </c:pt>
                <c:pt idx="192">
                  <c:v>0.01</c:v>
                </c:pt>
                <c:pt idx="193">
                  <c:v>0.01</c:v>
                </c:pt>
                <c:pt idx="194">
                  <c:v>0.01</c:v>
                </c:pt>
                <c:pt idx="195">
                  <c:v>0.01</c:v>
                </c:pt>
                <c:pt idx="196">
                  <c:v>0.01</c:v>
                </c:pt>
                <c:pt idx="197">
                  <c:v>0.01</c:v>
                </c:pt>
                <c:pt idx="198">
                  <c:v>0.01</c:v>
                </c:pt>
                <c:pt idx="199">
                  <c:v>0.01</c:v>
                </c:pt>
                <c:pt idx="200">
                  <c:v>0.01</c:v>
                </c:pt>
                <c:pt idx="201">
                  <c:v>0.01</c:v>
                </c:pt>
                <c:pt idx="202">
                  <c:v>0.01</c:v>
                </c:pt>
                <c:pt idx="203">
                  <c:v>0.01</c:v>
                </c:pt>
                <c:pt idx="204">
                  <c:v>0.01</c:v>
                </c:pt>
                <c:pt idx="205">
                  <c:v>0.01</c:v>
                </c:pt>
                <c:pt idx="206">
                  <c:v>0.01</c:v>
                </c:pt>
                <c:pt idx="207">
                  <c:v>0.01</c:v>
                </c:pt>
                <c:pt idx="208">
                  <c:v>0.01</c:v>
                </c:pt>
                <c:pt idx="209">
                  <c:v>0.01</c:v>
                </c:pt>
                <c:pt idx="210">
                  <c:v>0.01</c:v>
                </c:pt>
                <c:pt idx="211">
                  <c:v>0.01</c:v>
                </c:pt>
                <c:pt idx="212">
                  <c:v>0.01</c:v>
                </c:pt>
                <c:pt idx="213">
                  <c:v>0.01</c:v>
                </c:pt>
                <c:pt idx="214">
                  <c:v>0.01</c:v>
                </c:pt>
                <c:pt idx="215">
                  <c:v>0.01</c:v>
                </c:pt>
                <c:pt idx="216">
                  <c:v>0.01</c:v>
                </c:pt>
                <c:pt idx="217">
                  <c:v>0.01</c:v>
                </c:pt>
                <c:pt idx="218">
                  <c:v>0.01</c:v>
                </c:pt>
                <c:pt idx="219">
                  <c:v>0.01</c:v>
                </c:pt>
                <c:pt idx="220">
                  <c:v>0.01</c:v>
                </c:pt>
                <c:pt idx="221">
                  <c:v>0.01</c:v>
                </c:pt>
                <c:pt idx="222">
                  <c:v>0.01</c:v>
                </c:pt>
                <c:pt idx="223">
                  <c:v>0.01</c:v>
                </c:pt>
                <c:pt idx="224">
                  <c:v>0.01</c:v>
                </c:pt>
                <c:pt idx="225">
                  <c:v>0.01</c:v>
                </c:pt>
                <c:pt idx="226">
                  <c:v>0.01</c:v>
                </c:pt>
                <c:pt idx="227">
                  <c:v>0.01</c:v>
                </c:pt>
                <c:pt idx="228">
                  <c:v>0.01</c:v>
                </c:pt>
                <c:pt idx="229">
                  <c:v>0.01</c:v>
                </c:pt>
                <c:pt idx="230">
                  <c:v>0.01</c:v>
                </c:pt>
                <c:pt idx="231">
                  <c:v>0.01</c:v>
                </c:pt>
                <c:pt idx="232">
                  <c:v>0.01</c:v>
                </c:pt>
                <c:pt idx="233">
                  <c:v>0.01</c:v>
                </c:pt>
                <c:pt idx="234">
                  <c:v>0.01</c:v>
                </c:pt>
                <c:pt idx="235">
                  <c:v>0.01</c:v>
                </c:pt>
                <c:pt idx="236">
                  <c:v>0.01</c:v>
                </c:pt>
                <c:pt idx="237">
                  <c:v>0.01</c:v>
                </c:pt>
                <c:pt idx="238">
                  <c:v>0.01</c:v>
                </c:pt>
                <c:pt idx="239">
                  <c:v>0.01</c:v>
                </c:pt>
                <c:pt idx="240">
                  <c:v>0.01</c:v>
                </c:pt>
              </c:numCache>
            </c:numRef>
          </c:yVal>
          <c:smooth val="1"/>
          <c:extLst xmlns:c16r2="http://schemas.microsoft.com/office/drawing/2015/06/chart">
            <c:ext xmlns:c16="http://schemas.microsoft.com/office/drawing/2014/chart" uri="{C3380CC4-5D6E-409C-BE32-E72D297353CC}">
              <c16:uniqueId val="{00000000-74B7-4CC5-B208-17FD530AA5AF}"/>
            </c:ext>
          </c:extLst>
        </c:ser>
        <c:ser>
          <c:idx val="3"/>
          <c:order val="2"/>
          <c:tx>
            <c:v>1 Percent Annual Chance</c:v>
          </c:tx>
          <c:spPr>
            <a:ln>
              <a:solidFill>
                <a:schemeClr val="tx1"/>
              </a:solidFill>
            </a:ln>
          </c:spPr>
          <c:marker>
            <c:symbol val="none"/>
          </c:marker>
          <c:xVal>
            <c:numRef>
              <c:f>Precip_YHD2!$A$3:$A$243</c:f>
              <c:numCache>
                <c:formatCode>h:mm;@</c:formatCode>
                <c:ptCount val="241"/>
                <c:pt idx="0">
                  <c:v>0</c:v>
                </c:pt>
                <c:pt idx="1">
                  <c:v>4.1666666666666666E-3</c:v>
                </c:pt>
                <c:pt idx="2">
                  <c:v>8.3333333333333332E-3</c:v>
                </c:pt>
                <c:pt idx="3">
                  <c:v>1.2499999999999999E-2</c:v>
                </c:pt>
                <c:pt idx="4">
                  <c:v>1.6666666666666666E-2</c:v>
                </c:pt>
                <c:pt idx="5">
                  <c:v>2.0833333333333332E-2</c:v>
                </c:pt>
                <c:pt idx="6">
                  <c:v>2.4999999999999998E-2</c:v>
                </c:pt>
                <c:pt idx="7">
                  <c:v>2.9166666666666664E-2</c:v>
                </c:pt>
                <c:pt idx="8">
                  <c:v>3.3333333333333333E-2</c:v>
                </c:pt>
                <c:pt idx="9">
                  <c:v>3.7499999999999999E-2</c:v>
                </c:pt>
                <c:pt idx="10">
                  <c:v>4.1666666666666664E-2</c:v>
                </c:pt>
                <c:pt idx="11">
                  <c:v>4.5833333333333337E-2</c:v>
                </c:pt>
                <c:pt idx="12">
                  <c:v>4.9999999999999996E-2</c:v>
                </c:pt>
                <c:pt idx="13">
                  <c:v>5.4166666666666669E-2</c:v>
                </c:pt>
                <c:pt idx="14">
                  <c:v>5.8333333333333327E-2</c:v>
                </c:pt>
                <c:pt idx="15">
                  <c:v>6.25E-2</c:v>
                </c:pt>
                <c:pt idx="16">
                  <c:v>6.6666666666666666E-2</c:v>
                </c:pt>
                <c:pt idx="17">
                  <c:v>7.0833333333333331E-2</c:v>
                </c:pt>
                <c:pt idx="18">
                  <c:v>7.4999999999999997E-2</c:v>
                </c:pt>
                <c:pt idx="19">
                  <c:v>7.9166666666666663E-2</c:v>
                </c:pt>
                <c:pt idx="20">
                  <c:v>8.3333333333333329E-2</c:v>
                </c:pt>
                <c:pt idx="21">
                  <c:v>8.7500000000000008E-2</c:v>
                </c:pt>
                <c:pt idx="22">
                  <c:v>9.1666666666666674E-2</c:v>
                </c:pt>
                <c:pt idx="23">
                  <c:v>9.5833333333333326E-2</c:v>
                </c:pt>
                <c:pt idx="24">
                  <c:v>9.9999999999999992E-2</c:v>
                </c:pt>
                <c:pt idx="25">
                  <c:v>0.10416666666666667</c:v>
                </c:pt>
                <c:pt idx="26">
                  <c:v>0.10833333333333334</c:v>
                </c:pt>
                <c:pt idx="27">
                  <c:v>0.1125</c:v>
                </c:pt>
                <c:pt idx="28">
                  <c:v>0.11666666666666665</c:v>
                </c:pt>
                <c:pt idx="29">
                  <c:v>0.12083333333333333</c:v>
                </c:pt>
                <c:pt idx="30">
                  <c:v>0.125</c:v>
                </c:pt>
                <c:pt idx="31">
                  <c:v>0.12916666666666668</c:v>
                </c:pt>
                <c:pt idx="32">
                  <c:v>0.13333333333333333</c:v>
                </c:pt>
                <c:pt idx="33">
                  <c:v>0.13749999999999998</c:v>
                </c:pt>
                <c:pt idx="34">
                  <c:v>0.14166666666666666</c:v>
                </c:pt>
                <c:pt idx="35">
                  <c:v>0.14583333333333334</c:v>
                </c:pt>
                <c:pt idx="36">
                  <c:v>0.15</c:v>
                </c:pt>
                <c:pt idx="37">
                  <c:v>0.15416666666666667</c:v>
                </c:pt>
                <c:pt idx="38">
                  <c:v>0.15833333333333333</c:v>
                </c:pt>
                <c:pt idx="39">
                  <c:v>0.16250000000000001</c:v>
                </c:pt>
                <c:pt idx="40">
                  <c:v>0.16666666666666666</c:v>
                </c:pt>
                <c:pt idx="41">
                  <c:v>0.17083333333333331</c:v>
                </c:pt>
                <c:pt idx="42">
                  <c:v>0.17500000000000002</c:v>
                </c:pt>
                <c:pt idx="43">
                  <c:v>0.17916666666666667</c:v>
                </c:pt>
                <c:pt idx="44">
                  <c:v>0.18333333333333335</c:v>
                </c:pt>
                <c:pt idx="45">
                  <c:v>0.1875</c:v>
                </c:pt>
                <c:pt idx="46">
                  <c:v>0.19166666666666665</c:v>
                </c:pt>
                <c:pt idx="47">
                  <c:v>0.19583333333333333</c:v>
                </c:pt>
                <c:pt idx="48">
                  <c:v>0.19999999999999998</c:v>
                </c:pt>
                <c:pt idx="49">
                  <c:v>0.20416666666666669</c:v>
                </c:pt>
                <c:pt idx="50">
                  <c:v>0.20833333333333334</c:v>
                </c:pt>
                <c:pt idx="51">
                  <c:v>0.21249999999999999</c:v>
                </c:pt>
                <c:pt idx="52">
                  <c:v>0.21666666666666667</c:v>
                </c:pt>
                <c:pt idx="53">
                  <c:v>0.22083333333333333</c:v>
                </c:pt>
                <c:pt idx="54">
                  <c:v>0.22500000000000001</c:v>
                </c:pt>
                <c:pt idx="55">
                  <c:v>0.22916666666666666</c:v>
                </c:pt>
                <c:pt idx="56">
                  <c:v>0.23333333333333331</c:v>
                </c:pt>
                <c:pt idx="57">
                  <c:v>0.23750000000000002</c:v>
                </c:pt>
                <c:pt idx="58">
                  <c:v>0.24166666666666667</c:v>
                </c:pt>
                <c:pt idx="59">
                  <c:v>0.24583333333333335</c:v>
                </c:pt>
                <c:pt idx="60">
                  <c:v>0.25</c:v>
                </c:pt>
                <c:pt idx="61">
                  <c:v>0.25416666666666665</c:v>
                </c:pt>
                <c:pt idx="62">
                  <c:v>0.25833333333333336</c:v>
                </c:pt>
                <c:pt idx="63">
                  <c:v>0.26250000000000001</c:v>
                </c:pt>
                <c:pt idx="64">
                  <c:v>0.26666666666666666</c:v>
                </c:pt>
                <c:pt idx="65">
                  <c:v>0.27083333333333331</c:v>
                </c:pt>
                <c:pt idx="66">
                  <c:v>0.27499999999999997</c:v>
                </c:pt>
                <c:pt idx="67">
                  <c:v>0.27916666666666667</c:v>
                </c:pt>
                <c:pt idx="68">
                  <c:v>0.28333333333333333</c:v>
                </c:pt>
                <c:pt idx="69">
                  <c:v>0.28750000000000003</c:v>
                </c:pt>
                <c:pt idx="70">
                  <c:v>0.29166666666666669</c:v>
                </c:pt>
                <c:pt idx="71">
                  <c:v>0.29583333333333334</c:v>
                </c:pt>
                <c:pt idx="72">
                  <c:v>0.3</c:v>
                </c:pt>
                <c:pt idx="73">
                  <c:v>0.30416666666666664</c:v>
                </c:pt>
                <c:pt idx="74">
                  <c:v>0.30833333333333335</c:v>
                </c:pt>
                <c:pt idx="75">
                  <c:v>0.3125</c:v>
                </c:pt>
                <c:pt idx="76">
                  <c:v>0.31666666666666665</c:v>
                </c:pt>
                <c:pt idx="77">
                  <c:v>0.32083333333333336</c:v>
                </c:pt>
                <c:pt idx="78">
                  <c:v>0.32500000000000001</c:v>
                </c:pt>
                <c:pt idx="79">
                  <c:v>0.32916666666666666</c:v>
                </c:pt>
                <c:pt idx="80">
                  <c:v>0.33333333333333331</c:v>
                </c:pt>
                <c:pt idx="81">
                  <c:v>0.33749999999999997</c:v>
                </c:pt>
                <c:pt idx="82">
                  <c:v>0.34166666666666662</c:v>
                </c:pt>
                <c:pt idx="83">
                  <c:v>0.34583333333333338</c:v>
                </c:pt>
                <c:pt idx="84">
                  <c:v>0.35000000000000003</c:v>
                </c:pt>
                <c:pt idx="85">
                  <c:v>0.35416666666666669</c:v>
                </c:pt>
                <c:pt idx="86">
                  <c:v>0.35833333333333334</c:v>
                </c:pt>
                <c:pt idx="87">
                  <c:v>0.36249999999999999</c:v>
                </c:pt>
                <c:pt idx="88">
                  <c:v>0.3666666666666667</c:v>
                </c:pt>
                <c:pt idx="89">
                  <c:v>0.37083333333333335</c:v>
                </c:pt>
                <c:pt idx="90">
                  <c:v>0.375</c:v>
                </c:pt>
                <c:pt idx="91">
                  <c:v>0.37916666666666665</c:v>
                </c:pt>
                <c:pt idx="92">
                  <c:v>0.3833333333333333</c:v>
                </c:pt>
                <c:pt idx="93">
                  <c:v>0.38750000000000001</c:v>
                </c:pt>
                <c:pt idx="94">
                  <c:v>0.39166666666666666</c:v>
                </c:pt>
                <c:pt idx="95">
                  <c:v>0.39583333333333331</c:v>
                </c:pt>
                <c:pt idx="96">
                  <c:v>0.39999999999999997</c:v>
                </c:pt>
                <c:pt idx="97">
                  <c:v>0.40416666666666662</c:v>
                </c:pt>
                <c:pt idx="98">
                  <c:v>0.40833333333333338</c:v>
                </c:pt>
                <c:pt idx="99">
                  <c:v>0.41250000000000003</c:v>
                </c:pt>
                <c:pt idx="100">
                  <c:v>0.41666666666666669</c:v>
                </c:pt>
                <c:pt idx="101">
                  <c:v>0.42083333333333334</c:v>
                </c:pt>
                <c:pt idx="102">
                  <c:v>0.42499999999999999</c:v>
                </c:pt>
                <c:pt idx="103">
                  <c:v>0.4291666666666667</c:v>
                </c:pt>
                <c:pt idx="104">
                  <c:v>0.43333333333333335</c:v>
                </c:pt>
                <c:pt idx="105">
                  <c:v>0.4375</c:v>
                </c:pt>
                <c:pt idx="106">
                  <c:v>0.44166666666666665</c:v>
                </c:pt>
                <c:pt idx="107">
                  <c:v>0.4458333333333333</c:v>
                </c:pt>
                <c:pt idx="108">
                  <c:v>0.45</c:v>
                </c:pt>
                <c:pt idx="109">
                  <c:v>0.45416666666666666</c:v>
                </c:pt>
                <c:pt idx="110">
                  <c:v>0.45833333333333331</c:v>
                </c:pt>
                <c:pt idx="111">
                  <c:v>0.46249999999999997</c:v>
                </c:pt>
                <c:pt idx="112">
                  <c:v>0.46666666666666662</c:v>
                </c:pt>
                <c:pt idx="113">
                  <c:v>0.47083333333333338</c:v>
                </c:pt>
                <c:pt idx="114">
                  <c:v>0.47500000000000003</c:v>
                </c:pt>
                <c:pt idx="115">
                  <c:v>0.47916666666666669</c:v>
                </c:pt>
                <c:pt idx="116">
                  <c:v>0.48333333333333334</c:v>
                </c:pt>
                <c:pt idx="117">
                  <c:v>0.48749999999999999</c:v>
                </c:pt>
                <c:pt idx="118">
                  <c:v>0.4916666666666667</c:v>
                </c:pt>
                <c:pt idx="119">
                  <c:v>0.49583333333333335</c:v>
                </c:pt>
                <c:pt idx="120">
                  <c:v>0.5</c:v>
                </c:pt>
                <c:pt idx="121">
                  <c:v>0.50416666666666665</c:v>
                </c:pt>
                <c:pt idx="122">
                  <c:v>0.5083333333333333</c:v>
                </c:pt>
                <c:pt idx="123">
                  <c:v>0.51250000000000007</c:v>
                </c:pt>
                <c:pt idx="124">
                  <c:v>0.51666666666666672</c:v>
                </c:pt>
                <c:pt idx="125">
                  <c:v>0.52083333333333337</c:v>
                </c:pt>
                <c:pt idx="126">
                  <c:v>0.52500000000000002</c:v>
                </c:pt>
                <c:pt idx="127">
                  <c:v>0.52916666666666667</c:v>
                </c:pt>
                <c:pt idx="128">
                  <c:v>0.53333333333333333</c:v>
                </c:pt>
                <c:pt idx="129">
                  <c:v>0.53749999999999998</c:v>
                </c:pt>
                <c:pt idx="130">
                  <c:v>0.54166666666666663</c:v>
                </c:pt>
                <c:pt idx="131">
                  <c:v>0.54583333333333328</c:v>
                </c:pt>
                <c:pt idx="132">
                  <c:v>0.54999999999999993</c:v>
                </c:pt>
                <c:pt idx="133">
                  <c:v>0.5541666666666667</c:v>
                </c:pt>
                <c:pt idx="134">
                  <c:v>0.55833333333333335</c:v>
                </c:pt>
                <c:pt idx="135">
                  <c:v>0.5625</c:v>
                </c:pt>
                <c:pt idx="136">
                  <c:v>0.56666666666666665</c:v>
                </c:pt>
                <c:pt idx="137">
                  <c:v>0.5708333333333333</c:v>
                </c:pt>
                <c:pt idx="138">
                  <c:v>0.57500000000000007</c:v>
                </c:pt>
                <c:pt idx="139">
                  <c:v>0.57916666666666672</c:v>
                </c:pt>
                <c:pt idx="140">
                  <c:v>0.58333333333333337</c:v>
                </c:pt>
                <c:pt idx="141">
                  <c:v>0.58750000000000002</c:v>
                </c:pt>
                <c:pt idx="142">
                  <c:v>0.59166666666666667</c:v>
                </c:pt>
                <c:pt idx="143">
                  <c:v>0.59583333333333333</c:v>
                </c:pt>
                <c:pt idx="144">
                  <c:v>0.6</c:v>
                </c:pt>
                <c:pt idx="145">
                  <c:v>0.60416666666666663</c:v>
                </c:pt>
                <c:pt idx="146">
                  <c:v>0.60833333333333328</c:v>
                </c:pt>
                <c:pt idx="147">
                  <c:v>0.61249999999999993</c:v>
                </c:pt>
                <c:pt idx="148">
                  <c:v>0.6166666666666667</c:v>
                </c:pt>
                <c:pt idx="149">
                  <c:v>0.62083333333333335</c:v>
                </c:pt>
                <c:pt idx="150">
                  <c:v>0.625</c:v>
                </c:pt>
                <c:pt idx="151">
                  <c:v>0.62916666666666665</c:v>
                </c:pt>
                <c:pt idx="152">
                  <c:v>0.6333333333333333</c:v>
                </c:pt>
                <c:pt idx="153">
                  <c:v>0.63750000000000007</c:v>
                </c:pt>
                <c:pt idx="154">
                  <c:v>0.64166666666666672</c:v>
                </c:pt>
                <c:pt idx="155">
                  <c:v>0.64583333333333337</c:v>
                </c:pt>
                <c:pt idx="156">
                  <c:v>0.65</c:v>
                </c:pt>
                <c:pt idx="157">
                  <c:v>0.65416666666666667</c:v>
                </c:pt>
                <c:pt idx="158">
                  <c:v>0.65833333333333333</c:v>
                </c:pt>
                <c:pt idx="159">
                  <c:v>0.66249999999999998</c:v>
                </c:pt>
                <c:pt idx="160">
                  <c:v>0.66666666666666663</c:v>
                </c:pt>
                <c:pt idx="161">
                  <c:v>0.67083333333333339</c:v>
                </c:pt>
                <c:pt idx="162">
                  <c:v>0.67499999999999993</c:v>
                </c:pt>
                <c:pt idx="163">
                  <c:v>0.6791666666666667</c:v>
                </c:pt>
                <c:pt idx="164">
                  <c:v>0.68333333333333324</c:v>
                </c:pt>
                <c:pt idx="165">
                  <c:v>0.6875</c:v>
                </c:pt>
                <c:pt idx="166">
                  <c:v>0.69166666666666676</c:v>
                </c:pt>
                <c:pt idx="167">
                  <c:v>0.6958333333333333</c:v>
                </c:pt>
                <c:pt idx="168">
                  <c:v>0.70000000000000007</c:v>
                </c:pt>
                <c:pt idx="169">
                  <c:v>0.70416666666666661</c:v>
                </c:pt>
                <c:pt idx="170">
                  <c:v>0.70833333333333337</c:v>
                </c:pt>
                <c:pt idx="171">
                  <c:v>0.71250000000000002</c:v>
                </c:pt>
                <c:pt idx="172">
                  <c:v>0.71666666666666667</c:v>
                </c:pt>
                <c:pt idx="173">
                  <c:v>0.72083333333333333</c:v>
                </c:pt>
                <c:pt idx="174">
                  <c:v>0.72499999999999998</c:v>
                </c:pt>
                <c:pt idx="175">
                  <c:v>0.72916666666666663</c:v>
                </c:pt>
                <c:pt idx="176">
                  <c:v>0.73333333333333339</c:v>
                </c:pt>
                <c:pt idx="177">
                  <c:v>0.73749999999999993</c:v>
                </c:pt>
                <c:pt idx="178">
                  <c:v>0.7416666666666667</c:v>
                </c:pt>
                <c:pt idx="179">
                  <c:v>0.74583333333333324</c:v>
                </c:pt>
                <c:pt idx="180">
                  <c:v>0.75</c:v>
                </c:pt>
                <c:pt idx="181">
                  <c:v>0.75416666666666676</c:v>
                </c:pt>
                <c:pt idx="182">
                  <c:v>0.7583333333333333</c:v>
                </c:pt>
                <c:pt idx="183">
                  <c:v>0.76250000000000007</c:v>
                </c:pt>
                <c:pt idx="184">
                  <c:v>0.76666666666666661</c:v>
                </c:pt>
                <c:pt idx="185">
                  <c:v>0.77083333333333337</c:v>
                </c:pt>
                <c:pt idx="186">
                  <c:v>0.77500000000000002</c:v>
                </c:pt>
                <c:pt idx="187">
                  <c:v>0.77916666666666667</c:v>
                </c:pt>
                <c:pt idx="188">
                  <c:v>0.78333333333333333</c:v>
                </c:pt>
                <c:pt idx="189">
                  <c:v>0.78749999999999998</c:v>
                </c:pt>
                <c:pt idx="190">
                  <c:v>0.79166666666666663</c:v>
                </c:pt>
                <c:pt idx="191">
                  <c:v>0.79583333333333339</c:v>
                </c:pt>
                <c:pt idx="192">
                  <c:v>0.79999999999999993</c:v>
                </c:pt>
                <c:pt idx="193">
                  <c:v>0.8041666666666667</c:v>
                </c:pt>
                <c:pt idx="194">
                  <c:v>0.80833333333333324</c:v>
                </c:pt>
                <c:pt idx="195">
                  <c:v>0.8125</c:v>
                </c:pt>
                <c:pt idx="196">
                  <c:v>0.81666666666666676</c:v>
                </c:pt>
                <c:pt idx="197">
                  <c:v>0.8208333333333333</c:v>
                </c:pt>
                <c:pt idx="198">
                  <c:v>0.82500000000000007</c:v>
                </c:pt>
                <c:pt idx="199">
                  <c:v>0.82916666666666661</c:v>
                </c:pt>
                <c:pt idx="200">
                  <c:v>0.83333333333333337</c:v>
                </c:pt>
                <c:pt idx="201">
                  <c:v>0.83750000000000002</c:v>
                </c:pt>
                <c:pt idx="202">
                  <c:v>0.84166666666666667</c:v>
                </c:pt>
                <c:pt idx="203">
                  <c:v>0.84583333333333333</c:v>
                </c:pt>
                <c:pt idx="204">
                  <c:v>0.85</c:v>
                </c:pt>
                <c:pt idx="205">
                  <c:v>0.85416666666666663</c:v>
                </c:pt>
                <c:pt idx="206">
                  <c:v>0.85833333333333339</c:v>
                </c:pt>
                <c:pt idx="207">
                  <c:v>0.86249999999999993</c:v>
                </c:pt>
                <c:pt idx="208">
                  <c:v>0.8666666666666667</c:v>
                </c:pt>
                <c:pt idx="209">
                  <c:v>0.87083333333333324</c:v>
                </c:pt>
                <c:pt idx="210">
                  <c:v>0.875</c:v>
                </c:pt>
                <c:pt idx="211">
                  <c:v>0.87916666666666676</c:v>
                </c:pt>
                <c:pt idx="212">
                  <c:v>0.8833333333333333</c:v>
                </c:pt>
                <c:pt idx="213">
                  <c:v>0.88750000000000007</c:v>
                </c:pt>
                <c:pt idx="214">
                  <c:v>0.89166666666666661</c:v>
                </c:pt>
                <c:pt idx="215">
                  <c:v>0.89583333333333337</c:v>
                </c:pt>
                <c:pt idx="216">
                  <c:v>0.9</c:v>
                </c:pt>
                <c:pt idx="217">
                  <c:v>0.90416666666666667</c:v>
                </c:pt>
                <c:pt idx="218">
                  <c:v>0.90833333333333333</c:v>
                </c:pt>
                <c:pt idx="219">
                  <c:v>0.91249999999999998</c:v>
                </c:pt>
                <c:pt idx="220">
                  <c:v>0.91666666666666663</c:v>
                </c:pt>
                <c:pt idx="221">
                  <c:v>0.92083333333333339</c:v>
                </c:pt>
                <c:pt idx="222">
                  <c:v>0.92499999999999993</c:v>
                </c:pt>
                <c:pt idx="223">
                  <c:v>0.9291666666666667</c:v>
                </c:pt>
                <c:pt idx="224">
                  <c:v>0.93333333333333324</c:v>
                </c:pt>
                <c:pt idx="225">
                  <c:v>0.9375</c:v>
                </c:pt>
                <c:pt idx="226">
                  <c:v>0.94166666666666676</c:v>
                </c:pt>
                <c:pt idx="227">
                  <c:v>0.9458333333333333</c:v>
                </c:pt>
                <c:pt idx="228">
                  <c:v>0.95000000000000007</c:v>
                </c:pt>
                <c:pt idx="229">
                  <c:v>0.95416666666666661</c:v>
                </c:pt>
                <c:pt idx="230">
                  <c:v>0.95833333333333337</c:v>
                </c:pt>
                <c:pt idx="231">
                  <c:v>0.96250000000000002</c:v>
                </c:pt>
                <c:pt idx="232">
                  <c:v>0.96666666666666667</c:v>
                </c:pt>
                <c:pt idx="233">
                  <c:v>0.97083333333333333</c:v>
                </c:pt>
                <c:pt idx="234">
                  <c:v>0.97499999999999998</c:v>
                </c:pt>
                <c:pt idx="235">
                  <c:v>0.97916666666666663</c:v>
                </c:pt>
                <c:pt idx="236">
                  <c:v>0.98333333333333339</c:v>
                </c:pt>
                <c:pt idx="237">
                  <c:v>0.98749999999999993</c:v>
                </c:pt>
                <c:pt idx="238">
                  <c:v>0.9916666666666667</c:v>
                </c:pt>
                <c:pt idx="239">
                  <c:v>0.99583333333333324</c:v>
                </c:pt>
                <c:pt idx="240">
                  <c:v>1</c:v>
                </c:pt>
              </c:numCache>
            </c:numRef>
          </c:xVal>
          <c:yVal>
            <c:numRef>
              <c:f>Precip_YHD2!$E$3:$E$243</c:f>
              <c:numCache>
                <c:formatCode>General</c:formatCode>
                <c:ptCount val="241"/>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c:v>
                </c:pt>
                <c:pt idx="76">
                  <c:v>0</c:v>
                </c:pt>
                <c:pt idx="77">
                  <c:v>0</c:v>
                </c:pt>
                <c:pt idx="78">
                  <c:v>0</c:v>
                </c:pt>
                <c:pt idx="79">
                  <c:v>0</c:v>
                </c:pt>
                <c:pt idx="80">
                  <c:v>0</c:v>
                </c:pt>
                <c:pt idx="81">
                  <c:v>0</c:v>
                </c:pt>
                <c:pt idx="82">
                  <c:v>0</c:v>
                </c:pt>
                <c:pt idx="83">
                  <c:v>0</c:v>
                </c:pt>
                <c:pt idx="84">
                  <c:v>0</c:v>
                </c:pt>
                <c:pt idx="85">
                  <c:v>0</c:v>
                </c:pt>
                <c:pt idx="86">
                  <c:v>0</c:v>
                </c:pt>
                <c:pt idx="87">
                  <c:v>0</c:v>
                </c:pt>
                <c:pt idx="88">
                  <c:v>0</c:v>
                </c:pt>
                <c:pt idx="89">
                  <c:v>0</c:v>
                </c:pt>
                <c:pt idx="90">
                  <c:v>0</c:v>
                </c:pt>
                <c:pt idx="91">
                  <c:v>0</c:v>
                </c:pt>
                <c:pt idx="92">
                  <c:v>0.01</c:v>
                </c:pt>
                <c:pt idx="93">
                  <c:v>0.01</c:v>
                </c:pt>
                <c:pt idx="94">
                  <c:v>0.01</c:v>
                </c:pt>
                <c:pt idx="95">
                  <c:v>0.01</c:v>
                </c:pt>
                <c:pt idx="96">
                  <c:v>0.01</c:v>
                </c:pt>
                <c:pt idx="97">
                  <c:v>0.01</c:v>
                </c:pt>
                <c:pt idx="98">
                  <c:v>0.01</c:v>
                </c:pt>
                <c:pt idx="99">
                  <c:v>0.01</c:v>
                </c:pt>
                <c:pt idx="100">
                  <c:v>0.01</c:v>
                </c:pt>
                <c:pt idx="101">
                  <c:v>0.01</c:v>
                </c:pt>
                <c:pt idx="102">
                  <c:v>0.01</c:v>
                </c:pt>
                <c:pt idx="103">
                  <c:v>0.01</c:v>
                </c:pt>
                <c:pt idx="104">
                  <c:v>0.01</c:v>
                </c:pt>
                <c:pt idx="105">
                  <c:v>0.01</c:v>
                </c:pt>
                <c:pt idx="106">
                  <c:v>0.01</c:v>
                </c:pt>
                <c:pt idx="107">
                  <c:v>0.02</c:v>
                </c:pt>
                <c:pt idx="108">
                  <c:v>0.02</c:v>
                </c:pt>
                <c:pt idx="109">
                  <c:v>0.02</c:v>
                </c:pt>
                <c:pt idx="110">
                  <c:v>0.02</c:v>
                </c:pt>
                <c:pt idx="111">
                  <c:v>0.03</c:v>
                </c:pt>
                <c:pt idx="112">
                  <c:v>0.03</c:v>
                </c:pt>
                <c:pt idx="113">
                  <c:v>0.04</c:v>
                </c:pt>
                <c:pt idx="114">
                  <c:v>0.04</c:v>
                </c:pt>
                <c:pt idx="115">
                  <c:v>0.05</c:v>
                </c:pt>
                <c:pt idx="116">
                  <c:v>0.09</c:v>
                </c:pt>
                <c:pt idx="117">
                  <c:v>0.1</c:v>
                </c:pt>
                <c:pt idx="118">
                  <c:v>0.12</c:v>
                </c:pt>
                <c:pt idx="119">
                  <c:v>0.11</c:v>
                </c:pt>
                <c:pt idx="120">
                  <c:v>0.27</c:v>
                </c:pt>
                <c:pt idx="121">
                  <c:v>0.52</c:v>
                </c:pt>
                <c:pt idx="122">
                  <c:v>0.19</c:v>
                </c:pt>
                <c:pt idx="123">
                  <c:v>0.11</c:v>
                </c:pt>
                <c:pt idx="124">
                  <c:v>0.14000000000000001</c:v>
                </c:pt>
                <c:pt idx="125">
                  <c:v>0.13</c:v>
                </c:pt>
                <c:pt idx="126">
                  <c:v>7.0000000000000007E-2</c:v>
                </c:pt>
                <c:pt idx="127">
                  <c:v>0.06</c:v>
                </c:pt>
                <c:pt idx="128">
                  <c:v>0.06</c:v>
                </c:pt>
                <c:pt idx="129">
                  <c:v>0.05</c:v>
                </c:pt>
                <c:pt idx="130">
                  <c:v>0.05</c:v>
                </c:pt>
                <c:pt idx="131">
                  <c:v>0.04</c:v>
                </c:pt>
                <c:pt idx="132">
                  <c:v>0.03</c:v>
                </c:pt>
                <c:pt idx="133">
                  <c:v>0.03</c:v>
                </c:pt>
                <c:pt idx="134">
                  <c:v>0.03</c:v>
                </c:pt>
                <c:pt idx="135">
                  <c:v>0.03</c:v>
                </c:pt>
                <c:pt idx="136">
                  <c:v>0.02</c:v>
                </c:pt>
                <c:pt idx="137">
                  <c:v>0.02</c:v>
                </c:pt>
                <c:pt idx="138">
                  <c:v>0.02</c:v>
                </c:pt>
                <c:pt idx="139">
                  <c:v>0.02</c:v>
                </c:pt>
                <c:pt idx="140">
                  <c:v>0.02</c:v>
                </c:pt>
                <c:pt idx="141">
                  <c:v>0.02</c:v>
                </c:pt>
                <c:pt idx="142">
                  <c:v>0.02</c:v>
                </c:pt>
                <c:pt idx="143">
                  <c:v>0.02</c:v>
                </c:pt>
                <c:pt idx="144">
                  <c:v>0.02</c:v>
                </c:pt>
                <c:pt idx="145">
                  <c:v>0.02</c:v>
                </c:pt>
                <c:pt idx="146">
                  <c:v>0.02</c:v>
                </c:pt>
                <c:pt idx="147">
                  <c:v>0.02</c:v>
                </c:pt>
                <c:pt idx="148">
                  <c:v>0.02</c:v>
                </c:pt>
                <c:pt idx="149">
                  <c:v>0.01</c:v>
                </c:pt>
                <c:pt idx="150">
                  <c:v>0.01</c:v>
                </c:pt>
                <c:pt idx="151">
                  <c:v>0.01</c:v>
                </c:pt>
                <c:pt idx="152">
                  <c:v>0.01</c:v>
                </c:pt>
                <c:pt idx="153">
                  <c:v>0.01</c:v>
                </c:pt>
                <c:pt idx="154">
                  <c:v>0.01</c:v>
                </c:pt>
                <c:pt idx="155">
                  <c:v>0.01</c:v>
                </c:pt>
                <c:pt idx="156">
                  <c:v>0.01</c:v>
                </c:pt>
                <c:pt idx="157">
                  <c:v>0.01</c:v>
                </c:pt>
                <c:pt idx="158">
                  <c:v>0.01</c:v>
                </c:pt>
                <c:pt idx="159">
                  <c:v>0.01</c:v>
                </c:pt>
                <c:pt idx="160">
                  <c:v>0.01</c:v>
                </c:pt>
                <c:pt idx="161">
                  <c:v>0.01</c:v>
                </c:pt>
                <c:pt idx="162">
                  <c:v>0.01</c:v>
                </c:pt>
                <c:pt idx="163">
                  <c:v>0.01</c:v>
                </c:pt>
                <c:pt idx="164">
                  <c:v>0.01</c:v>
                </c:pt>
                <c:pt idx="165">
                  <c:v>0.01</c:v>
                </c:pt>
                <c:pt idx="166">
                  <c:v>0.01</c:v>
                </c:pt>
                <c:pt idx="167">
                  <c:v>0.01</c:v>
                </c:pt>
                <c:pt idx="168">
                  <c:v>0.01</c:v>
                </c:pt>
                <c:pt idx="169">
                  <c:v>0.01</c:v>
                </c:pt>
                <c:pt idx="170">
                  <c:v>0.01</c:v>
                </c:pt>
                <c:pt idx="171">
                  <c:v>0.01</c:v>
                </c:pt>
                <c:pt idx="172">
                  <c:v>0.01</c:v>
                </c:pt>
                <c:pt idx="173">
                  <c:v>0.01</c:v>
                </c:pt>
                <c:pt idx="174">
                  <c:v>0.01</c:v>
                </c:pt>
                <c:pt idx="175">
                  <c:v>0.01</c:v>
                </c:pt>
                <c:pt idx="176">
                  <c:v>0.01</c:v>
                </c:pt>
                <c:pt idx="177">
                  <c:v>0.01</c:v>
                </c:pt>
                <c:pt idx="178">
                  <c:v>0.01</c:v>
                </c:pt>
                <c:pt idx="179">
                  <c:v>0.01</c:v>
                </c:pt>
                <c:pt idx="180">
                  <c:v>0.01</c:v>
                </c:pt>
                <c:pt idx="181">
                  <c:v>0.01</c:v>
                </c:pt>
                <c:pt idx="182">
                  <c:v>0.01</c:v>
                </c:pt>
                <c:pt idx="183">
                  <c:v>0.01</c:v>
                </c:pt>
                <c:pt idx="184">
                  <c:v>0.01</c:v>
                </c:pt>
                <c:pt idx="185">
                  <c:v>0.01</c:v>
                </c:pt>
                <c:pt idx="186">
                  <c:v>0.01</c:v>
                </c:pt>
                <c:pt idx="187">
                  <c:v>0.01</c:v>
                </c:pt>
                <c:pt idx="188">
                  <c:v>0.01</c:v>
                </c:pt>
                <c:pt idx="189">
                  <c:v>0.01</c:v>
                </c:pt>
                <c:pt idx="190">
                  <c:v>0.01</c:v>
                </c:pt>
                <c:pt idx="191">
                  <c:v>0.01</c:v>
                </c:pt>
                <c:pt idx="192">
                  <c:v>0.01</c:v>
                </c:pt>
                <c:pt idx="193">
                  <c:v>0.01</c:v>
                </c:pt>
                <c:pt idx="194">
                  <c:v>0.01</c:v>
                </c:pt>
                <c:pt idx="195">
                  <c:v>0.01</c:v>
                </c:pt>
                <c:pt idx="196">
                  <c:v>0.01</c:v>
                </c:pt>
                <c:pt idx="197">
                  <c:v>0.01</c:v>
                </c:pt>
                <c:pt idx="198">
                  <c:v>0.01</c:v>
                </c:pt>
                <c:pt idx="199">
                  <c:v>0.01</c:v>
                </c:pt>
                <c:pt idx="200">
                  <c:v>0.01</c:v>
                </c:pt>
                <c:pt idx="201">
                  <c:v>0.01</c:v>
                </c:pt>
                <c:pt idx="202">
                  <c:v>0.01</c:v>
                </c:pt>
                <c:pt idx="203">
                  <c:v>0.01</c:v>
                </c:pt>
                <c:pt idx="204">
                  <c:v>0.01</c:v>
                </c:pt>
                <c:pt idx="205">
                  <c:v>0.01</c:v>
                </c:pt>
                <c:pt idx="206">
                  <c:v>0.01</c:v>
                </c:pt>
                <c:pt idx="207">
                  <c:v>0.01</c:v>
                </c:pt>
                <c:pt idx="208">
                  <c:v>0.01</c:v>
                </c:pt>
                <c:pt idx="209">
                  <c:v>0.01</c:v>
                </c:pt>
                <c:pt idx="210">
                  <c:v>0.01</c:v>
                </c:pt>
                <c:pt idx="211">
                  <c:v>0.01</c:v>
                </c:pt>
                <c:pt idx="212">
                  <c:v>0.01</c:v>
                </c:pt>
                <c:pt idx="213">
                  <c:v>0.01</c:v>
                </c:pt>
                <c:pt idx="214">
                  <c:v>0.01</c:v>
                </c:pt>
                <c:pt idx="215">
                  <c:v>0.01</c:v>
                </c:pt>
                <c:pt idx="216">
                  <c:v>0.01</c:v>
                </c:pt>
                <c:pt idx="217">
                  <c:v>0.01</c:v>
                </c:pt>
                <c:pt idx="218">
                  <c:v>0.01</c:v>
                </c:pt>
                <c:pt idx="219">
                  <c:v>0.01</c:v>
                </c:pt>
                <c:pt idx="220">
                  <c:v>0.01</c:v>
                </c:pt>
                <c:pt idx="221">
                  <c:v>0.01</c:v>
                </c:pt>
                <c:pt idx="222">
                  <c:v>0.01</c:v>
                </c:pt>
                <c:pt idx="223">
                  <c:v>0.01</c:v>
                </c:pt>
                <c:pt idx="224">
                  <c:v>0.01</c:v>
                </c:pt>
                <c:pt idx="225">
                  <c:v>0.01</c:v>
                </c:pt>
                <c:pt idx="226">
                  <c:v>0.01</c:v>
                </c:pt>
                <c:pt idx="227">
                  <c:v>0.01</c:v>
                </c:pt>
                <c:pt idx="228">
                  <c:v>0.01</c:v>
                </c:pt>
                <c:pt idx="229">
                  <c:v>0.01</c:v>
                </c:pt>
                <c:pt idx="230">
                  <c:v>0.01</c:v>
                </c:pt>
                <c:pt idx="231">
                  <c:v>0.01</c:v>
                </c:pt>
                <c:pt idx="232">
                  <c:v>0.01</c:v>
                </c:pt>
                <c:pt idx="233">
                  <c:v>0.01</c:v>
                </c:pt>
                <c:pt idx="234">
                  <c:v>0.01</c:v>
                </c:pt>
                <c:pt idx="235">
                  <c:v>0.01</c:v>
                </c:pt>
                <c:pt idx="236">
                  <c:v>0.01</c:v>
                </c:pt>
                <c:pt idx="237">
                  <c:v>0.01</c:v>
                </c:pt>
                <c:pt idx="238">
                  <c:v>0.01</c:v>
                </c:pt>
                <c:pt idx="239">
                  <c:v>0.01</c:v>
                </c:pt>
                <c:pt idx="240">
                  <c:v>0.01</c:v>
                </c:pt>
              </c:numCache>
            </c:numRef>
          </c:yVal>
          <c:smooth val="1"/>
          <c:extLst xmlns:c16r2="http://schemas.microsoft.com/office/drawing/2015/06/chart">
            <c:ext xmlns:c16="http://schemas.microsoft.com/office/drawing/2014/chart" uri="{C3380CC4-5D6E-409C-BE32-E72D297353CC}">
              <c16:uniqueId val="{00000001-74B7-4CC5-B208-17FD530AA5AF}"/>
            </c:ext>
          </c:extLst>
        </c:ser>
        <c:ser>
          <c:idx val="2"/>
          <c:order val="3"/>
          <c:tx>
            <c:v>2 Percent Annual Chance</c:v>
          </c:tx>
          <c:spPr>
            <a:ln>
              <a:solidFill>
                <a:schemeClr val="tx2">
                  <a:lumMod val="60000"/>
                  <a:lumOff val="40000"/>
                </a:schemeClr>
              </a:solidFill>
            </a:ln>
          </c:spPr>
          <c:marker>
            <c:symbol val="none"/>
          </c:marker>
          <c:xVal>
            <c:numRef>
              <c:f>Precip_YHD2!$A$3:$A$243</c:f>
              <c:numCache>
                <c:formatCode>h:mm;@</c:formatCode>
                <c:ptCount val="241"/>
                <c:pt idx="0">
                  <c:v>0</c:v>
                </c:pt>
                <c:pt idx="1">
                  <c:v>4.1666666666666666E-3</c:v>
                </c:pt>
                <c:pt idx="2">
                  <c:v>8.3333333333333332E-3</c:v>
                </c:pt>
                <c:pt idx="3">
                  <c:v>1.2499999999999999E-2</c:v>
                </c:pt>
                <c:pt idx="4">
                  <c:v>1.6666666666666666E-2</c:v>
                </c:pt>
                <c:pt idx="5">
                  <c:v>2.0833333333333332E-2</c:v>
                </c:pt>
                <c:pt idx="6">
                  <c:v>2.4999999999999998E-2</c:v>
                </c:pt>
                <c:pt idx="7">
                  <c:v>2.9166666666666664E-2</c:v>
                </c:pt>
                <c:pt idx="8">
                  <c:v>3.3333333333333333E-2</c:v>
                </c:pt>
                <c:pt idx="9">
                  <c:v>3.7499999999999999E-2</c:v>
                </c:pt>
                <c:pt idx="10">
                  <c:v>4.1666666666666664E-2</c:v>
                </c:pt>
                <c:pt idx="11">
                  <c:v>4.5833333333333337E-2</c:v>
                </c:pt>
                <c:pt idx="12">
                  <c:v>4.9999999999999996E-2</c:v>
                </c:pt>
                <c:pt idx="13">
                  <c:v>5.4166666666666669E-2</c:v>
                </c:pt>
                <c:pt idx="14">
                  <c:v>5.8333333333333327E-2</c:v>
                </c:pt>
                <c:pt idx="15">
                  <c:v>6.25E-2</c:v>
                </c:pt>
                <c:pt idx="16">
                  <c:v>6.6666666666666666E-2</c:v>
                </c:pt>
                <c:pt idx="17">
                  <c:v>7.0833333333333331E-2</c:v>
                </c:pt>
                <c:pt idx="18">
                  <c:v>7.4999999999999997E-2</c:v>
                </c:pt>
                <c:pt idx="19">
                  <c:v>7.9166666666666663E-2</c:v>
                </c:pt>
                <c:pt idx="20">
                  <c:v>8.3333333333333329E-2</c:v>
                </c:pt>
                <c:pt idx="21">
                  <c:v>8.7500000000000008E-2</c:v>
                </c:pt>
                <c:pt idx="22">
                  <c:v>9.1666666666666674E-2</c:v>
                </c:pt>
                <c:pt idx="23">
                  <c:v>9.5833333333333326E-2</c:v>
                </c:pt>
                <c:pt idx="24">
                  <c:v>9.9999999999999992E-2</c:v>
                </c:pt>
                <c:pt idx="25">
                  <c:v>0.10416666666666667</c:v>
                </c:pt>
                <c:pt idx="26">
                  <c:v>0.10833333333333334</c:v>
                </c:pt>
                <c:pt idx="27">
                  <c:v>0.1125</c:v>
                </c:pt>
                <c:pt idx="28">
                  <c:v>0.11666666666666665</c:v>
                </c:pt>
                <c:pt idx="29">
                  <c:v>0.12083333333333333</c:v>
                </c:pt>
                <c:pt idx="30">
                  <c:v>0.125</c:v>
                </c:pt>
                <c:pt idx="31">
                  <c:v>0.12916666666666668</c:v>
                </c:pt>
                <c:pt idx="32">
                  <c:v>0.13333333333333333</c:v>
                </c:pt>
                <c:pt idx="33">
                  <c:v>0.13749999999999998</c:v>
                </c:pt>
                <c:pt idx="34">
                  <c:v>0.14166666666666666</c:v>
                </c:pt>
                <c:pt idx="35">
                  <c:v>0.14583333333333334</c:v>
                </c:pt>
                <c:pt idx="36">
                  <c:v>0.15</c:v>
                </c:pt>
                <c:pt idx="37">
                  <c:v>0.15416666666666667</c:v>
                </c:pt>
                <c:pt idx="38">
                  <c:v>0.15833333333333333</c:v>
                </c:pt>
                <c:pt idx="39">
                  <c:v>0.16250000000000001</c:v>
                </c:pt>
                <c:pt idx="40">
                  <c:v>0.16666666666666666</c:v>
                </c:pt>
                <c:pt idx="41">
                  <c:v>0.17083333333333331</c:v>
                </c:pt>
                <c:pt idx="42">
                  <c:v>0.17500000000000002</c:v>
                </c:pt>
                <c:pt idx="43">
                  <c:v>0.17916666666666667</c:v>
                </c:pt>
                <c:pt idx="44">
                  <c:v>0.18333333333333335</c:v>
                </c:pt>
                <c:pt idx="45">
                  <c:v>0.1875</c:v>
                </c:pt>
                <c:pt idx="46">
                  <c:v>0.19166666666666665</c:v>
                </c:pt>
                <c:pt idx="47">
                  <c:v>0.19583333333333333</c:v>
                </c:pt>
                <c:pt idx="48">
                  <c:v>0.19999999999999998</c:v>
                </c:pt>
                <c:pt idx="49">
                  <c:v>0.20416666666666669</c:v>
                </c:pt>
                <c:pt idx="50">
                  <c:v>0.20833333333333334</c:v>
                </c:pt>
                <c:pt idx="51">
                  <c:v>0.21249999999999999</c:v>
                </c:pt>
                <c:pt idx="52">
                  <c:v>0.21666666666666667</c:v>
                </c:pt>
                <c:pt idx="53">
                  <c:v>0.22083333333333333</c:v>
                </c:pt>
                <c:pt idx="54">
                  <c:v>0.22500000000000001</c:v>
                </c:pt>
                <c:pt idx="55">
                  <c:v>0.22916666666666666</c:v>
                </c:pt>
                <c:pt idx="56">
                  <c:v>0.23333333333333331</c:v>
                </c:pt>
                <c:pt idx="57">
                  <c:v>0.23750000000000002</c:v>
                </c:pt>
                <c:pt idx="58">
                  <c:v>0.24166666666666667</c:v>
                </c:pt>
                <c:pt idx="59">
                  <c:v>0.24583333333333335</c:v>
                </c:pt>
                <c:pt idx="60">
                  <c:v>0.25</c:v>
                </c:pt>
                <c:pt idx="61">
                  <c:v>0.25416666666666665</c:v>
                </c:pt>
                <c:pt idx="62">
                  <c:v>0.25833333333333336</c:v>
                </c:pt>
                <c:pt idx="63">
                  <c:v>0.26250000000000001</c:v>
                </c:pt>
                <c:pt idx="64">
                  <c:v>0.26666666666666666</c:v>
                </c:pt>
                <c:pt idx="65">
                  <c:v>0.27083333333333331</c:v>
                </c:pt>
                <c:pt idx="66">
                  <c:v>0.27499999999999997</c:v>
                </c:pt>
                <c:pt idx="67">
                  <c:v>0.27916666666666667</c:v>
                </c:pt>
                <c:pt idx="68">
                  <c:v>0.28333333333333333</c:v>
                </c:pt>
                <c:pt idx="69">
                  <c:v>0.28750000000000003</c:v>
                </c:pt>
                <c:pt idx="70">
                  <c:v>0.29166666666666669</c:v>
                </c:pt>
                <c:pt idx="71">
                  <c:v>0.29583333333333334</c:v>
                </c:pt>
                <c:pt idx="72">
                  <c:v>0.3</c:v>
                </c:pt>
                <c:pt idx="73">
                  <c:v>0.30416666666666664</c:v>
                </c:pt>
                <c:pt idx="74">
                  <c:v>0.30833333333333335</c:v>
                </c:pt>
                <c:pt idx="75">
                  <c:v>0.3125</c:v>
                </c:pt>
                <c:pt idx="76">
                  <c:v>0.31666666666666665</c:v>
                </c:pt>
                <c:pt idx="77">
                  <c:v>0.32083333333333336</c:v>
                </c:pt>
                <c:pt idx="78">
                  <c:v>0.32500000000000001</c:v>
                </c:pt>
                <c:pt idx="79">
                  <c:v>0.32916666666666666</c:v>
                </c:pt>
                <c:pt idx="80">
                  <c:v>0.33333333333333331</c:v>
                </c:pt>
                <c:pt idx="81">
                  <c:v>0.33749999999999997</c:v>
                </c:pt>
                <c:pt idx="82">
                  <c:v>0.34166666666666662</c:v>
                </c:pt>
                <c:pt idx="83">
                  <c:v>0.34583333333333338</c:v>
                </c:pt>
                <c:pt idx="84">
                  <c:v>0.35000000000000003</c:v>
                </c:pt>
                <c:pt idx="85">
                  <c:v>0.35416666666666669</c:v>
                </c:pt>
                <c:pt idx="86">
                  <c:v>0.35833333333333334</c:v>
                </c:pt>
                <c:pt idx="87">
                  <c:v>0.36249999999999999</c:v>
                </c:pt>
                <c:pt idx="88">
                  <c:v>0.3666666666666667</c:v>
                </c:pt>
                <c:pt idx="89">
                  <c:v>0.37083333333333335</c:v>
                </c:pt>
                <c:pt idx="90">
                  <c:v>0.375</c:v>
                </c:pt>
                <c:pt idx="91">
                  <c:v>0.37916666666666665</c:v>
                </c:pt>
                <c:pt idx="92">
                  <c:v>0.3833333333333333</c:v>
                </c:pt>
                <c:pt idx="93">
                  <c:v>0.38750000000000001</c:v>
                </c:pt>
                <c:pt idx="94">
                  <c:v>0.39166666666666666</c:v>
                </c:pt>
                <c:pt idx="95">
                  <c:v>0.39583333333333331</c:v>
                </c:pt>
                <c:pt idx="96">
                  <c:v>0.39999999999999997</c:v>
                </c:pt>
                <c:pt idx="97">
                  <c:v>0.40416666666666662</c:v>
                </c:pt>
                <c:pt idx="98">
                  <c:v>0.40833333333333338</c:v>
                </c:pt>
                <c:pt idx="99">
                  <c:v>0.41250000000000003</c:v>
                </c:pt>
                <c:pt idx="100">
                  <c:v>0.41666666666666669</c:v>
                </c:pt>
                <c:pt idx="101">
                  <c:v>0.42083333333333334</c:v>
                </c:pt>
                <c:pt idx="102">
                  <c:v>0.42499999999999999</c:v>
                </c:pt>
                <c:pt idx="103">
                  <c:v>0.4291666666666667</c:v>
                </c:pt>
                <c:pt idx="104">
                  <c:v>0.43333333333333335</c:v>
                </c:pt>
                <c:pt idx="105">
                  <c:v>0.4375</c:v>
                </c:pt>
                <c:pt idx="106">
                  <c:v>0.44166666666666665</c:v>
                </c:pt>
                <c:pt idx="107">
                  <c:v>0.4458333333333333</c:v>
                </c:pt>
                <c:pt idx="108">
                  <c:v>0.45</c:v>
                </c:pt>
                <c:pt idx="109">
                  <c:v>0.45416666666666666</c:v>
                </c:pt>
                <c:pt idx="110">
                  <c:v>0.45833333333333331</c:v>
                </c:pt>
                <c:pt idx="111">
                  <c:v>0.46249999999999997</c:v>
                </c:pt>
                <c:pt idx="112">
                  <c:v>0.46666666666666662</c:v>
                </c:pt>
                <c:pt idx="113">
                  <c:v>0.47083333333333338</c:v>
                </c:pt>
                <c:pt idx="114">
                  <c:v>0.47500000000000003</c:v>
                </c:pt>
                <c:pt idx="115">
                  <c:v>0.47916666666666669</c:v>
                </c:pt>
                <c:pt idx="116">
                  <c:v>0.48333333333333334</c:v>
                </c:pt>
                <c:pt idx="117">
                  <c:v>0.48749999999999999</c:v>
                </c:pt>
                <c:pt idx="118">
                  <c:v>0.4916666666666667</c:v>
                </c:pt>
                <c:pt idx="119">
                  <c:v>0.49583333333333335</c:v>
                </c:pt>
                <c:pt idx="120">
                  <c:v>0.5</c:v>
                </c:pt>
                <c:pt idx="121">
                  <c:v>0.50416666666666665</c:v>
                </c:pt>
                <c:pt idx="122">
                  <c:v>0.5083333333333333</c:v>
                </c:pt>
                <c:pt idx="123">
                  <c:v>0.51250000000000007</c:v>
                </c:pt>
                <c:pt idx="124">
                  <c:v>0.51666666666666672</c:v>
                </c:pt>
                <c:pt idx="125">
                  <c:v>0.52083333333333337</c:v>
                </c:pt>
                <c:pt idx="126">
                  <c:v>0.52500000000000002</c:v>
                </c:pt>
                <c:pt idx="127">
                  <c:v>0.52916666666666667</c:v>
                </c:pt>
                <c:pt idx="128">
                  <c:v>0.53333333333333333</c:v>
                </c:pt>
                <c:pt idx="129">
                  <c:v>0.53749999999999998</c:v>
                </c:pt>
                <c:pt idx="130">
                  <c:v>0.54166666666666663</c:v>
                </c:pt>
                <c:pt idx="131">
                  <c:v>0.54583333333333328</c:v>
                </c:pt>
                <c:pt idx="132">
                  <c:v>0.54999999999999993</c:v>
                </c:pt>
                <c:pt idx="133">
                  <c:v>0.5541666666666667</c:v>
                </c:pt>
                <c:pt idx="134">
                  <c:v>0.55833333333333335</c:v>
                </c:pt>
                <c:pt idx="135">
                  <c:v>0.5625</c:v>
                </c:pt>
                <c:pt idx="136">
                  <c:v>0.56666666666666665</c:v>
                </c:pt>
                <c:pt idx="137">
                  <c:v>0.5708333333333333</c:v>
                </c:pt>
                <c:pt idx="138">
                  <c:v>0.57500000000000007</c:v>
                </c:pt>
                <c:pt idx="139">
                  <c:v>0.57916666666666672</c:v>
                </c:pt>
                <c:pt idx="140">
                  <c:v>0.58333333333333337</c:v>
                </c:pt>
                <c:pt idx="141">
                  <c:v>0.58750000000000002</c:v>
                </c:pt>
                <c:pt idx="142">
                  <c:v>0.59166666666666667</c:v>
                </c:pt>
                <c:pt idx="143">
                  <c:v>0.59583333333333333</c:v>
                </c:pt>
                <c:pt idx="144">
                  <c:v>0.6</c:v>
                </c:pt>
                <c:pt idx="145">
                  <c:v>0.60416666666666663</c:v>
                </c:pt>
                <c:pt idx="146">
                  <c:v>0.60833333333333328</c:v>
                </c:pt>
                <c:pt idx="147">
                  <c:v>0.61249999999999993</c:v>
                </c:pt>
                <c:pt idx="148">
                  <c:v>0.6166666666666667</c:v>
                </c:pt>
                <c:pt idx="149">
                  <c:v>0.62083333333333335</c:v>
                </c:pt>
                <c:pt idx="150">
                  <c:v>0.625</c:v>
                </c:pt>
                <c:pt idx="151">
                  <c:v>0.62916666666666665</c:v>
                </c:pt>
                <c:pt idx="152">
                  <c:v>0.6333333333333333</c:v>
                </c:pt>
                <c:pt idx="153">
                  <c:v>0.63750000000000007</c:v>
                </c:pt>
                <c:pt idx="154">
                  <c:v>0.64166666666666672</c:v>
                </c:pt>
                <c:pt idx="155">
                  <c:v>0.64583333333333337</c:v>
                </c:pt>
                <c:pt idx="156">
                  <c:v>0.65</c:v>
                </c:pt>
                <c:pt idx="157">
                  <c:v>0.65416666666666667</c:v>
                </c:pt>
                <c:pt idx="158">
                  <c:v>0.65833333333333333</c:v>
                </c:pt>
                <c:pt idx="159">
                  <c:v>0.66249999999999998</c:v>
                </c:pt>
                <c:pt idx="160">
                  <c:v>0.66666666666666663</c:v>
                </c:pt>
                <c:pt idx="161">
                  <c:v>0.67083333333333339</c:v>
                </c:pt>
                <c:pt idx="162">
                  <c:v>0.67499999999999993</c:v>
                </c:pt>
                <c:pt idx="163">
                  <c:v>0.6791666666666667</c:v>
                </c:pt>
                <c:pt idx="164">
                  <c:v>0.68333333333333324</c:v>
                </c:pt>
                <c:pt idx="165">
                  <c:v>0.6875</c:v>
                </c:pt>
                <c:pt idx="166">
                  <c:v>0.69166666666666676</c:v>
                </c:pt>
                <c:pt idx="167">
                  <c:v>0.6958333333333333</c:v>
                </c:pt>
                <c:pt idx="168">
                  <c:v>0.70000000000000007</c:v>
                </c:pt>
                <c:pt idx="169">
                  <c:v>0.70416666666666661</c:v>
                </c:pt>
                <c:pt idx="170">
                  <c:v>0.70833333333333337</c:v>
                </c:pt>
                <c:pt idx="171">
                  <c:v>0.71250000000000002</c:v>
                </c:pt>
                <c:pt idx="172">
                  <c:v>0.71666666666666667</c:v>
                </c:pt>
                <c:pt idx="173">
                  <c:v>0.72083333333333333</c:v>
                </c:pt>
                <c:pt idx="174">
                  <c:v>0.72499999999999998</c:v>
                </c:pt>
                <c:pt idx="175">
                  <c:v>0.72916666666666663</c:v>
                </c:pt>
                <c:pt idx="176">
                  <c:v>0.73333333333333339</c:v>
                </c:pt>
                <c:pt idx="177">
                  <c:v>0.73749999999999993</c:v>
                </c:pt>
                <c:pt idx="178">
                  <c:v>0.7416666666666667</c:v>
                </c:pt>
                <c:pt idx="179">
                  <c:v>0.74583333333333324</c:v>
                </c:pt>
                <c:pt idx="180">
                  <c:v>0.75</c:v>
                </c:pt>
                <c:pt idx="181">
                  <c:v>0.75416666666666676</c:v>
                </c:pt>
                <c:pt idx="182">
                  <c:v>0.7583333333333333</c:v>
                </c:pt>
                <c:pt idx="183">
                  <c:v>0.76250000000000007</c:v>
                </c:pt>
                <c:pt idx="184">
                  <c:v>0.76666666666666661</c:v>
                </c:pt>
                <c:pt idx="185">
                  <c:v>0.77083333333333337</c:v>
                </c:pt>
                <c:pt idx="186">
                  <c:v>0.77500000000000002</c:v>
                </c:pt>
                <c:pt idx="187">
                  <c:v>0.77916666666666667</c:v>
                </c:pt>
                <c:pt idx="188">
                  <c:v>0.78333333333333333</c:v>
                </c:pt>
                <c:pt idx="189">
                  <c:v>0.78749999999999998</c:v>
                </c:pt>
                <c:pt idx="190">
                  <c:v>0.79166666666666663</c:v>
                </c:pt>
                <c:pt idx="191">
                  <c:v>0.79583333333333339</c:v>
                </c:pt>
                <c:pt idx="192">
                  <c:v>0.79999999999999993</c:v>
                </c:pt>
                <c:pt idx="193">
                  <c:v>0.8041666666666667</c:v>
                </c:pt>
                <c:pt idx="194">
                  <c:v>0.80833333333333324</c:v>
                </c:pt>
                <c:pt idx="195">
                  <c:v>0.8125</c:v>
                </c:pt>
                <c:pt idx="196">
                  <c:v>0.81666666666666676</c:v>
                </c:pt>
                <c:pt idx="197">
                  <c:v>0.8208333333333333</c:v>
                </c:pt>
                <c:pt idx="198">
                  <c:v>0.82500000000000007</c:v>
                </c:pt>
                <c:pt idx="199">
                  <c:v>0.82916666666666661</c:v>
                </c:pt>
                <c:pt idx="200">
                  <c:v>0.83333333333333337</c:v>
                </c:pt>
                <c:pt idx="201">
                  <c:v>0.83750000000000002</c:v>
                </c:pt>
                <c:pt idx="202">
                  <c:v>0.84166666666666667</c:v>
                </c:pt>
                <c:pt idx="203">
                  <c:v>0.84583333333333333</c:v>
                </c:pt>
                <c:pt idx="204">
                  <c:v>0.85</c:v>
                </c:pt>
                <c:pt idx="205">
                  <c:v>0.85416666666666663</c:v>
                </c:pt>
                <c:pt idx="206">
                  <c:v>0.85833333333333339</c:v>
                </c:pt>
                <c:pt idx="207">
                  <c:v>0.86249999999999993</c:v>
                </c:pt>
                <c:pt idx="208">
                  <c:v>0.8666666666666667</c:v>
                </c:pt>
                <c:pt idx="209">
                  <c:v>0.87083333333333324</c:v>
                </c:pt>
                <c:pt idx="210">
                  <c:v>0.875</c:v>
                </c:pt>
                <c:pt idx="211">
                  <c:v>0.87916666666666676</c:v>
                </c:pt>
                <c:pt idx="212">
                  <c:v>0.8833333333333333</c:v>
                </c:pt>
                <c:pt idx="213">
                  <c:v>0.88750000000000007</c:v>
                </c:pt>
                <c:pt idx="214">
                  <c:v>0.89166666666666661</c:v>
                </c:pt>
                <c:pt idx="215">
                  <c:v>0.89583333333333337</c:v>
                </c:pt>
                <c:pt idx="216">
                  <c:v>0.9</c:v>
                </c:pt>
                <c:pt idx="217">
                  <c:v>0.90416666666666667</c:v>
                </c:pt>
                <c:pt idx="218">
                  <c:v>0.90833333333333333</c:v>
                </c:pt>
                <c:pt idx="219">
                  <c:v>0.91249999999999998</c:v>
                </c:pt>
                <c:pt idx="220">
                  <c:v>0.91666666666666663</c:v>
                </c:pt>
                <c:pt idx="221">
                  <c:v>0.92083333333333339</c:v>
                </c:pt>
                <c:pt idx="222">
                  <c:v>0.92499999999999993</c:v>
                </c:pt>
                <c:pt idx="223">
                  <c:v>0.9291666666666667</c:v>
                </c:pt>
                <c:pt idx="224">
                  <c:v>0.93333333333333324</c:v>
                </c:pt>
                <c:pt idx="225">
                  <c:v>0.9375</c:v>
                </c:pt>
                <c:pt idx="226">
                  <c:v>0.94166666666666676</c:v>
                </c:pt>
                <c:pt idx="227">
                  <c:v>0.9458333333333333</c:v>
                </c:pt>
                <c:pt idx="228">
                  <c:v>0.95000000000000007</c:v>
                </c:pt>
                <c:pt idx="229">
                  <c:v>0.95416666666666661</c:v>
                </c:pt>
                <c:pt idx="230">
                  <c:v>0.95833333333333337</c:v>
                </c:pt>
                <c:pt idx="231">
                  <c:v>0.96250000000000002</c:v>
                </c:pt>
                <c:pt idx="232">
                  <c:v>0.96666666666666667</c:v>
                </c:pt>
                <c:pt idx="233">
                  <c:v>0.97083333333333333</c:v>
                </c:pt>
                <c:pt idx="234">
                  <c:v>0.97499999999999998</c:v>
                </c:pt>
                <c:pt idx="235">
                  <c:v>0.97916666666666663</c:v>
                </c:pt>
                <c:pt idx="236">
                  <c:v>0.98333333333333339</c:v>
                </c:pt>
                <c:pt idx="237">
                  <c:v>0.98749999999999993</c:v>
                </c:pt>
                <c:pt idx="238">
                  <c:v>0.9916666666666667</c:v>
                </c:pt>
                <c:pt idx="239">
                  <c:v>0.99583333333333324</c:v>
                </c:pt>
                <c:pt idx="240">
                  <c:v>1</c:v>
                </c:pt>
              </c:numCache>
            </c:numRef>
          </c:xVal>
          <c:yVal>
            <c:numRef>
              <c:f>Precip_YHD2!$D$3:$D$243</c:f>
              <c:numCache>
                <c:formatCode>General</c:formatCode>
                <c:ptCount val="241"/>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c:v>
                </c:pt>
                <c:pt idx="76">
                  <c:v>0</c:v>
                </c:pt>
                <c:pt idx="77">
                  <c:v>0</c:v>
                </c:pt>
                <c:pt idx="78">
                  <c:v>0</c:v>
                </c:pt>
                <c:pt idx="79">
                  <c:v>0</c:v>
                </c:pt>
                <c:pt idx="80">
                  <c:v>0</c:v>
                </c:pt>
                <c:pt idx="81">
                  <c:v>0</c:v>
                </c:pt>
                <c:pt idx="82">
                  <c:v>0</c:v>
                </c:pt>
                <c:pt idx="83">
                  <c:v>0</c:v>
                </c:pt>
                <c:pt idx="84">
                  <c:v>0</c:v>
                </c:pt>
                <c:pt idx="85">
                  <c:v>0</c:v>
                </c:pt>
                <c:pt idx="86">
                  <c:v>0</c:v>
                </c:pt>
                <c:pt idx="87">
                  <c:v>0</c:v>
                </c:pt>
                <c:pt idx="88">
                  <c:v>0</c:v>
                </c:pt>
                <c:pt idx="89">
                  <c:v>0</c:v>
                </c:pt>
                <c:pt idx="90">
                  <c:v>0</c:v>
                </c:pt>
                <c:pt idx="91">
                  <c:v>0</c:v>
                </c:pt>
                <c:pt idx="92">
                  <c:v>0</c:v>
                </c:pt>
                <c:pt idx="93">
                  <c:v>0</c:v>
                </c:pt>
                <c:pt idx="94">
                  <c:v>0</c:v>
                </c:pt>
                <c:pt idx="95">
                  <c:v>0</c:v>
                </c:pt>
                <c:pt idx="96">
                  <c:v>0</c:v>
                </c:pt>
                <c:pt idx="97">
                  <c:v>0.01</c:v>
                </c:pt>
                <c:pt idx="98">
                  <c:v>0.01</c:v>
                </c:pt>
                <c:pt idx="99">
                  <c:v>0.01</c:v>
                </c:pt>
                <c:pt idx="100">
                  <c:v>0.01</c:v>
                </c:pt>
                <c:pt idx="101">
                  <c:v>0.01</c:v>
                </c:pt>
                <c:pt idx="102">
                  <c:v>0.01</c:v>
                </c:pt>
                <c:pt idx="103">
                  <c:v>0.01</c:v>
                </c:pt>
                <c:pt idx="104">
                  <c:v>0.01</c:v>
                </c:pt>
                <c:pt idx="105">
                  <c:v>0.01</c:v>
                </c:pt>
                <c:pt idx="106">
                  <c:v>0.01</c:v>
                </c:pt>
                <c:pt idx="107">
                  <c:v>0.01</c:v>
                </c:pt>
                <c:pt idx="108">
                  <c:v>0.01</c:v>
                </c:pt>
                <c:pt idx="109">
                  <c:v>0.01</c:v>
                </c:pt>
                <c:pt idx="110">
                  <c:v>0.02</c:v>
                </c:pt>
                <c:pt idx="111">
                  <c:v>0.02</c:v>
                </c:pt>
                <c:pt idx="112">
                  <c:v>0.03</c:v>
                </c:pt>
                <c:pt idx="113">
                  <c:v>0.03</c:v>
                </c:pt>
                <c:pt idx="114">
                  <c:v>0.03</c:v>
                </c:pt>
                <c:pt idx="115">
                  <c:v>0.04</c:v>
                </c:pt>
                <c:pt idx="116">
                  <c:v>7.0000000000000007E-2</c:v>
                </c:pt>
                <c:pt idx="117">
                  <c:v>0.08</c:v>
                </c:pt>
                <c:pt idx="118">
                  <c:v>0.1</c:v>
                </c:pt>
                <c:pt idx="119">
                  <c:v>0.09</c:v>
                </c:pt>
                <c:pt idx="120">
                  <c:v>0.22</c:v>
                </c:pt>
                <c:pt idx="121">
                  <c:v>0.44</c:v>
                </c:pt>
                <c:pt idx="122">
                  <c:v>0.16</c:v>
                </c:pt>
                <c:pt idx="123">
                  <c:v>0.09</c:v>
                </c:pt>
                <c:pt idx="124">
                  <c:v>0.12</c:v>
                </c:pt>
                <c:pt idx="125">
                  <c:v>0.11</c:v>
                </c:pt>
                <c:pt idx="126">
                  <c:v>0.06</c:v>
                </c:pt>
                <c:pt idx="127">
                  <c:v>0.05</c:v>
                </c:pt>
                <c:pt idx="128">
                  <c:v>0.05</c:v>
                </c:pt>
                <c:pt idx="129">
                  <c:v>0.05</c:v>
                </c:pt>
                <c:pt idx="130">
                  <c:v>0.04</c:v>
                </c:pt>
                <c:pt idx="131">
                  <c:v>0.03</c:v>
                </c:pt>
                <c:pt idx="132">
                  <c:v>0.03</c:v>
                </c:pt>
                <c:pt idx="133">
                  <c:v>0.03</c:v>
                </c:pt>
                <c:pt idx="134">
                  <c:v>0.03</c:v>
                </c:pt>
                <c:pt idx="135">
                  <c:v>0.03</c:v>
                </c:pt>
                <c:pt idx="136">
                  <c:v>0.02</c:v>
                </c:pt>
                <c:pt idx="137">
                  <c:v>0.02</c:v>
                </c:pt>
                <c:pt idx="138">
                  <c:v>0.02</c:v>
                </c:pt>
                <c:pt idx="139">
                  <c:v>0.02</c:v>
                </c:pt>
                <c:pt idx="140">
                  <c:v>0.02</c:v>
                </c:pt>
                <c:pt idx="141">
                  <c:v>0.02</c:v>
                </c:pt>
                <c:pt idx="142">
                  <c:v>0.02</c:v>
                </c:pt>
                <c:pt idx="143">
                  <c:v>0.02</c:v>
                </c:pt>
                <c:pt idx="144">
                  <c:v>0.02</c:v>
                </c:pt>
                <c:pt idx="145">
                  <c:v>0.01</c:v>
                </c:pt>
                <c:pt idx="146">
                  <c:v>0.01</c:v>
                </c:pt>
                <c:pt idx="147">
                  <c:v>0.01</c:v>
                </c:pt>
                <c:pt idx="148">
                  <c:v>0.01</c:v>
                </c:pt>
                <c:pt idx="149">
                  <c:v>0.01</c:v>
                </c:pt>
                <c:pt idx="150">
                  <c:v>0.01</c:v>
                </c:pt>
                <c:pt idx="151">
                  <c:v>0.01</c:v>
                </c:pt>
                <c:pt idx="152">
                  <c:v>0.01</c:v>
                </c:pt>
                <c:pt idx="153">
                  <c:v>0.01</c:v>
                </c:pt>
                <c:pt idx="154">
                  <c:v>0.01</c:v>
                </c:pt>
                <c:pt idx="155">
                  <c:v>0.01</c:v>
                </c:pt>
                <c:pt idx="156">
                  <c:v>0.01</c:v>
                </c:pt>
                <c:pt idx="157">
                  <c:v>0.01</c:v>
                </c:pt>
                <c:pt idx="158">
                  <c:v>0.01</c:v>
                </c:pt>
                <c:pt idx="159">
                  <c:v>0.01</c:v>
                </c:pt>
                <c:pt idx="160">
                  <c:v>0.01</c:v>
                </c:pt>
                <c:pt idx="161">
                  <c:v>0.01</c:v>
                </c:pt>
                <c:pt idx="162">
                  <c:v>0.01</c:v>
                </c:pt>
                <c:pt idx="163">
                  <c:v>0.01</c:v>
                </c:pt>
                <c:pt idx="164">
                  <c:v>0.01</c:v>
                </c:pt>
                <c:pt idx="165">
                  <c:v>0.01</c:v>
                </c:pt>
                <c:pt idx="166">
                  <c:v>0.01</c:v>
                </c:pt>
                <c:pt idx="167">
                  <c:v>0.01</c:v>
                </c:pt>
                <c:pt idx="168">
                  <c:v>0.01</c:v>
                </c:pt>
                <c:pt idx="169">
                  <c:v>0.01</c:v>
                </c:pt>
                <c:pt idx="170">
                  <c:v>0.01</c:v>
                </c:pt>
                <c:pt idx="171">
                  <c:v>0.01</c:v>
                </c:pt>
                <c:pt idx="172">
                  <c:v>0.01</c:v>
                </c:pt>
                <c:pt idx="173">
                  <c:v>0.01</c:v>
                </c:pt>
                <c:pt idx="174">
                  <c:v>0.01</c:v>
                </c:pt>
                <c:pt idx="175">
                  <c:v>0.01</c:v>
                </c:pt>
                <c:pt idx="176">
                  <c:v>0.01</c:v>
                </c:pt>
                <c:pt idx="177">
                  <c:v>0.01</c:v>
                </c:pt>
                <c:pt idx="178">
                  <c:v>0.01</c:v>
                </c:pt>
                <c:pt idx="179">
                  <c:v>0.01</c:v>
                </c:pt>
                <c:pt idx="180">
                  <c:v>0.01</c:v>
                </c:pt>
                <c:pt idx="181">
                  <c:v>0.01</c:v>
                </c:pt>
                <c:pt idx="182">
                  <c:v>0.01</c:v>
                </c:pt>
                <c:pt idx="183">
                  <c:v>0.01</c:v>
                </c:pt>
                <c:pt idx="184">
                  <c:v>0.01</c:v>
                </c:pt>
                <c:pt idx="185">
                  <c:v>0.01</c:v>
                </c:pt>
                <c:pt idx="186">
                  <c:v>0.01</c:v>
                </c:pt>
                <c:pt idx="187">
                  <c:v>0.01</c:v>
                </c:pt>
                <c:pt idx="188">
                  <c:v>0.01</c:v>
                </c:pt>
                <c:pt idx="189">
                  <c:v>0.01</c:v>
                </c:pt>
                <c:pt idx="190">
                  <c:v>0.01</c:v>
                </c:pt>
                <c:pt idx="191">
                  <c:v>0.01</c:v>
                </c:pt>
                <c:pt idx="192">
                  <c:v>0.01</c:v>
                </c:pt>
                <c:pt idx="193">
                  <c:v>0.01</c:v>
                </c:pt>
                <c:pt idx="194">
                  <c:v>0.01</c:v>
                </c:pt>
                <c:pt idx="195">
                  <c:v>0.01</c:v>
                </c:pt>
                <c:pt idx="196">
                  <c:v>0.01</c:v>
                </c:pt>
                <c:pt idx="197">
                  <c:v>0.01</c:v>
                </c:pt>
                <c:pt idx="198">
                  <c:v>0.01</c:v>
                </c:pt>
                <c:pt idx="199">
                  <c:v>0.01</c:v>
                </c:pt>
                <c:pt idx="200">
                  <c:v>0.01</c:v>
                </c:pt>
                <c:pt idx="201">
                  <c:v>0.01</c:v>
                </c:pt>
                <c:pt idx="202">
                  <c:v>0.01</c:v>
                </c:pt>
                <c:pt idx="203">
                  <c:v>0.01</c:v>
                </c:pt>
                <c:pt idx="204">
                  <c:v>0.01</c:v>
                </c:pt>
                <c:pt idx="205">
                  <c:v>0.01</c:v>
                </c:pt>
                <c:pt idx="206">
                  <c:v>0.01</c:v>
                </c:pt>
                <c:pt idx="207">
                  <c:v>0.01</c:v>
                </c:pt>
                <c:pt idx="208">
                  <c:v>0.01</c:v>
                </c:pt>
                <c:pt idx="209">
                  <c:v>0.01</c:v>
                </c:pt>
                <c:pt idx="210">
                  <c:v>0.01</c:v>
                </c:pt>
                <c:pt idx="211">
                  <c:v>0.01</c:v>
                </c:pt>
                <c:pt idx="212">
                  <c:v>0.01</c:v>
                </c:pt>
                <c:pt idx="213">
                  <c:v>0.01</c:v>
                </c:pt>
                <c:pt idx="214">
                  <c:v>0.01</c:v>
                </c:pt>
                <c:pt idx="215">
                  <c:v>0.01</c:v>
                </c:pt>
                <c:pt idx="216">
                  <c:v>0.01</c:v>
                </c:pt>
                <c:pt idx="217">
                  <c:v>0.01</c:v>
                </c:pt>
                <c:pt idx="218">
                  <c:v>0.01</c:v>
                </c:pt>
                <c:pt idx="219">
                  <c:v>0</c:v>
                </c:pt>
                <c:pt idx="220">
                  <c:v>0</c:v>
                </c:pt>
                <c:pt idx="221">
                  <c:v>0</c:v>
                </c:pt>
                <c:pt idx="222">
                  <c:v>0</c:v>
                </c:pt>
                <c:pt idx="223">
                  <c:v>0</c:v>
                </c:pt>
                <c:pt idx="224">
                  <c:v>0</c:v>
                </c:pt>
                <c:pt idx="225">
                  <c:v>0</c:v>
                </c:pt>
                <c:pt idx="226">
                  <c:v>0</c:v>
                </c:pt>
                <c:pt idx="227">
                  <c:v>0</c:v>
                </c:pt>
                <c:pt idx="228">
                  <c:v>0</c:v>
                </c:pt>
                <c:pt idx="229">
                  <c:v>0</c:v>
                </c:pt>
                <c:pt idx="230">
                  <c:v>0</c:v>
                </c:pt>
                <c:pt idx="231">
                  <c:v>0</c:v>
                </c:pt>
                <c:pt idx="232">
                  <c:v>0</c:v>
                </c:pt>
                <c:pt idx="233">
                  <c:v>0</c:v>
                </c:pt>
                <c:pt idx="234">
                  <c:v>0</c:v>
                </c:pt>
                <c:pt idx="235">
                  <c:v>0</c:v>
                </c:pt>
                <c:pt idx="236">
                  <c:v>0</c:v>
                </c:pt>
                <c:pt idx="237">
                  <c:v>0</c:v>
                </c:pt>
                <c:pt idx="238">
                  <c:v>0</c:v>
                </c:pt>
                <c:pt idx="239">
                  <c:v>0</c:v>
                </c:pt>
                <c:pt idx="240">
                  <c:v>0</c:v>
                </c:pt>
              </c:numCache>
            </c:numRef>
          </c:yVal>
          <c:smooth val="1"/>
          <c:extLst xmlns:c16r2="http://schemas.microsoft.com/office/drawing/2015/06/chart">
            <c:ext xmlns:c16="http://schemas.microsoft.com/office/drawing/2014/chart" uri="{C3380CC4-5D6E-409C-BE32-E72D297353CC}">
              <c16:uniqueId val="{00000002-74B7-4CC5-B208-17FD530AA5AF}"/>
            </c:ext>
          </c:extLst>
        </c:ser>
        <c:ser>
          <c:idx val="1"/>
          <c:order val="4"/>
          <c:tx>
            <c:v>4 Percent Annual Chance</c:v>
          </c:tx>
          <c:spPr>
            <a:ln>
              <a:solidFill>
                <a:srgbClr val="FFCC00"/>
              </a:solidFill>
            </a:ln>
          </c:spPr>
          <c:marker>
            <c:symbol val="none"/>
          </c:marker>
          <c:xVal>
            <c:numRef>
              <c:f>Precip_YHD2!$A$3:$A$243</c:f>
              <c:numCache>
                <c:formatCode>h:mm;@</c:formatCode>
                <c:ptCount val="241"/>
                <c:pt idx="0">
                  <c:v>0</c:v>
                </c:pt>
                <c:pt idx="1">
                  <c:v>4.1666666666666666E-3</c:v>
                </c:pt>
                <c:pt idx="2">
                  <c:v>8.3333333333333332E-3</c:v>
                </c:pt>
                <c:pt idx="3">
                  <c:v>1.2499999999999999E-2</c:v>
                </c:pt>
                <c:pt idx="4">
                  <c:v>1.6666666666666666E-2</c:v>
                </c:pt>
                <c:pt idx="5">
                  <c:v>2.0833333333333332E-2</c:v>
                </c:pt>
                <c:pt idx="6">
                  <c:v>2.4999999999999998E-2</c:v>
                </c:pt>
                <c:pt idx="7">
                  <c:v>2.9166666666666664E-2</c:v>
                </c:pt>
                <c:pt idx="8">
                  <c:v>3.3333333333333333E-2</c:v>
                </c:pt>
                <c:pt idx="9">
                  <c:v>3.7499999999999999E-2</c:v>
                </c:pt>
                <c:pt idx="10">
                  <c:v>4.1666666666666664E-2</c:v>
                </c:pt>
                <c:pt idx="11">
                  <c:v>4.5833333333333337E-2</c:v>
                </c:pt>
                <c:pt idx="12">
                  <c:v>4.9999999999999996E-2</c:v>
                </c:pt>
                <c:pt idx="13">
                  <c:v>5.4166666666666669E-2</c:v>
                </c:pt>
                <c:pt idx="14">
                  <c:v>5.8333333333333327E-2</c:v>
                </c:pt>
                <c:pt idx="15">
                  <c:v>6.25E-2</c:v>
                </c:pt>
                <c:pt idx="16">
                  <c:v>6.6666666666666666E-2</c:v>
                </c:pt>
                <c:pt idx="17">
                  <c:v>7.0833333333333331E-2</c:v>
                </c:pt>
                <c:pt idx="18">
                  <c:v>7.4999999999999997E-2</c:v>
                </c:pt>
                <c:pt idx="19">
                  <c:v>7.9166666666666663E-2</c:v>
                </c:pt>
                <c:pt idx="20">
                  <c:v>8.3333333333333329E-2</c:v>
                </c:pt>
                <c:pt idx="21">
                  <c:v>8.7500000000000008E-2</c:v>
                </c:pt>
                <c:pt idx="22">
                  <c:v>9.1666666666666674E-2</c:v>
                </c:pt>
                <c:pt idx="23">
                  <c:v>9.5833333333333326E-2</c:v>
                </c:pt>
                <c:pt idx="24">
                  <c:v>9.9999999999999992E-2</c:v>
                </c:pt>
                <c:pt idx="25">
                  <c:v>0.10416666666666667</c:v>
                </c:pt>
                <c:pt idx="26">
                  <c:v>0.10833333333333334</c:v>
                </c:pt>
                <c:pt idx="27">
                  <c:v>0.1125</c:v>
                </c:pt>
                <c:pt idx="28">
                  <c:v>0.11666666666666665</c:v>
                </c:pt>
                <c:pt idx="29">
                  <c:v>0.12083333333333333</c:v>
                </c:pt>
                <c:pt idx="30">
                  <c:v>0.125</c:v>
                </c:pt>
                <c:pt idx="31">
                  <c:v>0.12916666666666668</c:v>
                </c:pt>
                <c:pt idx="32">
                  <c:v>0.13333333333333333</c:v>
                </c:pt>
                <c:pt idx="33">
                  <c:v>0.13749999999999998</c:v>
                </c:pt>
                <c:pt idx="34">
                  <c:v>0.14166666666666666</c:v>
                </c:pt>
                <c:pt idx="35">
                  <c:v>0.14583333333333334</c:v>
                </c:pt>
                <c:pt idx="36">
                  <c:v>0.15</c:v>
                </c:pt>
                <c:pt idx="37">
                  <c:v>0.15416666666666667</c:v>
                </c:pt>
                <c:pt idx="38">
                  <c:v>0.15833333333333333</c:v>
                </c:pt>
                <c:pt idx="39">
                  <c:v>0.16250000000000001</c:v>
                </c:pt>
                <c:pt idx="40">
                  <c:v>0.16666666666666666</c:v>
                </c:pt>
                <c:pt idx="41">
                  <c:v>0.17083333333333331</c:v>
                </c:pt>
                <c:pt idx="42">
                  <c:v>0.17500000000000002</c:v>
                </c:pt>
                <c:pt idx="43">
                  <c:v>0.17916666666666667</c:v>
                </c:pt>
                <c:pt idx="44">
                  <c:v>0.18333333333333335</c:v>
                </c:pt>
                <c:pt idx="45">
                  <c:v>0.1875</c:v>
                </c:pt>
                <c:pt idx="46">
                  <c:v>0.19166666666666665</c:v>
                </c:pt>
                <c:pt idx="47">
                  <c:v>0.19583333333333333</c:v>
                </c:pt>
                <c:pt idx="48">
                  <c:v>0.19999999999999998</c:v>
                </c:pt>
                <c:pt idx="49">
                  <c:v>0.20416666666666669</c:v>
                </c:pt>
                <c:pt idx="50">
                  <c:v>0.20833333333333334</c:v>
                </c:pt>
                <c:pt idx="51">
                  <c:v>0.21249999999999999</c:v>
                </c:pt>
                <c:pt idx="52">
                  <c:v>0.21666666666666667</c:v>
                </c:pt>
                <c:pt idx="53">
                  <c:v>0.22083333333333333</c:v>
                </c:pt>
                <c:pt idx="54">
                  <c:v>0.22500000000000001</c:v>
                </c:pt>
                <c:pt idx="55">
                  <c:v>0.22916666666666666</c:v>
                </c:pt>
                <c:pt idx="56">
                  <c:v>0.23333333333333331</c:v>
                </c:pt>
                <c:pt idx="57">
                  <c:v>0.23750000000000002</c:v>
                </c:pt>
                <c:pt idx="58">
                  <c:v>0.24166666666666667</c:v>
                </c:pt>
                <c:pt idx="59">
                  <c:v>0.24583333333333335</c:v>
                </c:pt>
                <c:pt idx="60">
                  <c:v>0.25</c:v>
                </c:pt>
                <c:pt idx="61">
                  <c:v>0.25416666666666665</c:v>
                </c:pt>
                <c:pt idx="62">
                  <c:v>0.25833333333333336</c:v>
                </c:pt>
                <c:pt idx="63">
                  <c:v>0.26250000000000001</c:v>
                </c:pt>
                <c:pt idx="64">
                  <c:v>0.26666666666666666</c:v>
                </c:pt>
                <c:pt idx="65">
                  <c:v>0.27083333333333331</c:v>
                </c:pt>
                <c:pt idx="66">
                  <c:v>0.27499999999999997</c:v>
                </c:pt>
                <c:pt idx="67">
                  <c:v>0.27916666666666667</c:v>
                </c:pt>
                <c:pt idx="68">
                  <c:v>0.28333333333333333</c:v>
                </c:pt>
                <c:pt idx="69">
                  <c:v>0.28750000000000003</c:v>
                </c:pt>
                <c:pt idx="70">
                  <c:v>0.29166666666666669</c:v>
                </c:pt>
                <c:pt idx="71">
                  <c:v>0.29583333333333334</c:v>
                </c:pt>
                <c:pt idx="72">
                  <c:v>0.3</c:v>
                </c:pt>
                <c:pt idx="73">
                  <c:v>0.30416666666666664</c:v>
                </c:pt>
                <c:pt idx="74">
                  <c:v>0.30833333333333335</c:v>
                </c:pt>
                <c:pt idx="75">
                  <c:v>0.3125</c:v>
                </c:pt>
                <c:pt idx="76">
                  <c:v>0.31666666666666665</c:v>
                </c:pt>
                <c:pt idx="77">
                  <c:v>0.32083333333333336</c:v>
                </c:pt>
                <c:pt idx="78">
                  <c:v>0.32500000000000001</c:v>
                </c:pt>
                <c:pt idx="79">
                  <c:v>0.32916666666666666</c:v>
                </c:pt>
                <c:pt idx="80">
                  <c:v>0.33333333333333331</c:v>
                </c:pt>
                <c:pt idx="81">
                  <c:v>0.33749999999999997</c:v>
                </c:pt>
                <c:pt idx="82">
                  <c:v>0.34166666666666662</c:v>
                </c:pt>
                <c:pt idx="83">
                  <c:v>0.34583333333333338</c:v>
                </c:pt>
                <c:pt idx="84">
                  <c:v>0.35000000000000003</c:v>
                </c:pt>
                <c:pt idx="85">
                  <c:v>0.35416666666666669</c:v>
                </c:pt>
                <c:pt idx="86">
                  <c:v>0.35833333333333334</c:v>
                </c:pt>
                <c:pt idx="87">
                  <c:v>0.36249999999999999</c:v>
                </c:pt>
                <c:pt idx="88">
                  <c:v>0.3666666666666667</c:v>
                </c:pt>
                <c:pt idx="89">
                  <c:v>0.37083333333333335</c:v>
                </c:pt>
                <c:pt idx="90">
                  <c:v>0.375</c:v>
                </c:pt>
                <c:pt idx="91">
                  <c:v>0.37916666666666665</c:v>
                </c:pt>
                <c:pt idx="92">
                  <c:v>0.3833333333333333</c:v>
                </c:pt>
                <c:pt idx="93">
                  <c:v>0.38750000000000001</c:v>
                </c:pt>
                <c:pt idx="94">
                  <c:v>0.39166666666666666</c:v>
                </c:pt>
                <c:pt idx="95">
                  <c:v>0.39583333333333331</c:v>
                </c:pt>
                <c:pt idx="96">
                  <c:v>0.39999999999999997</c:v>
                </c:pt>
                <c:pt idx="97">
                  <c:v>0.40416666666666662</c:v>
                </c:pt>
                <c:pt idx="98">
                  <c:v>0.40833333333333338</c:v>
                </c:pt>
                <c:pt idx="99">
                  <c:v>0.41250000000000003</c:v>
                </c:pt>
                <c:pt idx="100">
                  <c:v>0.41666666666666669</c:v>
                </c:pt>
                <c:pt idx="101">
                  <c:v>0.42083333333333334</c:v>
                </c:pt>
                <c:pt idx="102">
                  <c:v>0.42499999999999999</c:v>
                </c:pt>
                <c:pt idx="103">
                  <c:v>0.4291666666666667</c:v>
                </c:pt>
                <c:pt idx="104">
                  <c:v>0.43333333333333335</c:v>
                </c:pt>
                <c:pt idx="105">
                  <c:v>0.4375</c:v>
                </c:pt>
                <c:pt idx="106">
                  <c:v>0.44166666666666665</c:v>
                </c:pt>
                <c:pt idx="107">
                  <c:v>0.4458333333333333</c:v>
                </c:pt>
                <c:pt idx="108">
                  <c:v>0.45</c:v>
                </c:pt>
                <c:pt idx="109">
                  <c:v>0.45416666666666666</c:v>
                </c:pt>
                <c:pt idx="110">
                  <c:v>0.45833333333333331</c:v>
                </c:pt>
                <c:pt idx="111">
                  <c:v>0.46249999999999997</c:v>
                </c:pt>
                <c:pt idx="112">
                  <c:v>0.46666666666666662</c:v>
                </c:pt>
                <c:pt idx="113">
                  <c:v>0.47083333333333338</c:v>
                </c:pt>
                <c:pt idx="114">
                  <c:v>0.47500000000000003</c:v>
                </c:pt>
                <c:pt idx="115">
                  <c:v>0.47916666666666669</c:v>
                </c:pt>
                <c:pt idx="116">
                  <c:v>0.48333333333333334</c:v>
                </c:pt>
                <c:pt idx="117">
                  <c:v>0.48749999999999999</c:v>
                </c:pt>
                <c:pt idx="118">
                  <c:v>0.4916666666666667</c:v>
                </c:pt>
                <c:pt idx="119">
                  <c:v>0.49583333333333335</c:v>
                </c:pt>
                <c:pt idx="120">
                  <c:v>0.5</c:v>
                </c:pt>
                <c:pt idx="121">
                  <c:v>0.50416666666666665</c:v>
                </c:pt>
                <c:pt idx="122">
                  <c:v>0.5083333333333333</c:v>
                </c:pt>
                <c:pt idx="123">
                  <c:v>0.51250000000000007</c:v>
                </c:pt>
                <c:pt idx="124">
                  <c:v>0.51666666666666672</c:v>
                </c:pt>
                <c:pt idx="125">
                  <c:v>0.52083333333333337</c:v>
                </c:pt>
                <c:pt idx="126">
                  <c:v>0.52500000000000002</c:v>
                </c:pt>
                <c:pt idx="127">
                  <c:v>0.52916666666666667</c:v>
                </c:pt>
                <c:pt idx="128">
                  <c:v>0.53333333333333333</c:v>
                </c:pt>
                <c:pt idx="129">
                  <c:v>0.53749999999999998</c:v>
                </c:pt>
                <c:pt idx="130">
                  <c:v>0.54166666666666663</c:v>
                </c:pt>
                <c:pt idx="131">
                  <c:v>0.54583333333333328</c:v>
                </c:pt>
                <c:pt idx="132">
                  <c:v>0.54999999999999993</c:v>
                </c:pt>
                <c:pt idx="133">
                  <c:v>0.5541666666666667</c:v>
                </c:pt>
                <c:pt idx="134">
                  <c:v>0.55833333333333335</c:v>
                </c:pt>
                <c:pt idx="135">
                  <c:v>0.5625</c:v>
                </c:pt>
                <c:pt idx="136">
                  <c:v>0.56666666666666665</c:v>
                </c:pt>
                <c:pt idx="137">
                  <c:v>0.5708333333333333</c:v>
                </c:pt>
                <c:pt idx="138">
                  <c:v>0.57500000000000007</c:v>
                </c:pt>
                <c:pt idx="139">
                  <c:v>0.57916666666666672</c:v>
                </c:pt>
                <c:pt idx="140">
                  <c:v>0.58333333333333337</c:v>
                </c:pt>
                <c:pt idx="141">
                  <c:v>0.58750000000000002</c:v>
                </c:pt>
                <c:pt idx="142">
                  <c:v>0.59166666666666667</c:v>
                </c:pt>
                <c:pt idx="143">
                  <c:v>0.59583333333333333</c:v>
                </c:pt>
                <c:pt idx="144">
                  <c:v>0.6</c:v>
                </c:pt>
                <c:pt idx="145">
                  <c:v>0.60416666666666663</c:v>
                </c:pt>
                <c:pt idx="146">
                  <c:v>0.60833333333333328</c:v>
                </c:pt>
                <c:pt idx="147">
                  <c:v>0.61249999999999993</c:v>
                </c:pt>
                <c:pt idx="148">
                  <c:v>0.6166666666666667</c:v>
                </c:pt>
                <c:pt idx="149">
                  <c:v>0.62083333333333335</c:v>
                </c:pt>
                <c:pt idx="150">
                  <c:v>0.625</c:v>
                </c:pt>
                <c:pt idx="151">
                  <c:v>0.62916666666666665</c:v>
                </c:pt>
                <c:pt idx="152">
                  <c:v>0.6333333333333333</c:v>
                </c:pt>
                <c:pt idx="153">
                  <c:v>0.63750000000000007</c:v>
                </c:pt>
                <c:pt idx="154">
                  <c:v>0.64166666666666672</c:v>
                </c:pt>
                <c:pt idx="155">
                  <c:v>0.64583333333333337</c:v>
                </c:pt>
                <c:pt idx="156">
                  <c:v>0.65</c:v>
                </c:pt>
                <c:pt idx="157">
                  <c:v>0.65416666666666667</c:v>
                </c:pt>
                <c:pt idx="158">
                  <c:v>0.65833333333333333</c:v>
                </c:pt>
                <c:pt idx="159">
                  <c:v>0.66249999999999998</c:v>
                </c:pt>
                <c:pt idx="160">
                  <c:v>0.66666666666666663</c:v>
                </c:pt>
                <c:pt idx="161">
                  <c:v>0.67083333333333339</c:v>
                </c:pt>
                <c:pt idx="162">
                  <c:v>0.67499999999999993</c:v>
                </c:pt>
                <c:pt idx="163">
                  <c:v>0.6791666666666667</c:v>
                </c:pt>
                <c:pt idx="164">
                  <c:v>0.68333333333333324</c:v>
                </c:pt>
                <c:pt idx="165">
                  <c:v>0.6875</c:v>
                </c:pt>
                <c:pt idx="166">
                  <c:v>0.69166666666666676</c:v>
                </c:pt>
                <c:pt idx="167">
                  <c:v>0.6958333333333333</c:v>
                </c:pt>
                <c:pt idx="168">
                  <c:v>0.70000000000000007</c:v>
                </c:pt>
                <c:pt idx="169">
                  <c:v>0.70416666666666661</c:v>
                </c:pt>
                <c:pt idx="170">
                  <c:v>0.70833333333333337</c:v>
                </c:pt>
                <c:pt idx="171">
                  <c:v>0.71250000000000002</c:v>
                </c:pt>
                <c:pt idx="172">
                  <c:v>0.71666666666666667</c:v>
                </c:pt>
                <c:pt idx="173">
                  <c:v>0.72083333333333333</c:v>
                </c:pt>
                <c:pt idx="174">
                  <c:v>0.72499999999999998</c:v>
                </c:pt>
                <c:pt idx="175">
                  <c:v>0.72916666666666663</c:v>
                </c:pt>
                <c:pt idx="176">
                  <c:v>0.73333333333333339</c:v>
                </c:pt>
                <c:pt idx="177">
                  <c:v>0.73749999999999993</c:v>
                </c:pt>
                <c:pt idx="178">
                  <c:v>0.7416666666666667</c:v>
                </c:pt>
                <c:pt idx="179">
                  <c:v>0.74583333333333324</c:v>
                </c:pt>
                <c:pt idx="180">
                  <c:v>0.75</c:v>
                </c:pt>
                <c:pt idx="181">
                  <c:v>0.75416666666666676</c:v>
                </c:pt>
                <c:pt idx="182">
                  <c:v>0.7583333333333333</c:v>
                </c:pt>
                <c:pt idx="183">
                  <c:v>0.76250000000000007</c:v>
                </c:pt>
                <c:pt idx="184">
                  <c:v>0.76666666666666661</c:v>
                </c:pt>
                <c:pt idx="185">
                  <c:v>0.77083333333333337</c:v>
                </c:pt>
                <c:pt idx="186">
                  <c:v>0.77500000000000002</c:v>
                </c:pt>
                <c:pt idx="187">
                  <c:v>0.77916666666666667</c:v>
                </c:pt>
                <c:pt idx="188">
                  <c:v>0.78333333333333333</c:v>
                </c:pt>
                <c:pt idx="189">
                  <c:v>0.78749999999999998</c:v>
                </c:pt>
                <c:pt idx="190">
                  <c:v>0.79166666666666663</c:v>
                </c:pt>
                <c:pt idx="191">
                  <c:v>0.79583333333333339</c:v>
                </c:pt>
                <c:pt idx="192">
                  <c:v>0.79999999999999993</c:v>
                </c:pt>
                <c:pt idx="193">
                  <c:v>0.8041666666666667</c:v>
                </c:pt>
                <c:pt idx="194">
                  <c:v>0.80833333333333324</c:v>
                </c:pt>
                <c:pt idx="195">
                  <c:v>0.8125</c:v>
                </c:pt>
                <c:pt idx="196">
                  <c:v>0.81666666666666676</c:v>
                </c:pt>
                <c:pt idx="197">
                  <c:v>0.8208333333333333</c:v>
                </c:pt>
                <c:pt idx="198">
                  <c:v>0.82500000000000007</c:v>
                </c:pt>
                <c:pt idx="199">
                  <c:v>0.82916666666666661</c:v>
                </c:pt>
                <c:pt idx="200">
                  <c:v>0.83333333333333337</c:v>
                </c:pt>
                <c:pt idx="201">
                  <c:v>0.83750000000000002</c:v>
                </c:pt>
                <c:pt idx="202">
                  <c:v>0.84166666666666667</c:v>
                </c:pt>
                <c:pt idx="203">
                  <c:v>0.84583333333333333</c:v>
                </c:pt>
                <c:pt idx="204">
                  <c:v>0.85</c:v>
                </c:pt>
                <c:pt idx="205">
                  <c:v>0.85416666666666663</c:v>
                </c:pt>
                <c:pt idx="206">
                  <c:v>0.85833333333333339</c:v>
                </c:pt>
                <c:pt idx="207">
                  <c:v>0.86249999999999993</c:v>
                </c:pt>
                <c:pt idx="208">
                  <c:v>0.8666666666666667</c:v>
                </c:pt>
                <c:pt idx="209">
                  <c:v>0.87083333333333324</c:v>
                </c:pt>
                <c:pt idx="210">
                  <c:v>0.875</c:v>
                </c:pt>
                <c:pt idx="211">
                  <c:v>0.87916666666666676</c:v>
                </c:pt>
                <c:pt idx="212">
                  <c:v>0.8833333333333333</c:v>
                </c:pt>
                <c:pt idx="213">
                  <c:v>0.88750000000000007</c:v>
                </c:pt>
                <c:pt idx="214">
                  <c:v>0.89166666666666661</c:v>
                </c:pt>
                <c:pt idx="215">
                  <c:v>0.89583333333333337</c:v>
                </c:pt>
                <c:pt idx="216">
                  <c:v>0.9</c:v>
                </c:pt>
                <c:pt idx="217">
                  <c:v>0.90416666666666667</c:v>
                </c:pt>
                <c:pt idx="218">
                  <c:v>0.90833333333333333</c:v>
                </c:pt>
                <c:pt idx="219">
                  <c:v>0.91249999999999998</c:v>
                </c:pt>
                <c:pt idx="220">
                  <c:v>0.91666666666666663</c:v>
                </c:pt>
                <c:pt idx="221">
                  <c:v>0.92083333333333339</c:v>
                </c:pt>
                <c:pt idx="222">
                  <c:v>0.92499999999999993</c:v>
                </c:pt>
                <c:pt idx="223">
                  <c:v>0.9291666666666667</c:v>
                </c:pt>
                <c:pt idx="224">
                  <c:v>0.93333333333333324</c:v>
                </c:pt>
                <c:pt idx="225">
                  <c:v>0.9375</c:v>
                </c:pt>
                <c:pt idx="226">
                  <c:v>0.94166666666666676</c:v>
                </c:pt>
                <c:pt idx="227">
                  <c:v>0.9458333333333333</c:v>
                </c:pt>
                <c:pt idx="228">
                  <c:v>0.95000000000000007</c:v>
                </c:pt>
                <c:pt idx="229">
                  <c:v>0.95416666666666661</c:v>
                </c:pt>
                <c:pt idx="230">
                  <c:v>0.95833333333333337</c:v>
                </c:pt>
                <c:pt idx="231">
                  <c:v>0.96250000000000002</c:v>
                </c:pt>
                <c:pt idx="232">
                  <c:v>0.96666666666666667</c:v>
                </c:pt>
                <c:pt idx="233">
                  <c:v>0.97083333333333333</c:v>
                </c:pt>
                <c:pt idx="234">
                  <c:v>0.97499999999999998</c:v>
                </c:pt>
                <c:pt idx="235">
                  <c:v>0.97916666666666663</c:v>
                </c:pt>
                <c:pt idx="236">
                  <c:v>0.98333333333333339</c:v>
                </c:pt>
                <c:pt idx="237">
                  <c:v>0.98749999999999993</c:v>
                </c:pt>
                <c:pt idx="238">
                  <c:v>0.9916666666666667</c:v>
                </c:pt>
                <c:pt idx="239">
                  <c:v>0.99583333333333324</c:v>
                </c:pt>
                <c:pt idx="240">
                  <c:v>1</c:v>
                </c:pt>
              </c:numCache>
            </c:numRef>
          </c:xVal>
          <c:yVal>
            <c:numRef>
              <c:f>Precip_YHD2!$C$3:$C$243</c:f>
              <c:numCache>
                <c:formatCode>General</c:formatCode>
                <c:ptCount val="241"/>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c:v>
                </c:pt>
                <c:pt idx="76">
                  <c:v>0</c:v>
                </c:pt>
                <c:pt idx="77">
                  <c:v>0</c:v>
                </c:pt>
                <c:pt idx="78">
                  <c:v>0</c:v>
                </c:pt>
                <c:pt idx="79">
                  <c:v>0</c:v>
                </c:pt>
                <c:pt idx="80">
                  <c:v>0</c:v>
                </c:pt>
                <c:pt idx="81">
                  <c:v>0</c:v>
                </c:pt>
                <c:pt idx="82">
                  <c:v>0</c:v>
                </c:pt>
                <c:pt idx="83">
                  <c:v>0</c:v>
                </c:pt>
                <c:pt idx="84">
                  <c:v>0</c:v>
                </c:pt>
                <c:pt idx="85">
                  <c:v>0</c:v>
                </c:pt>
                <c:pt idx="86">
                  <c:v>0</c:v>
                </c:pt>
                <c:pt idx="87">
                  <c:v>0</c:v>
                </c:pt>
                <c:pt idx="88">
                  <c:v>0</c:v>
                </c:pt>
                <c:pt idx="89">
                  <c:v>0</c:v>
                </c:pt>
                <c:pt idx="90">
                  <c:v>0</c:v>
                </c:pt>
                <c:pt idx="91">
                  <c:v>0</c:v>
                </c:pt>
                <c:pt idx="92">
                  <c:v>0</c:v>
                </c:pt>
                <c:pt idx="93">
                  <c:v>0</c:v>
                </c:pt>
                <c:pt idx="94">
                  <c:v>0</c:v>
                </c:pt>
                <c:pt idx="95">
                  <c:v>0</c:v>
                </c:pt>
                <c:pt idx="96">
                  <c:v>0</c:v>
                </c:pt>
                <c:pt idx="97">
                  <c:v>0</c:v>
                </c:pt>
                <c:pt idx="98">
                  <c:v>0</c:v>
                </c:pt>
                <c:pt idx="99">
                  <c:v>0</c:v>
                </c:pt>
                <c:pt idx="100">
                  <c:v>0</c:v>
                </c:pt>
                <c:pt idx="101">
                  <c:v>0.01</c:v>
                </c:pt>
                <c:pt idx="102">
                  <c:v>0.01</c:v>
                </c:pt>
                <c:pt idx="103">
                  <c:v>0.01</c:v>
                </c:pt>
                <c:pt idx="104">
                  <c:v>0.01</c:v>
                </c:pt>
                <c:pt idx="105">
                  <c:v>0.01</c:v>
                </c:pt>
                <c:pt idx="106">
                  <c:v>0.01</c:v>
                </c:pt>
                <c:pt idx="107">
                  <c:v>0.01</c:v>
                </c:pt>
                <c:pt idx="108">
                  <c:v>0.01</c:v>
                </c:pt>
                <c:pt idx="109">
                  <c:v>0.01</c:v>
                </c:pt>
                <c:pt idx="110">
                  <c:v>0.01</c:v>
                </c:pt>
                <c:pt idx="111">
                  <c:v>0.02</c:v>
                </c:pt>
                <c:pt idx="112">
                  <c:v>0.02</c:v>
                </c:pt>
                <c:pt idx="113">
                  <c:v>0.02</c:v>
                </c:pt>
                <c:pt idx="114">
                  <c:v>0.03</c:v>
                </c:pt>
                <c:pt idx="115">
                  <c:v>0.03</c:v>
                </c:pt>
                <c:pt idx="116">
                  <c:v>0.06</c:v>
                </c:pt>
                <c:pt idx="117">
                  <c:v>0.06</c:v>
                </c:pt>
                <c:pt idx="118">
                  <c:v>0.08</c:v>
                </c:pt>
                <c:pt idx="119">
                  <c:v>7.0000000000000007E-2</c:v>
                </c:pt>
                <c:pt idx="120">
                  <c:v>0.18</c:v>
                </c:pt>
                <c:pt idx="121">
                  <c:v>0.36</c:v>
                </c:pt>
                <c:pt idx="122">
                  <c:v>0.13</c:v>
                </c:pt>
                <c:pt idx="123">
                  <c:v>0.08</c:v>
                </c:pt>
                <c:pt idx="124">
                  <c:v>0.1</c:v>
                </c:pt>
                <c:pt idx="125">
                  <c:v>0.09</c:v>
                </c:pt>
                <c:pt idx="126">
                  <c:v>0.05</c:v>
                </c:pt>
                <c:pt idx="127">
                  <c:v>0.05</c:v>
                </c:pt>
                <c:pt idx="128">
                  <c:v>0.04</c:v>
                </c:pt>
                <c:pt idx="129">
                  <c:v>0.04</c:v>
                </c:pt>
                <c:pt idx="130">
                  <c:v>0.04</c:v>
                </c:pt>
                <c:pt idx="131">
                  <c:v>0.03</c:v>
                </c:pt>
                <c:pt idx="132">
                  <c:v>0.03</c:v>
                </c:pt>
                <c:pt idx="133">
                  <c:v>0.02</c:v>
                </c:pt>
                <c:pt idx="134">
                  <c:v>0.02</c:v>
                </c:pt>
                <c:pt idx="135">
                  <c:v>0.02</c:v>
                </c:pt>
                <c:pt idx="136">
                  <c:v>0.02</c:v>
                </c:pt>
                <c:pt idx="137">
                  <c:v>0.02</c:v>
                </c:pt>
                <c:pt idx="138">
                  <c:v>0.02</c:v>
                </c:pt>
                <c:pt idx="139">
                  <c:v>0.02</c:v>
                </c:pt>
                <c:pt idx="140">
                  <c:v>0.02</c:v>
                </c:pt>
                <c:pt idx="141">
                  <c:v>0.01</c:v>
                </c:pt>
                <c:pt idx="142">
                  <c:v>0.01</c:v>
                </c:pt>
                <c:pt idx="143">
                  <c:v>0.01</c:v>
                </c:pt>
                <c:pt idx="144">
                  <c:v>0.01</c:v>
                </c:pt>
                <c:pt idx="145">
                  <c:v>0.01</c:v>
                </c:pt>
                <c:pt idx="146">
                  <c:v>0.01</c:v>
                </c:pt>
                <c:pt idx="147">
                  <c:v>0.01</c:v>
                </c:pt>
                <c:pt idx="148">
                  <c:v>0.01</c:v>
                </c:pt>
                <c:pt idx="149">
                  <c:v>0.01</c:v>
                </c:pt>
                <c:pt idx="150">
                  <c:v>0.01</c:v>
                </c:pt>
                <c:pt idx="151">
                  <c:v>0.01</c:v>
                </c:pt>
                <c:pt idx="152">
                  <c:v>0.01</c:v>
                </c:pt>
                <c:pt idx="153">
                  <c:v>0.01</c:v>
                </c:pt>
                <c:pt idx="154">
                  <c:v>0.01</c:v>
                </c:pt>
                <c:pt idx="155">
                  <c:v>0.01</c:v>
                </c:pt>
                <c:pt idx="156">
                  <c:v>0.01</c:v>
                </c:pt>
                <c:pt idx="157">
                  <c:v>0.01</c:v>
                </c:pt>
                <c:pt idx="158">
                  <c:v>0.01</c:v>
                </c:pt>
                <c:pt idx="159">
                  <c:v>0.01</c:v>
                </c:pt>
                <c:pt idx="160">
                  <c:v>0.01</c:v>
                </c:pt>
                <c:pt idx="161">
                  <c:v>0.01</c:v>
                </c:pt>
                <c:pt idx="162">
                  <c:v>0.01</c:v>
                </c:pt>
                <c:pt idx="163">
                  <c:v>0.01</c:v>
                </c:pt>
                <c:pt idx="164">
                  <c:v>0.01</c:v>
                </c:pt>
                <c:pt idx="165">
                  <c:v>0.01</c:v>
                </c:pt>
                <c:pt idx="166">
                  <c:v>0.01</c:v>
                </c:pt>
                <c:pt idx="167">
                  <c:v>0.01</c:v>
                </c:pt>
                <c:pt idx="168">
                  <c:v>0.01</c:v>
                </c:pt>
                <c:pt idx="169">
                  <c:v>0.01</c:v>
                </c:pt>
                <c:pt idx="170">
                  <c:v>0.01</c:v>
                </c:pt>
                <c:pt idx="171">
                  <c:v>0.01</c:v>
                </c:pt>
                <c:pt idx="172">
                  <c:v>0.01</c:v>
                </c:pt>
                <c:pt idx="173">
                  <c:v>0.01</c:v>
                </c:pt>
                <c:pt idx="174">
                  <c:v>0.01</c:v>
                </c:pt>
                <c:pt idx="175">
                  <c:v>0.01</c:v>
                </c:pt>
                <c:pt idx="176">
                  <c:v>0.01</c:v>
                </c:pt>
                <c:pt idx="177">
                  <c:v>0.01</c:v>
                </c:pt>
                <c:pt idx="178">
                  <c:v>0.01</c:v>
                </c:pt>
                <c:pt idx="179">
                  <c:v>0.01</c:v>
                </c:pt>
                <c:pt idx="180">
                  <c:v>0.01</c:v>
                </c:pt>
                <c:pt idx="181">
                  <c:v>0.01</c:v>
                </c:pt>
                <c:pt idx="182">
                  <c:v>0.01</c:v>
                </c:pt>
                <c:pt idx="183">
                  <c:v>0.01</c:v>
                </c:pt>
                <c:pt idx="184">
                  <c:v>0.01</c:v>
                </c:pt>
                <c:pt idx="185">
                  <c:v>0.01</c:v>
                </c:pt>
                <c:pt idx="186">
                  <c:v>0.01</c:v>
                </c:pt>
                <c:pt idx="187">
                  <c:v>0.01</c:v>
                </c:pt>
                <c:pt idx="188">
                  <c:v>0.01</c:v>
                </c:pt>
                <c:pt idx="189">
                  <c:v>0.01</c:v>
                </c:pt>
                <c:pt idx="190">
                  <c:v>0.01</c:v>
                </c:pt>
                <c:pt idx="191">
                  <c:v>0.01</c:v>
                </c:pt>
                <c:pt idx="192">
                  <c:v>0.01</c:v>
                </c:pt>
                <c:pt idx="193">
                  <c:v>0.01</c:v>
                </c:pt>
                <c:pt idx="194">
                  <c:v>0.01</c:v>
                </c:pt>
                <c:pt idx="195">
                  <c:v>0.01</c:v>
                </c:pt>
                <c:pt idx="196">
                  <c:v>0.01</c:v>
                </c:pt>
                <c:pt idx="197">
                  <c:v>0.01</c:v>
                </c:pt>
                <c:pt idx="198">
                  <c:v>0.01</c:v>
                </c:pt>
                <c:pt idx="199">
                  <c:v>0.01</c:v>
                </c:pt>
                <c:pt idx="200">
                  <c:v>0</c:v>
                </c:pt>
                <c:pt idx="201">
                  <c:v>0</c:v>
                </c:pt>
                <c:pt idx="202">
                  <c:v>0</c:v>
                </c:pt>
                <c:pt idx="203">
                  <c:v>0</c:v>
                </c:pt>
                <c:pt idx="204">
                  <c:v>0</c:v>
                </c:pt>
                <c:pt idx="205">
                  <c:v>0</c:v>
                </c:pt>
                <c:pt idx="206">
                  <c:v>0</c:v>
                </c:pt>
                <c:pt idx="207">
                  <c:v>0</c:v>
                </c:pt>
                <c:pt idx="208">
                  <c:v>0</c:v>
                </c:pt>
                <c:pt idx="209">
                  <c:v>0</c:v>
                </c:pt>
                <c:pt idx="210">
                  <c:v>0</c:v>
                </c:pt>
                <c:pt idx="211">
                  <c:v>0</c:v>
                </c:pt>
                <c:pt idx="212">
                  <c:v>0</c:v>
                </c:pt>
                <c:pt idx="213">
                  <c:v>0</c:v>
                </c:pt>
                <c:pt idx="214">
                  <c:v>0</c:v>
                </c:pt>
                <c:pt idx="215">
                  <c:v>0</c:v>
                </c:pt>
                <c:pt idx="216">
                  <c:v>0</c:v>
                </c:pt>
                <c:pt idx="217">
                  <c:v>0</c:v>
                </c:pt>
                <c:pt idx="218">
                  <c:v>0</c:v>
                </c:pt>
                <c:pt idx="219">
                  <c:v>0</c:v>
                </c:pt>
                <c:pt idx="220">
                  <c:v>0</c:v>
                </c:pt>
                <c:pt idx="221">
                  <c:v>0</c:v>
                </c:pt>
                <c:pt idx="222">
                  <c:v>0</c:v>
                </c:pt>
                <c:pt idx="223">
                  <c:v>0</c:v>
                </c:pt>
                <c:pt idx="224">
                  <c:v>0</c:v>
                </c:pt>
                <c:pt idx="225">
                  <c:v>0</c:v>
                </c:pt>
                <c:pt idx="226">
                  <c:v>0</c:v>
                </c:pt>
                <c:pt idx="227">
                  <c:v>0</c:v>
                </c:pt>
                <c:pt idx="228">
                  <c:v>0</c:v>
                </c:pt>
                <c:pt idx="229">
                  <c:v>0</c:v>
                </c:pt>
                <c:pt idx="230">
                  <c:v>0</c:v>
                </c:pt>
                <c:pt idx="231">
                  <c:v>0</c:v>
                </c:pt>
                <c:pt idx="232">
                  <c:v>0</c:v>
                </c:pt>
                <c:pt idx="233">
                  <c:v>0</c:v>
                </c:pt>
                <c:pt idx="234">
                  <c:v>0</c:v>
                </c:pt>
                <c:pt idx="235">
                  <c:v>0</c:v>
                </c:pt>
                <c:pt idx="236">
                  <c:v>0</c:v>
                </c:pt>
                <c:pt idx="237">
                  <c:v>0</c:v>
                </c:pt>
                <c:pt idx="238">
                  <c:v>0</c:v>
                </c:pt>
                <c:pt idx="239">
                  <c:v>0</c:v>
                </c:pt>
                <c:pt idx="240">
                  <c:v>0</c:v>
                </c:pt>
              </c:numCache>
            </c:numRef>
          </c:yVal>
          <c:smooth val="1"/>
          <c:extLst xmlns:c16r2="http://schemas.microsoft.com/office/drawing/2015/06/chart">
            <c:ext xmlns:c16="http://schemas.microsoft.com/office/drawing/2014/chart" uri="{C3380CC4-5D6E-409C-BE32-E72D297353CC}">
              <c16:uniqueId val="{00000003-74B7-4CC5-B208-17FD530AA5AF}"/>
            </c:ext>
          </c:extLst>
        </c:ser>
        <c:ser>
          <c:idx val="0"/>
          <c:order val="5"/>
          <c:tx>
            <c:v>10 Percent Annual Chance</c:v>
          </c:tx>
          <c:spPr>
            <a:ln>
              <a:solidFill>
                <a:srgbClr val="33CC33"/>
              </a:solidFill>
            </a:ln>
          </c:spPr>
          <c:marker>
            <c:symbol val="none"/>
          </c:marker>
          <c:xVal>
            <c:numRef>
              <c:f>Precip_YHD2!$A$3:$A$243</c:f>
              <c:numCache>
                <c:formatCode>h:mm;@</c:formatCode>
                <c:ptCount val="241"/>
                <c:pt idx="0">
                  <c:v>0</c:v>
                </c:pt>
                <c:pt idx="1">
                  <c:v>4.1666666666666666E-3</c:v>
                </c:pt>
                <c:pt idx="2">
                  <c:v>8.3333333333333332E-3</c:v>
                </c:pt>
                <c:pt idx="3">
                  <c:v>1.2499999999999999E-2</c:v>
                </c:pt>
                <c:pt idx="4">
                  <c:v>1.6666666666666666E-2</c:v>
                </c:pt>
                <c:pt idx="5">
                  <c:v>2.0833333333333332E-2</c:v>
                </c:pt>
                <c:pt idx="6">
                  <c:v>2.4999999999999998E-2</c:v>
                </c:pt>
                <c:pt idx="7">
                  <c:v>2.9166666666666664E-2</c:v>
                </c:pt>
                <c:pt idx="8">
                  <c:v>3.3333333333333333E-2</c:v>
                </c:pt>
                <c:pt idx="9">
                  <c:v>3.7499999999999999E-2</c:v>
                </c:pt>
                <c:pt idx="10">
                  <c:v>4.1666666666666664E-2</c:v>
                </c:pt>
                <c:pt idx="11">
                  <c:v>4.5833333333333337E-2</c:v>
                </c:pt>
                <c:pt idx="12">
                  <c:v>4.9999999999999996E-2</c:v>
                </c:pt>
                <c:pt idx="13">
                  <c:v>5.4166666666666669E-2</c:v>
                </c:pt>
                <c:pt idx="14">
                  <c:v>5.8333333333333327E-2</c:v>
                </c:pt>
                <c:pt idx="15">
                  <c:v>6.25E-2</c:v>
                </c:pt>
                <c:pt idx="16">
                  <c:v>6.6666666666666666E-2</c:v>
                </c:pt>
                <c:pt idx="17">
                  <c:v>7.0833333333333331E-2</c:v>
                </c:pt>
                <c:pt idx="18">
                  <c:v>7.4999999999999997E-2</c:v>
                </c:pt>
                <c:pt idx="19">
                  <c:v>7.9166666666666663E-2</c:v>
                </c:pt>
                <c:pt idx="20">
                  <c:v>8.3333333333333329E-2</c:v>
                </c:pt>
                <c:pt idx="21">
                  <c:v>8.7500000000000008E-2</c:v>
                </c:pt>
                <c:pt idx="22">
                  <c:v>9.1666666666666674E-2</c:v>
                </c:pt>
                <c:pt idx="23">
                  <c:v>9.5833333333333326E-2</c:v>
                </c:pt>
                <c:pt idx="24">
                  <c:v>9.9999999999999992E-2</c:v>
                </c:pt>
                <c:pt idx="25">
                  <c:v>0.10416666666666667</c:v>
                </c:pt>
                <c:pt idx="26">
                  <c:v>0.10833333333333334</c:v>
                </c:pt>
                <c:pt idx="27">
                  <c:v>0.1125</c:v>
                </c:pt>
                <c:pt idx="28">
                  <c:v>0.11666666666666665</c:v>
                </c:pt>
                <c:pt idx="29">
                  <c:v>0.12083333333333333</c:v>
                </c:pt>
                <c:pt idx="30">
                  <c:v>0.125</c:v>
                </c:pt>
                <c:pt idx="31">
                  <c:v>0.12916666666666668</c:v>
                </c:pt>
                <c:pt idx="32">
                  <c:v>0.13333333333333333</c:v>
                </c:pt>
                <c:pt idx="33">
                  <c:v>0.13749999999999998</c:v>
                </c:pt>
                <c:pt idx="34">
                  <c:v>0.14166666666666666</c:v>
                </c:pt>
                <c:pt idx="35">
                  <c:v>0.14583333333333334</c:v>
                </c:pt>
                <c:pt idx="36">
                  <c:v>0.15</c:v>
                </c:pt>
                <c:pt idx="37">
                  <c:v>0.15416666666666667</c:v>
                </c:pt>
                <c:pt idx="38">
                  <c:v>0.15833333333333333</c:v>
                </c:pt>
                <c:pt idx="39">
                  <c:v>0.16250000000000001</c:v>
                </c:pt>
                <c:pt idx="40">
                  <c:v>0.16666666666666666</c:v>
                </c:pt>
                <c:pt idx="41">
                  <c:v>0.17083333333333331</c:v>
                </c:pt>
                <c:pt idx="42">
                  <c:v>0.17500000000000002</c:v>
                </c:pt>
                <c:pt idx="43">
                  <c:v>0.17916666666666667</c:v>
                </c:pt>
                <c:pt idx="44">
                  <c:v>0.18333333333333335</c:v>
                </c:pt>
                <c:pt idx="45">
                  <c:v>0.1875</c:v>
                </c:pt>
                <c:pt idx="46">
                  <c:v>0.19166666666666665</c:v>
                </c:pt>
                <c:pt idx="47">
                  <c:v>0.19583333333333333</c:v>
                </c:pt>
                <c:pt idx="48">
                  <c:v>0.19999999999999998</c:v>
                </c:pt>
                <c:pt idx="49">
                  <c:v>0.20416666666666669</c:v>
                </c:pt>
                <c:pt idx="50">
                  <c:v>0.20833333333333334</c:v>
                </c:pt>
                <c:pt idx="51">
                  <c:v>0.21249999999999999</c:v>
                </c:pt>
                <c:pt idx="52">
                  <c:v>0.21666666666666667</c:v>
                </c:pt>
                <c:pt idx="53">
                  <c:v>0.22083333333333333</c:v>
                </c:pt>
                <c:pt idx="54">
                  <c:v>0.22500000000000001</c:v>
                </c:pt>
                <c:pt idx="55">
                  <c:v>0.22916666666666666</c:v>
                </c:pt>
                <c:pt idx="56">
                  <c:v>0.23333333333333331</c:v>
                </c:pt>
                <c:pt idx="57">
                  <c:v>0.23750000000000002</c:v>
                </c:pt>
                <c:pt idx="58">
                  <c:v>0.24166666666666667</c:v>
                </c:pt>
                <c:pt idx="59">
                  <c:v>0.24583333333333335</c:v>
                </c:pt>
                <c:pt idx="60">
                  <c:v>0.25</c:v>
                </c:pt>
                <c:pt idx="61">
                  <c:v>0.25416666666666665</c:v>
                </c:pt>
                <c:pt idx="62">
                  <c:v>0.25833333333333336</c:v>
                </c:pt>
                <c:pt idx="63">
                  <c:v>0.26250000000000001</c:v>
                </c:pt>
                <c:pt idx="64">
                  <c:v>0.26666666666666666</c:v>
                </c:pt>
                <c:pt idx="65">
                  <c:v>0.27083333333333331</c:v>
                </c:pt>
                <c:pt idx="66">
                  <c:v>0.27499999999999997</c:v>
                </c:pt>
                <c:pt idx="67">
                  <c:v>0.27916666666666667</c:v>
                </c:pt>
                <c:pt idx="68">
                  <c:v>0.28333333333333333</c:v>
                </c:pt>
                <c:pt idx="69">
                  <c:v>0.28750000000000003</c:v>
                </c:pt>
                <c:pt idx="70">
                  <c:v>0.29166666666666669</c:v>
                </c:pt>
                <c:pt idx="71">
                  <c:v>0.29583333333333334</c:v>
                </c:pt>
                <c:pt idx="72">
                  <c:v>0.3</c:v>
                </c:pt>
                <c:pt idx="73">
                  <c:v>0.30416666666666664</c:v>
                </c:pt>
                <c:pt idx="74">
                  <c:v>0.30833333333333335</c:v>
                </c:pt>
                <c:pt idx="75">
                  <c:v>0.3125</c:v>
                </c:pt>
                <c:pt idx="76">
                  <c:v>0.31666666666666665</c:v>
                </c:pt>
                <c:pt idx="77">
                  <c:v>0.32083333333333336</c:v>
                </c:pt>
                <c:pt idx="78">
                  <c:v>0.32500000000000001</c:v>
                </c:pt>
                <c:pt idx="79">
                  <c:v>0.32916666666666666</c:v>
                </c:pt>
                <c:pt idx="80">
                  <c:v>0.33333333333333331</c:v>
                </c:pt>
                <c:pt idx="81">
                  <c:v>0.33749999999999997</c:v>
                </c:pt>
                <c:pt idx="82">
                  <c:v>0.34166666666666662</c:v>
                </c:pt>
                <c:pt idx="83">
                  <c:v>0.34583333333333338</c:v>
                </c:pt>
                <c:pt idx="84">
                  <c:v>0.35000000000000003</c:v>
                </c:pt>
                <c:pt idx="85">
                  <c:v>0.35416666666666669</c:v>
                </c:pt>
                <c:pt idx="86">
                  <c:v>0.35833333333333334</c:v>
                </c:pt>
                <c:pt idx="87">
                  <c:v>0.36249999999999999</c:v>
                </c:pt>
                <c:pt idx="88">
                  <c:v>0.3666666666666667</c:v>
                </c:pt>
                <c:pt idx="89">
                  <c:v>0.37083333333333335</c:v>
                </c:pt>
                <c:pt idx="90">
                  <c:v>0.375</c:v>
                </c:pt>
                <c:pt idx="91">
                  <c:v>0.37916666666666665</c:v>
                </c:pt>
                <c:pt idx="92">
                  <c:v>0.3833333333333333</c:v>
                </c:pt>
                <c:pt idx="93">
                  <c:v>0.38750000000000001</c:v>
                </c:pt>
                <c:pt idx="94">
                  <c:v>0.39166666666666666</c:v>
                </c:pt>
                <c:pt idx="95">
                  <c:v>0.39583333333333331</c:v>
                </c:pt>
                <c:pt idx="96">
                  <c:v>0.39999999999999997</c:v>
                </c:pt>
                <c:pt idx="97">
                  <c:v>0.40416666666666662</c:v>
                </c:pt>
                <c:pt idx="98">
                  <c:v>0.40833333333333338</c:v>
                </c:pt>
                <c:pt idx="99">
                  <c:v>0.41250000000000003</c:v>
                </c:pt>
                <c:pt idx="100">
                  <c:v>0.41666666666666669</c:v>
                </c:pt>
                <c:pt idx="101">
                  <c:v>0.42083333333333334</c:v>
                </c:pt>
                <c:pt idx="102">
                  <c:v>0.42499999999999999</c:v>
                </c:pt>
                <c:pt idx="103">
                  <c:v>0.4291666666666667</c:v>
                </c:pt>
                <c:pt idx="104">
                  <c:v>0.43333333333333335</c:v>
                </c:pt>
                <c:pt idx="105">
                  <c:v>0.4375</c:v>
                </c:pt>
                <c:pt idx="106">
                  <c:v>0.44166666666666665</c:v>
                </c:pt>
                <c:pt idx="107">
                  <c:v>0.4458333333333333</c:v>
                </c:pt>
                <c:pt idx="108">
                  <c:v>0.45</c:v>
                </c:pt>
                <c:pt idx="109">
                  <c:v>0.45416666666666666</c:v>
                </c:pt>
                <c:pt idx="110">
                  <c:v>0.45833333333333331</c:v>
                </c:pt>
                <c:pt idx="111">
                  <c:v>0.46249999999999997</c:v>
                </c:pt>
                <c:pt idx="112">
                  <c:v>0.46666666666666662</c:v>
                </c:pt>
                <c:pt idx="113">
                  <c:v>0.47083333333333338</c:v>
                </c:pt>
                <c:pt idx="114">
                  <c:v>0.47500000000000003</c:v>
                </c:pt>
                <c:pt idx="115">
                  <c:v>0.47916666666666669</c:v>
                </c:pt>
                <c:pt idx="116">
                  <c:v>0.48333333333333334</c:v>
                </c:pt>
                <c:pt idx="117">
                  <c:v>0.48749999999999999</c:v>
                </c:pt>
                <c:pt idx="118">
                  <c:v>0.4916666666666667</c:v>
                </c:pt>
                <c:pt idx="119">
                  <c:v>0.49583333333333335</c:v>
                </c:pt>
                <c:pt idx="120">
                  <c:v>0.5</c:v>
                </c:pt>
                <c:pt idx="121">
                  <c:v>0.50416666666666665</c:v>
                </c:pt>
                <c:pt idx="122">
                  <c:v>0.5083333333333333</c:v>
                </c:pt>
                <c:pt idx="123">
                  <c:v>0.51250000000000007</c:v>
                </c:pt>
                <c:pt idx="124">
                  <c:v>0.51666666666666672</c:v>
                </c:pt>
                <c:pt idx="125">
                  <c:v>0.52083333333333337</c:v>
                </c:pt>
                <c:pt idx="126">
                  <c:v>0.52500000000000002</c:v>
                </c:pt>
                <c:pt idx="127">
                  <c:v>0.52916666666666667</c:v>
                </c:pt>
                <c:pt idx="128">
                  <c:v>0.53333333333333333</c:v>
                </c:pt>
                <c:pt idx="129">
                  <c:v>0.53749999999999998</c:v>
                </c:pt>
                <c:pt idx="130">
                  <c:v>0.54166666666666663</c:v>
                </c:pt>
                <c:pt idx="131">
                  <c:v>0.54583333333333328</c:v>
                </c:pt>
                <c:pt idx="132">
                  <c:v>0.54999999999999993</c:v>
                </c:pt>
                <c:pt idx="133">
                  <c:v>0.5541666666666667</c:v>
                </c:pt>
                <c:pt idx="134">
                  <c:v>0.55833333333333335</c:v>
                </c:pt>
                <c:pt idx="135">
                  <c:v>0.5625</c:v>
                </c:pt>
                <c:pt idx="136">
                  <c:v>0.56666666666666665</c:v>
                </c:pt>
                <c:pt idx="137">
                  <c:v>0.5708333333333333</c:v>
                </c:pt>
                <c:pt idx="138">
                  <c:v>0.57500000000000007</c:v>
                </c:pt>
                <c:pt idx="139">
                  <c:v>0.57916666666666672</c:v>
                </c:pt>
                <c:pt idx="140">
                  <c:v>0.58333333333333337</c:v>
                </c:pt>
                <c:pt idx="141">
                  <c:v>0.58750000000000002</c:v>
                </c:pt>
                <c:pt idx="142">
                  <c:v>0.59166666666666667</c:v>
                </c:pt>
                <c:pt idx="143">
                  <c:v>0.59583333333333333</c:v>
                </c:pt>
                <c:pt idx="144">
                  <c:v>0.6</c:v>
                </c:pt>
                <c:pt idx="145">
                  <c:v>0.60416666666666663</c:v>
                </c:pt>
                <c:pt idx="146">
                  <c:v>0.60833333333333328</c:v>
                </c:pt>
                <c:pt idx="147">
                  <c:v>0.61249999999999993</c:v>
                </c:pt>
                <c:pt idx="148">
                  <c:v>0.6166666666666667</c:v>
                </c:pt>
                <c:pt idx="149">
                  <c:v>0.62083333333333335</c:v>
                </c:pt>
                <c:pt idx="150">
                  <c:v>0.625</c:v>
                </c:pt>
                <c:pt idx="151">
                  <c:v>0.62916666666666665</c:v>
                </c:pt>
                <c:pt idx="152">
                  <c:v>0.6333333333333333</c:v>
                </c:pt>
                <c:pt idx="153">
                  <c:v>0.63750000000000007</c:v>
                </c:pt>
                <c:pt idx="154">
                  <c:v>0.64166666666666672</c:v>
                </c:pt>
                <c:pt idx="155">
                  <c:v>0.64583333333333337</c:v>
                </c:pt>
                <c:pt idx="156">
                  <c:v>0.65</c:v>
                </c:pt>
                <c:pt idx="157">
                  <c:v>0.65416666666666667</c:v>
                </c:pt>
                <c:pt idx="158">
                  <c:v>0.65833333333333333</c:v>
                </c:pt>
                <c:pt idx="159">
                  <c:v>0.66249999999999998</c:v>
                </c:pt>
                <c:pt idx="160">
                  <c:v>0.66666666666666663</c:v>
                </c:pt>
                <c:pt idx="161">
                  <c:v>0.67083333333333339</c:v>
                </c:pt>
                <c:pt idx="162">
                  <c:v>0.67499999999999993</c:v>
                </c:pt>
                <c:pt idx="163">
                  <c:v>0.6791666666666667</c:v>
                </c:pt>
                <c:pt idx="164">
                  <c:v>0.68333333333333324</c:v>
                </c:pt>
                <c:pt idx="165">
                  <c:v>0.6875</c:v>
                </c:pt>
                <c:pt idx="166">
                  <c:v>0.69166666666666676</c:v>
                </c:pt>
                <c:pt idx="167">
                  <c:v>0.6958333333333333</c:v>
                </c:pt>
                <c:pt idx="168">
                  <c:v>0.70000000000000007</c:v>
                </c:pt>
                <c:pt idx="169">
                  <c:v>0.70416666666666661</c:v>
                </c:pt>
                <c:pt idx="170">
                  <c:v>0.70833333333333337</c:v>
                </c:pt>
                <c:pt idx="171">
                  <c:v>0.71250000000000002</c:v>
                </c:pt>
                <c:pt idx="172">
                  <c:v>0.71666666666666667</c:v>
                </c:pt>
                <c:pt idx="173">
                  <c:v>0.72083333333333333</c:v>
                </c:pt>
                <c:pt idx="174">
                  <c:v>0.72499999999999998</c:v>
                </c:pt>
                <c:pt idx="175">
                  <c:v>0.72916666666666663</c:v>
                </c:pt>
                <c:pt idx="176">
                  <c:v>0.73333333333333339</c:v>
                </c:pt>
                <c:pt idx="177">
                  <c:v>0.73749999999999993</c:v>
                </c:pt>
                <c:pt idx="178">
                  <c:v>0.7416666666666667</c:v>
                </c:pt>
                <c:pt idx="179">
                  <c:v>0.74583333333333324</c:v>
                </c:pt>
                <c:pt idx="180">
                  <c:v>0.75</c:v>
                </c:pt>
                <c:pt idx="181">
                  <c:v>0.75416666666666676</c:v>
                </c:pt>
                <c:pt idx="182">
                  <c:v>0.7583333333333333</c:v>
                </c:pt>
                <c:pt idx="183">
                  <c:v>0.76250000000000007</c:v>
                </c:pt>
                <c:pt idx="184">
                  <c:v>0.76666666666666661</c:v>
                </c:pt>
                <c:pt idx="185">
                  <c:v>0.77083333333333337</c:v>
                </c:pt>
                <c:pt idx="186">
                  <c:v>0.77500000000000002</c:v>
                </c:pt>
                <c:pt idx="187">
                  <c:v>0.77916666666666667</c:v>
                </c:pt>
                <c:pt idx="188">
                  <c:v>0.78333333333333333</c:v>
                </c:pt>
                <c:pt idx="189">
                  <c:v>0.78749999999999998</c:v>
                </c:pt>
                <c:pt idx="190">
                  <c:v>0.79166666666666663</c:v>
                </c:pt>
                <c:pt idx="191">
                  <c:v>0.79583333333333339</c:v>
                </c:pt>
                <c:pt idx="192">
                  <c:v>0.79999999999999993</c:v>
                </c:pt>
                <c:pt idx="193">
                  <c:v>0.8041666666666667</c:v>
                </c:pt>
                <c:pt idx="194">
                  <c:v>0.80833333333333324</c:v>
                </c:pt>
                <c:pt idx="195">
                  <c:v>0.8125</c:v>
                </c:pt>
                <c:pt idx="196">
                  <c:v>0.81666666666666676</c:v>
                </c:pt>
                <c:pt idx="197">
                  <c:v>0.8208333333333333</c:v>
                </c:pt>
                <c:pt idx="198">
                  <c:v>0.82500000000000007</c:v>
                </c:pt>
                <c:pt idx="199">
                  <c:v>0.82916666666666661</c:v>
                </c:pt>
                <c:pt idx="200">
                  <c:v>0.83333333333333337</c:v>
                </c:pt>
                <c:pt idx="201">
                  <c:v>0.83750000000000002</c:v>
                </c:pt>
                <c:pt idx="202">
                  <c:v>0.84166666666666667</c:v>
                </c:pt>
                <c:pt idx="203">
                  <c:v>0.84583333333333333</c:v>
                </c:pt>
                <c:pt idx="204">
                  <c:v>0.85</c:v>
                </c:pt>
                <c:pt idx="205">
                  <c:v>0.85416666666666663</c:v>
                </c:pt>
                <c:pt idx="206">
                  <c:v>0.85833333333333339</c:v>
                </c:pt>
                <c:pt idx="207">
                  <c:v>0.86249999999999993</c:v>
                </c:pt>
                <c:pt idx="208">
                  <c:v>0.8666666666666667</c:v>
                </c:pt>
                <c:pt idx="209">
                  <c:v>0.87083333333333324</c:v>
                </c:pt>
                <c:pt idx="210">
                  <c:v>0.875</c:v>
                </c:pt>
                <c:pt idx="211">
                  <c:v>0.87916666666666676</c:v>
                </c:pt>
                <c:pt idx="212">
                  <c:v>0.8833333333333333</c:v>
                </c:pt>
                <c:pt idx="213">
                  <c:v>0.88750000000000007</c:v>
                </c:pt>
                <c:pt idx="214">
                  <c:v>0.89166666666666661</c:v>
                </c:pt>
                <c:pt idx="215">
                  <c:v>0.89583333333333337</c:v>
                </c:pt>
                <c:pt idx="216">
                  <c:v>0.9</c:v>
                </c:pt>
                <c:pt idx="217">
                  <c:v>0.90416666666666667</c:v>
                </c:pt>
                <c:pt idx="218">
                  <c:v>0.90833333333333333</c:v>
                </c:pt>
                <c:pt idx="219">
                  <c:v>0.91249999999999998</c:v>
                </c:pt>
                <c:pt idx="220">
                  <c:v>0.91666666666666663</c:v>
                </c:pt>
                <c:pt idx="221">
                  <c:v>0.92083333333333339</c:v>
                </c:pt>
                <c:pt idx="222">
                  <c:v>0.92499999999999993</c:v>
                </c:pt>
                <c:pt idx="223">
                  <c:v>0.9291666666666667</c:v>
                </c:pt>
                <c:pt idx="224">
                  <c:v>0.93333333333333324</c:v>
                </c:pt>
                <c:pt idx="225">
                  <c:v>0.9375</c:v>
                </c:pt>
                <c:pt idx="226">
                  <c:v>0.94166666666666676</c:v>
                </c:pt>
                <c:pt idx="227">
                  <c:v>0.9458333333333333</c:v>
                </c:pt>
                <c:pt idx="228">
                  <c:v>0.95000000000000007</c:v>
                </c:pt>
                <c:pt idx="229">
                  <c:v>0.95416666666666661</c:v>
                </c:pt>
                <c:pt idx="230">
                  <c:v>0.95833333333333337</c:v>
                </c:pt>
                <c:pt idx="231">
                  <c:v>0.96250000000000002</c:v>
                </c:pt>
                <c:pt idx="232">
                  <c:v>0.96666666666666667</c:v>
                </c:pt>
                <c:pt idx="233">
                  <c:v>0.97083333333333333</c:v>
                </c:pt>
                <c:pt idx="234">
                  <c:v>0.97499999999999998</c:v>
                </c:pt>
                <c:pt idx="235">
                  <c:v>0.97916666666666663</c:v>
                </c:pt>
                <c:pt idx="236">
                  <c:v>0.98333333333333339</c:v>
                </c:pt>
                <c:pt idx="237">
                  <c:v>0.98749999999999993</c:v>
                </c:pt>
                <c:pt idx="238">
                  <c:v>0.9916666666666667</c:v>
                </c:pt>
                <c:pt idx="239">
                  <c:v>0.99583333333333324</c:v>
                </c:pt>
                <c:pt idx="240">
                  <c:v>1</c:v>
                </c:pt>
              </c:numCache>
            </c:numRef>
          </c:xVal>
          <c:yVal>
            <c:numRef>
              <c:f>Precip_YHD2!$B$3:$B$243</c:f>
              <c:numCache>
                <c:formatCode>General</c:formatCode>
                <c:ptCount val="241"/>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c:v>
                </c:pt>
                <c:pt idx="76">
                  <c:v>0</c:v>
                </c:pt>
                <c:pt idx="77">
                  <c:v>0</c:v>
                </c:pt>
                <c:pt idx="78">
                  <c:v>0</c:v>
                </c:pt>
                <c:pt idx="79">
                  <c:v>0</c:v>
                </c:pt>
                <c:pt idx="80">
                  <c:v>0</c:v>
                </c:pt>
                <c:pt idx="81">
                  <c:v>0</c:v>
                </c:pt>
                <c:pt idx="82">
                  <c:v>0</c:v>
                </c:pt>
                <c:pt idx="83">
                  <c:v>0</c:v>
                </c:pt>
                <c:pt idx="84">
                  <c:v>0</c:v>
                </c:pt>
                <c:pt idx="85">
                  <c:v>0</c:v>
                </c:pt>
                <c:pt idx="86">
                  <c:v>0</c:v>
                </c:pt>
                <c:pt idx="87">
                  <c:v>0</c:v>
                </c:pt>
                <c:pt idx="88">
                  <c:v>0</c:v>
                </c:pt>
                <c:pt idx="89">
                  <c:v>0</c:v>
                </c:pt>
                <c:pt idx="90">
                  <c:v>0</c:v>
                </c:pt>
                <c:pt idx="91">
                  <c:v>0</c:v>
                </c:pt>
                <c:pt idx="92">
                  <c:v>0</c:v>
                </c:pt>
                <c:pt idx="93">
                  <c:v>0</c:v>
                </c:pt>
                <c:pt idx="94">
                  <c:v>0</c:v>
                </c:pt>
                <c:pt idx="95">
                  <c:v>0</c:v>
                </c:pt>
                <c:pt idx="96">
                  <c:v>0</c:v>
                </c:pt>
                <c:pt idx="97">
                  <c:v>0</c:v>
                </c:pt>
                <c:pt idx="98">
                  <c:v>0</c:v>
                </c:pt>
                <c:pt idx="99">
                  <c:v>0</c:v>
                </c:pt>
                <c:pt idx="100">
                  <c:v>0</c:v>
                </c:pt>
                <c:pt idx="101">
                  <c:v>0</c:v>
                </c:pt>
                <c:pt idx="102">
                  <c:v>0</c:v>
                </c:pt>
                <c:pt idx="103">
                  <c:v>0</c:v>
                </c:pt>
                <c:pt idx="104">
                  <c:v>0</c:v>
                </c:pt>
                <c:pt idx="105">
                  <c:v>0</c:v>
                </c:pt>
                <c:pt idx="106">
                  <c:v>0.01</c:v>
                </c:pt>
                <c:pt idx="107">
                  <c:v>0.01</c:v>
                </c:pt>
                <c:pt idx="108">
                  <c:v>0.01</c:v>
                </c:pt>
                <c:pt idx="109">
                  <c:v>0.01</c:v>
                </c:pt>
                <c:pt idx="110">
                  <c:v>0.01</c:v>
                </c:pt>
                <c:pt idx="111">
                  <c:v>0.01</c:v>
                </c:pt>
                <c:pt idx="112">
                  <c:v>0.01</c:v>
                </c:pt>
                <c:pt idx="113">
                  <c:v>0.02</c:v>
                </c:pt>
                <c:pt idx="114">
                  <c:v>0.02</c:v>
                </c:pt>
                <c:pt idx="115">
                  <c:v>0.02</c:v>
                </c:pt>
                <c:pt idx="116">
                  <c:v>0.04</c:v>
                </c:pt>
                <c:pt idx="117">
                  <c:v>0.04</c:v>
                </c:pt>
                <c:pt idx="118">
                  <c:v>0.05</c:v>
                </c:pt>
                <c:pt idx="119">
                  <c:v>0.05</c:v>
                </c:pt>
                <c:pt idx="120">
                  <c:v>0.13</c:v>
                </c:pt>
                <c:pt idx="121">
                  <c:v>0.26</c:v>
                </c:pt>
                <c:pt idx="122">
                  <c:v>0.1</c:v>
                </c:pt>
                <c:pt idx="123">
                  <c:v>0.06</c:v>
                </c:pt>
                <c:pt idx="124">
                  <c:v>7.0000000000000007E-2</c:v>
                </c:pt>
                <c:pt idx="125">
                  <c:v>7.0000000000000007E-2</c:v>
                </c:pt>
                <c:pt idx="126">
                  <c:v>0.04</c:v>
                </c:pt>
                <c:pt idx="127">
                  <c:v>0.04</c:v>
                </c:pt>
                <c:pt idx="128">
                  <c:v>0.03</c:v>
                </c:pt>
                <c:pt idx="129">
                  <c:v>0.03</c:v>
                </c:pt>
                <c:pt idx="130">
                  <c:v>0.03</c:v>
                </c:pt>
                <c:pt idx="131">
                  <c:v>0.02</c:v>
                </c:pt>
                <c:pt idx="132">
                  <c:v>0.02</c:v>
                </c:pt>
                <c:pt idx="133">
                  <c:v>0.02</c:v>
                </c:pt>
                <c:pt idx="134">
                  <c:v>0.02</c:v>
                </c:pt>
                <c:pt idx="135">
                  <c:v>0.02</c:v>
                </c:pt>
                <c:pt idx="136">
                  <c:v>0.01</c:v>
                </c:pt>
                <c:pt idx="137">
                  <c:v>0.01</c:v>
                </c:pt>
                <c:pt idx="138">
                  <c:v>0.01</c:v>
                </c:pt>
                <c:pt idx="139">
                  <c:v>0.01</c:v>
                </c:pt>
                <c:pt idx="140">
                  <c:v>0.01</c:v>
                </c:pt>
                <c:pt idx="141">
                  <c:v>0.01</c:v>
                </c:pt>
                <c:pt idx="142">
                  <c:v>0.01</c:v>
                </c:pt>
                <c:pt idx="143">
                  <c:v>0.01</c:v>
                </c:pt>
                <c:pt idx="144">
                  <c:v>0.01</c:v>
                </c:pt>
                <c:pt idx="145">
                  <c:v>0.01</c:v>
                </c:pt>
                <c:pt idx="146">
                  <c:v>0.01</c:v>
                </c:pt>
                <c:pt idx="147">
                  <c:v>0.01</c:v>
                </c:pt>
                <c:pt idx="148">
                  <c:v>0.01</c:v>
                </c:pt>
                <c:pt idx="149">
                  <c:v>0.01</c:v>
                </c:pt>
                <c:pt idx="150">
                  <c:v>0.01</c:v>
                </c:pt>
                <c:pt idx="151">
                  <c:v>0.01</c:v>
                </c:pt>
                <c:pt idx="152">
                  <c:v>0.01</c:v>
                </c:pt>
                <c:pt idx="153">
                  <c:v>0.01</c:v>
                </c:pt>
                <c:pt idx="154">
                  <c:v>0.01</c:v>
                </c:pt>
                <c:pt idx="155">
                  <c:v>0.01</c:v>
                </c:pt>
                <c:pt idx="156">
                  <c:v>0.01</c:v>
                </c:pt>
                <c:pt idx="157">
                  <c:v>0.01</c:v>
                </c:pt>
                <c:pt idx="158">
                  <c:v>0.01</c:v>
                </c:pt>
                <c:pt idx="159">
                  <c:v>0.01</c:v>
                </c:pt>
                <c:pt idx="160">
                  <c:v>0.01</c:v>
                </c:pt>
                <c:pt idx="161">
                  <c:v>0.01</c:v>
                </c:pt>
                <c:pt idx="162">
                  <c:v>0.01</c:v>
                </c:pt>
                <c:pt idx="163">
                  <c:v>0.01</c:v>
                </c:pt>
                <c:pt idx="164">
                  <c:v>0.01</c:v>
                </c:pt>
                <c:pt idx="165">
                  <c:v>0.01</c:v>
                </c:pt>
                <c:pt idx="166">
                  <c:v>0.01</c:v>
                </c:pt>
                <c:pt idx="167">
                  <c:v>0.01</c:v>
                </c:pt>
                <c:pt idx="168">
                  <c:v>0.01</c:v>
                </c:pt>
                <c:pt idx="169">
                  <c:v>0.01</c:v>
                </c:pt>
                <c:pt idx="170">
                  <c:v>0.01</c:v>
                </c:pt>
                <c:pt idx="171">
                  <c:v>0.01</c:v>
                </c:pt>
                <c:pt idx="172">
                  <c:v>0.01</c:v>
                </c:pt>
                <c:pt idx="173">
                  <c:v>0.01</c:v>
                </c:pt>
                <c:pt idx="174">
                  <c:v>0.01</c:v>
                </c:pt>
                <c:pt idx="175">
                  <c:v>0.01</c:v>
                </c:pt>
                <c:pt idx="176">
                  <c:v>0.01</c:v>
                </c:pt>
                <c:pt idx="177">
                  <c:v>0.01</c:v>
                </c:pt>
                <c:pt idx="178">
                  <c:v>0.01</c:v>
                </c:pt>
                <c:pt idx="179">
                  <c:v>0.01</c:v>
                </c:pt>
                <c:pt idx="180">
                  <c:v>0.01</c:v>
                </c:pt>
                <c:pt idx="181">
                  <c:v>0</c:v>
                </c:pt>
                <c:pt idx="182">
                  <c:v>0</c:v>
                </c:pt>
                <c:pt idx="183">
                  <c:v>0</c:v>
                </c:pt>
                <c:pt idx="184">
                  <c:v>0</c:v>
                </c:pt>
                <c:pt idx="185">
                  <c:v>0</c:v>
                </c:pt>
                <c:pt idx="186">
                  <c:v>0</c:v>
                </c:pt>
                <c:pt idx="187">
                  <c:v>0</c:v>
                </c:pt>
                <c:pt idx="188">
                  <c:v>0</c:v>
                </c:pt>
                <c:pt idx="189">
                  <c:v>0</c:v>
                </c:pt>
                <c:pt idx="190">
                  <c:v>0</c:v>
                </c:pt>
                <c:pt idx="191">
                  <c:v>0</c:v>
                </c:pt>
                <c:pt idx="192">
                  <c:v>0</c:v>
                </c:pt>
                <c:pt idx="193">
                  <c:v>0</c:v>
                </c:pt>
                <c:pt idx="194">
                  <c:v>0</c:v>
                </c:pt>
                <c:pt idx="195">
                  <c:v>0</c:v>
                </c:pt>
                <c:pt idx="196">
                  <c:v>0</c:v>
                </c:pt>
                <c:pt idx="197">
                  <c:v>0</c:v>
                </c:pt>
                <c:pt idx="198">
                  <c:v>0</c:v>
                </c:pt>
                <c:pt idx="199">
                  <c:v>0</c:v>
                </c:pt>
                <c:pt idx="200">
                  <c:v>0</c:v>
                </c:pt>
                <c:pt idx="201">
                  <c:v>0</c:v>
                </c:pt>
                <c:pt idx="202">
                  <c:v>0</c:v>
                </c:pt>
                <c:pt idx="203">
                  <c:v>0</c:v>
                </c:pt>
                <c:pt idx="204">
                  <c:v>0</c:v>
                </c:pt>
                <c:pt idx="205">
                  <c:v>0</c:v>
                </c:pt>
                <c:pt idx="206">
                  <c:v>0</c:v>
                </c:pt>
                <c:pt idx="207">
                  <c:v>0</c:v>
                </c:pt>
                <c:pt idx="208">
                  <c:v>0</c:v>
                </c:pt>
                <c:pt idx="209">
                  <c:v>0</c:v>
                </c:pt>
                <c:pt idx="210">
                  <c:v>0</c:v>
                </c:pt>
                <c:pt idx="211">
                  <c:v>0</c:v>
                </c:pt>
                <c:pt idx="212">
                  <c:v>0</c:v>
                </c:pt>
                <c:pt idx="213">
                  <c:v>0</c:v>
                </c:pt>
                <c:pt idx="214">
                  <c:v>0</c:v>
                </c:pt>
                <c:pt idx="215">
                  <c:v>0</c:v>
                </c:pt>
                <c:pt idx="216">
                  <c:v>0</c:v>
                </c:pt>
                <c:pt idx="217">
                  <c:v>0</c:v>
                </c:pt>
                <c:pt idx="218">
                  <c:v>0</c:v>
                </c:pt>
                <c:pt idx="219">
                  <c:v>0</c:v>
                </c:pt>
                <c:pt idx="220">
                  <c:v>0</c:v>
                </c:pt>
                <c:pt idx="221">
                  <c:v>0</c:v>
                </c:pt>
                <c:pt idx="222">
                  <c:v>0</c:v>
                </c:pt>
                <c:pt idx="223">
                  <c:v>0</c:v>
                </c:pt>
                <c:pt idx="224">
                  <c:v>0</c:v>
                </c:pt>
                <c:pt idx="225">
                  <c:v>0</c:v>
                </c:pt>
                <c:pt idx="226">
                  <c:v>0</c:v>
                </c:pt>
                <c:pt idx="227">
                  <c:v>0</c:v>
                </c:pt>
                <c:pt idx="228">
                  <c:v>0</c:v>
                </c:pt>
                <c:pt idx="229">
                  <c:v>0</c:v>
                </c:pt>
                <c:pt idx="230">
                  <c:v>0</c:v>
                </c:pt>
                <c:pt idx="231">
                  <c:v>0</c:v>
                </c:pt>
                <c:pt idx="232">
                  <c:v>0</c:v>
                </c:pt>
                <c:pt idx="233">
                  <c:v>0</c:v>
                </c:pt>
                <c:pt idx="234">
                  <c:v>0</c:v>
                </c:pt>
                <c:pt idx="235">
                  <c:v>0</c:v>
                </c:pt>
                <c:pt idx="236">
                  <c:v>0</c:v>
                </c:pt>
                <c:pt idx="237">
                  <c:v>0</c:v>
                </c:pt>
                <c:pt idx="238">
                  <c:v>0</c:v>
                </c:pt>
                <c:pt idx="239">
                  <c:v>0</c:v>
                </c:pt>
                <c:pt idx="240">
                  <c:v>0</c:v>
                </c:pt>
              </c:numCache>
            </c:numRef>
          </c:yVal>
          <c:smooth val="1"/>
          <c:extLst xmlns:c16r2="http://schemas.microsoft.com/office/drawing/2015/06/chart">
            <c:ext xmlns:c16="http://schemas.microsoft.com/office/drawing/2014/chart" uri="{C3380CC4-5D6E-409C-BE32-E72D297353CC}">
              <c16:uniqueId val="{00000004-74B7-4CC5-B208-17FD530AA5AF}"/>
            </c:ext>
          </c:extLst>
        </c:ser>
        <c:ser>
          <c:idx val="6"/>
          <c:order val="6"/>
          <c:tx>
            <c:v>1 Percent Minus Annual Chance</c:v>
          </c:tx>
          <c:marker>
            <c:symbol val="none"/>
          </c:marker>
          <c:xVal>
            <c:strRef>
              <c:f>Precip_YHD2!$B$3:$B$243</c:f>
              <c:strCache>
                <c:ptCount val="241"/>
                <c:pt idx="0">
                  <c:v> </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c:v>
                </c:pt>
                <c:pt idx="76">
                  <c:v>0</c:v>
                </c:pt>
                <c:pt idx="77">
                  <c:v>0</c:v>
                </c:pt>
                <c:pt idx="78">
                  <c:v>0</c:v>
                </c:pt>
                <c:pt idx="79">
                  <c:v>0</c:v>
                </c:pt>
                <c:pt idx="80">
                  <c:v>0</c:v>
                </c:pt>
                <c:pt idx="81">
                  <c:v>0</c:v>
                </c:pt>
                <c:pt idx="82">
                  <c:v>0</c:v>
                </c:pt>
                <c:pt idx="83">
                  <c:v>0</c:v>
                </c:pt>
                <c:pt idx="84">
                  <c:v>0</c:v>
                </c:pt>
                <c:pt idx="85">
                  <c:v>0</c:v>
                </c:pt>
                <c:pt idx="86">
                  <c:v>0</c:v>
                </c:pt>
                <c:pt idx="87">
                  <c:v>0</c:v>
                </c:pt>
                <c:pt idx="88">
                  <c:v>0</c:v>
                </c:pt>
                <c:pt idx="89">
                  <c:v>0</c:v>
                </c:pt>
                <c:pt idx="90">
                  <c:v>0</c:v>
                </c:pt>
                <c:pt idx="91">
                  <c:v>0</c:v>
                </c:pt>
                <c:pt idx="92">
                  <c:v>0</c:v>
                </c:pt>
                <c:pt idx="93">
                  <c:v>0</c:v>
                </c:pt>
                <c:pt idx="94">
                  <c:v>0</c:v>
                </c:pt>
                <c:pt idx="95">
                  <c:v>0</c:v>
                </c:pt>
                <c:pt idx="96">
                  <c:v>0</c:v>
                </c:pt>
                <c:pt idx="97">
                  <c:v>0</c:v>
                </c:pt>
                <c:pt idx="98">
                  <c:v>0</c:v>
                </c:pt>
                <c:pt idx="99">
                  <c:v>0</c:v>
                </c:pt>
                <c:pt idx="100">
                  <c:v>0</c:v>
                </c:pt>
                <c:pt idx="101">
                  <c:v>0</c:v>
                </c:pt>
                <c:pt idx="102">
                  <c:v>0</c:v>
                </c:pt>
                <c:pt idx="103">
                  <c:v>0</c:v>
                </c:pt>
                <c:pt idx="104">
                  <c:v>0</c:v>
                </c:pt>
                <c:pt idx="105">
                  <c:v>0</c:v>
                </c:pt>
                <c:pt idx="106">
                  <c:v>0.01</c:v>
                </c:pt>
                <c:pt idx="107">
                  <c:v>0.01</c:v>
                </c:pt>
                <c:pt idx="108">
                  <c:v>0.01</c:v>
                </c:pt>
                <c:pt idx="109">
                  <c:v>0.01</c:v>
                </c:pt>
                <c:pt idx="110">
                  <c:v>0.01</c:v>
                </c:pt>
                <c:pt idx="111">
                  <c:v>0.01</c:v>
                </c:pt>
                <c:pt idx="112">
                  <c:v>0.01</c:v>
                </c:pt>
                <c:pt idx="113">
                  <c:v>0.02</c:v>
                </c:pt>
                <c:pt idx="114">
                  <c:v>0.02</c:v>
                </c:pt>
                <c:pt idx="115">
                  <c:v>0.02</c:v>
                </c:pt>
                <c:pt idx="116">
                  <c:v>0.04</c:v>
                </c:pt>
                <c:pt idx="117">
                  <c:v>0.04</c:v>
                </c:pt>
                <c:pt idx="118">
                  <c:v>0.05</c:v>
                </c:pt>
                <c:pt idx="119">
                  <c:v>0.05</c:v>
                </c:pt>
                <c:pt idx="120">
                  <c:v>0.13</c:v>
                </c:pt>
                <c:pt idx="121">
                  <c:v>0.26</c:v>
                </c:pt>
                <c:pt idx="122">
                  <c:v>0.1</c:v>
                </c:pt>
                <c:pt idx="123">
                  <c:v>0.06</c:v>
                </c:pt>
                <c:pt idx="124">
                  <c:v>0.07</c:v>
                </c:pt>
                <c:pt idx="125">
                  <c:v>0.07</c:v>
                </c:pt>
                <c:pt idx="126">
                  <c:v>0.04</c:v>
                </c:pt>
                <c:pt idx="127">
                  <c:v>0.04</c:v>
                </c:pt>
                <c:pt idx="128">
                  <c:v>0.03</c:v>
                </c:pt>
                <c:pt idx="129">
                  <c:v>0.03</c:v>
                </c:pt>
                <c:pt idx="130">
                  <c:v>0.03</c:v>
                </c:pt>
                <c:pt idx="131">
                  <c:v>0.02</c:v>
                </c:pt>
                <c:pt idx="132">
                  <c:v>0.02</c:v>
                </c:pt>
                <c:pt idx="133">
                  <c:v>0.02</c:v>
                </c:pt>
                <c:pt idx="134">
                  <c:v>0.02</c:v>
                </c:pt>
                <c:pt idx="135">
                  <c:v>0.02</c:v>
                </c:pt>
                <c:pt idx="136">
                  <c:v>0.01</c:v>
                </c:pt>
                <c:pt idx="137">
                  <c:v>0.01</c:v>
                </c:pt>
                <c:pt idx="138">
                  <c:v>0.01</c:v>
                </c:pt>
                <c:pt idx="139">
                  <c:v>0.01</c:v>
                </c:pt>
                <c:pt idx="140">
                  <c:v>0.01</c:v>
                </c:pt>
                <c:pt idx="141">
                  <c:v>0.01</c:v>
                </c:pt>
                <c:pt idx="142">
                  <c:v>0.01</c:v>
                </c:pt>
                <c:pt idx="143">
                  <c:v>0.01</c:v>
                </c:pt>
                <c:pt idx="144">
                  <c:v>0.01</c:v>
                </c:pt>
                <c:pt idx="145">
                  <c:v>0.01</c:v>
                </c:pt>
                <c:pt idx="146">
                  <c:v>0.01</c:v>
                </c:pt>
                <c:pt idx="147">
                  <c:v>0.01</c:v>
                </c:pt>
                <c:pt idx="148">
                  <c:v>0.01</c:v>
                </c:pt>
                <c:pt idx="149">
                  <c:v>0.01</c:v>
                </c:pt>
                <c:pt idx="150">
                  <c:v>0.01</c:v>
                </c:pt>
                <c:pt idx="151">
                  <c:v>0.01</c:v>
                </c:pt>
                <c:pt idx="152">
                  <c:v>0.01</c:v>
                </c:pt>
                <c:pt idx="153">
                  <c:v>0.01</c:v>
                </c:pt>
                <c:pt idx="154">
                  <c:v>0.01</c:v>
                </c:pt>
                <c:pt idx="155">
                  <c:v>0.01</c:v>
                </c:pt>
                <c:pt idx="156">
                  <c:v>0.01</c:v>
                </c:pt>
                <c:pt idx="157">
                  <c:v>0.01</c:v>
                </c:pt>
                <c:pt idx="158">
                  <c:v>0.01</c:v>
                </c:pt>
                <c:pt idx="159">
                  <c:v>0.01</c:v>
                </c:pt>
                <c:pt idx="160">
                  <c:v>0.01</c:v>
                </c:pt>
                <c:pt idx="161">
                  <c:v>0.01</c:v>
                </c:pt>
                <c:pt idx="162">
                  <c:v>0.01</c:v>
                </c:pt>
                <c:pt idx="163">
                  <c:v>0.01</c:v>
                </c:pt>
                <c:pt idx="164">
                  <c:v>0.01</c:v>
                </c:pt>
                <c:pt idx="165">
                  <c:v>0.01</c:v>
                </c:pt>
                <c:pt idx="166">
                  <c:v>0.01</c:v>
                </c:pt>
                <c:pt idx="167">
                  <c:v>0.01</c:v>
                </c:pt>
                <c:pt idx="168">
                  <c:v>0.01</c:v>
                </c:pt>
                <c:pt idx="169">
                  <c:v>0.01</c:v>
                </c:pt>
                <c:pt idx="170">
                  <c:v>0.01</c:v>
                </c:pt>
                <c:pt idx="171">
                  <c:v>0.01</c:v>
                </c:pt>
                <c:pt idx="172">
                  <c:v>0.01</c:v>
                </c:pt>
                <c:pt idx="173">
                  <c:v>0.01</c:v>
                </c:pt>
                <c:pt idx="174">
                  <c:v>0.01</c:v>
                </c:pt>
                <c:pt idx="175">
                  <c:v>0.01</c:v>
                </c:pt>
                <c:pt idx="176">
                  <c:v>0.01</c:v>
                </c:pt>
                <c:pt idx="177">
                  <c:v>0.01</c:v>
                </c:pt>
                <c:pt idx="178">
                  <c:v>0.01</c:v>
                </c:pt>
                <c:pt idx="179">
                  <c:v>0.01</c:v>
                </c:pt>
                <c:pt idx="180">
                  <c:v>0.01</c:v>
                </c:pt>
                <c:pt idx="181">
                  <c:v>0</c:v>
                </c:pt>
                <c:pt idx="182">
                  <c:v>0</c:v>
                </c:pt>
                <c:pt idx="183">
                  <c:v>0</c:v>
                </c:pt>
                <c:pt idx="184">
                  <c:v>0</c:v>
                </c:pt>
                <c:pt idx="185">
                  <c:v>0</c:v>
                </c:pt>
                <c:pt idx="186">
                  <c:v>0</c:v>
                </c:pt>
                <c:pt idx="187">
                  <c:v>0</c:v>
                </c:pt>
                <c:pt idx="188">
                  <c:v>0</c:v>
                </c:pt>
                <c:pt idx="189">
                  <c:v>0</c:v>
                </c:pt>
                <c:pt idx="190">
                  <c:v>0</c:v>
                </c:pt>
                <c:pt idx="191">
                  <c:v>0</c:v>
                </c:pt>
                <c:pt idx="192">
                  <c:v>0</c:v>
                </c:pt>
                <c:pt idx="193">
                  <c:v>0</c:v>
                </c:pt>
                <c:pt idx="194">
                  <c:v>0</c:v>
                </c:pt>
                <c:pt idx="195">
                  <c:v>0</c:v>
                </c:pt>
                <c:pt idx="196">
                  <c:v>0</c:v>
                </c:pt>
                <c:pt idx="197">
                  <c:v>0</c:v>
                </c:pt>
                <c:pt idx="198">
                  <c:v>0</c:v>
                </c:pt>
                <c:pt idx="199">
                  <c:v>0</c:v>
                </c:pt>
                <c:pt idx="200">
                  <c:v>0</c:v>
                </c:pt>
                <c:pt idx="201">
                  <c:v>0</c:v>
                </c:pt>
                <c:pt idx="202">
                  <c:v>0</c:v>
                </c:pt>
                <c:pt idx="203">
                  <c:v>0</c:v>
                </c:pt>
                <c:pt idx="204">
                  <c:v>0</c:v>
                </c:pt>
                <c:pt idx="205">
                  <c:v>0</c:v>
                </c:pt>
                <c:pt idx="206">
                  <c:v>0</c:v>
                </c:pt>
                <c:pt idx="207">
                  <c:v>0</c:v>
                </c:pt>
                <c:pt idx="208">
                  <c:v>0</c:v>
                </c:pt>
                <c:pt idx="209">
                  <c:v>0</c:v>
                </c:pt>
                <c:pt idx="210">
                  <c:v>0</c:v>
                </c:pt>
                <c:pt idx="211">
                  <c:v>0</c:v>
                </c:pt>
                <c:pt idx="212">
                  <c:v>0</c:v>
                </c:pt>
                <c:pt idx="213">
                  <c:v>0</c:v>
                </c:pt>
                <c:pt idx="214">
                  <c:v>0</c:v>
                </c:pt>
                <c:pt idx="215">
                  <c:v>0</c:v>
                </c:pt>
                <c:pt idx="216">
                  <c:v>0</c:v>
                </c:pt>
                <c:pt idx="217">
                  <c:v>0</c:v>
                </c:pt>
                <c:pt idx="218">
                  <c:v>0</c:v>
                </c:pt>
                <c:pt idx="219">
                  <c:v>0</c:v>
                </c:pt>
                <c:pt idx="220">
                  <c:v>0</c:v>
                </c:pt>
                <c:pt idx="221">
                  <c:v>0</c:v>
                </c:pt>
                <c:pt idx="222">
                  <c:v>0</c:v>
                </c:pt>
                <c:pt idx="223">
                  <c:v>0</c:v>
                </c:pt>
                <c:pt idx="224">
                  <c:v>0</c:v>
                </c:pt>
                <c:pt idx="225">
                  <c:v>0</c:v>
                </c:pt>
                <c:pt idx="226">
                  <c:v>0</c:v>
                </c:pt>
                <c:pt idx="227">
                  <c:v>0</c:v>
                </c:pt>
                <c:pt idx="228">
                  <c:v>0</c:v>
                </c:pt>
                <c:pt idx="229">
                  <c:v>0</c:v>
                </c:pt>
                <c:pt idx="230">
                  <c:v>0</c:v>
                </c:pt>
                <c:pt idx="231">
                  <c:v>0</c:v>
                </c:pt>
                <c:pt idx="232">
                  <c:v>0</c:v>
                </c:pt>
                <c:pt idx="233">
                  <c:v>0</c:v>
                </c:pt>
                <c:pt idx="234">
                  <c:v>0</c:v>
                </c:pt>
                <c:pt idx="235">
                  <c:v>0</c:v>
                </c:pt>
                <c:pt idx="236">
                  <c:v>0</c:v>
                </c:pt>
                <c:pt idx="237">
                  <c:v>0</c:v>
                </c:pt>
                <c:pt idx="238">
                  <c:v>0</c:v>
                </c:pt>
                <c:pt idx="239">
                  <c:v>0</c:v>
                </c:pt>
                <c:pt idx="240">
                  <c:v>0</c:v>
                </c:pt>
              </c:strCache>
            </c:strRef>
          </c:xVal>
          <c:yVal>
            <c:numRef>
              <c:f>Precip_YHD2!$H$3:$H$243</c:f>
              <c:numCache>
                <c:formatCode>General</c:formatCode>
                <c:ptCount val="241"/>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c:v>
                </c:pt>
                <c:pt idx="76">
                  <c:v>0</c:v>
                </c:pt>
                <c:pt idx="77">
                  <c:v>0</c:v>
                </c:pt>
                <c:pt idx="78">
                  <c:v>0</c:v>
                </c:pt>
                <c:pt idx="79">
                  <c:v>0</c:v>
                </c:pt>
                <c:pt idx="80">
                  <c:v>0</c:v>
                </c:pt>
                <c:pt idx="81">
                  <c:v>0</c:v>
                </c:pt>
                <c:pt idx="82">
                  <c:v>0</c:v>
                </c:pt>
                <c:pt idx="83">
                  <c:v>0</c:v>
                </c:pt>
                <c:pt idx="84">
                  <c:v>0</c:v>
                </c:pt>
                <c:pt idx="85">
                  <c:v>0</c:v>
                </c:pt>
                <c:pt idx="86">
                  <c:v>0</c:v>
                </c:pt>
                <c:pt idx="87">
                  <c:v>0</c:v>
                </c:pt>
                <c:pt idx="88">
                  <c:v>0</c:v>
                </c:pt>
                <c:pt idx="89">
                  <c:v>0</c:v>
                </c:pt>
                <c:pt idx="90">
                  <c:v>0</c:v>
                </c:pt>
                <c:pt idx="91">
                  <c:v>0</c:v>
                </c:pt>
                <c:pt idx="92">
                  <c:v>0</c:v>
                </c:pt>
                <c:pt idx="93">
                  <c:v>0</c:v>
                </c:pt>
                <c:pt idx="94">
                  <c:v>0</c:v>
                </c:pt>
                <c:pt idx="95">
                  <c:v>0</c:v>
                </c:pt>
                <c:pt idx="96">
                  <c:v>0</c:v>
                </c:pt>
                <c:pt idx="97">
                  <c:v>0</c:v>
                </c:pt>
                <c:pt idx="98">
                  <c:v>0</c:v>
                </c:pt>
                <c:pt idx="99">
                  <c:v>0</c:v>
                </c:pt>
                <c:pt idx="100">
                  <c:v>0</c:v>
                </c:pt>
                <c:pt idx="101">
                  <c:v>0</c:v>
                </c:pt>
                <c:pt idx="102">
                  <c:v>0</c:v>
                </c:pt>
                <c:pt idx="103">
                  <c:v>0</c:v>
                </c:pt>
                <c:pt idx="104">
                  <c:v>0</c:v>
                </c:pt>
                <c:pt idx="105">
                  <c:v>0</c:v>
                </c:pt>
                <c:pt idx="106">
                  <c:v>0</c:v>
                </c:pt>
                <c:pt idx="107">
                  <c:v>0</c:v>
                </c:pt>
                <c:pt idx="108">
                  <c:v>0</c:v>
                </c:pt>
                <c:pt idx="109">
                  <c:v>0</c:v>
                </c:pt>
                <c:pt idx="110">
                  <c:v>0</c:v>
                </c:pt>
                <c:pt idx="111">
                  <c:v>0.01</c:v>
                </c:pt>
                <c:pt idx="112">
                  <c:v>0.01</c:v>
                </c:pt>
                <c:pt idx="113">
                  <c:v>0.01</c:v>
                </c:pt>
                <c:pt idx="114">
                  <c:v>0.01</c:v>
                </c:pt>
                <c:pt idx="115">
                  <c:v>0.01</c:v>
                </c:pt>
                <c:pt idx="116">
                  <c:v>0.03</c:v>
                </c:pt>
                <c:pt idx="117">
                  <c:v>0.04</c:v>
                </c:pt>
                <c:pt idx="118">
                  <c:v>0.05</c:v>
                </c:pt>
                <c:pt idx="119">
                  <c:v>0.04</c:v>
                </c:pt>
                <c:pt idx="120">
                  <c:v>0.12</c:v>
                </c:pt>
                <c:pt idx="121">
                  <c:v>0.26</c:v>
                </c:pt>
                <c:pt idx="122">
                  <c:v>0.1</c:v>
                </c:pt>
                <c:pt idx="123">
                  <c:v>0.06</c:v>
                </c:pt>
                <c:pt idx="124">
                  <c:v>0.08</c:v>
                </c:pt>
                <c:pt idx="125">
                  <c:v>7.0000000000000007E-2</c:v>
                </c:pt>
                <c:pt idx="126">
                  <c:v>0.04</c:v>
                </c:pt>
                <c:pt idx="127">
                  <c:v>0.04</c:v>
                </c:pt>
                <c:pt idx="128">
                  <c:v>0.03</c:v>
                </c:pt>
                <c:pt idx="129">
                  <c:v>0.03</c:v>
                </c:pt>
                <c:pt idx="130">
                  <c:v>0.03</c:v>
                </c:pt>
                <c:pt idx="131">
                  <c:v>0.02</c:v>
                </c:pt>
                <c:pt idx="132">
                  <c:v>0.02</c:v>
                </c:pt>
                <c:pt idx="133">
                  <c:v>0.02</c:v>
                </c:pt>
                <c:pt idx="134">
                  <c:v>0.02</c:v>
                </c:pt>
                <c:pt idx="135">
                  <c:v>0.02</c:v>
                </c:pt>
                <c:pt idx="136">
                  <c:v>0.01</c:v>
                </c:pt>
                <c:pt idx="137">
                  <c:v>0.01</c:v>
                </c:pt>
                <c:pt idx="138">
                  <c:v>0.01</c:v>
                </c:pt>
                <c:pt idx="139">
                  <c:v>0.01</c:v>
                </c:pt>
                <c:pt idx="140">
                  <c:v>0.01</c:v>
                </c:pt>
                <c:pt idx="141">
                  <c:v>0.01</c:v>
                </c:pt>
                <c:pt idx="142">
                  <c:v>0.01</c:v>
                </c:pt>
                <c:pt idx="143">
                  <c:v>0.01</c:v>
                </c:pt>
                <c:pt idx="144">
                  <c:v>0.01</c:v>
                </c:pt>
                <c:pt idx="145">
                  <c:v>0.01</c:v>
                </c:pt>
                <c:pt idx="146">
                  <c:v>0.01</c:v>
                </c:pt>
                <c:pt idx="147">
                  <c:v>0.01</c:v>
                </c:pt>
                <c:pt idx="148">
                  <c:v>0.01</c:v>
                </c:pt>
                <c:pt idx="149">
                  <c:v>0.01</c:v>
                </c:pt>
                <c:pt idx="150">
                  <c:v>0.01</c:v>
                </c:pt>
                <c:pt idx="151">
                  <c:v>0.01</c:v>
                </c:pt>
                <c:pt idx="152">
                  <c:v>0.01</c:v>
                </c:pt>
                <c:pt idx="153">
                  <c:v>0.01</c:v>
                </c:pt>
                <c:pt idx="154">
                  <c:v>0.01</c:v>
                </c:pt>
                <c:pt idx="155">
                  <c:v>0.01</c:v>
                </c:pt>
                <c:pt idx="156">
                  <c:v>0.01</c:v>
                </c:pt>
                <c:pt idx="157">
                  <c:v>0.01</c:v>
                </c:pt>
                <c:pt idx="158">
                  <c:v>0.01</c:v>
                </c:pt>
                <c:pt idx="159">
                  <c:v>0.01</c:v>
                </c:pt>
                <c:pt idx="160">
                  <c:v>0.01</c:v>
                </c:pt>
                <c:pt idx="161">
                  <c:v>0.01</c:v>
                </c:pt>
                <c:pt idx="162">
                  <c:v>0.01</c:v>
                </c:pt>
                <c:pt idx="163">
                  <c:v>0.01</c:v>
                </c:pt>
                <c:pt idx="164">
                  <c:v>0.01</c:v>
                </c:pt>
                <c:pt idx="165">
                  <c:v>0.01</c:v>
                </c:pt>
                <c:pt idx="166">
                  <c:v>0.01</c:v>
                </c:pt>
                <c:pt idx="167">
                  <c:v>0.01</c:v>
                </c:pt>
                <c:pt idx="168">
                  <c:v>0.01</c:v>
                </c:pt>
                <c:pt idx="169">
                  <c:v>0.01</c:v>
                </c:pt>
                <c:pt idx="170">
                  <c:v>0.01</c:v>
                </c:pt>
                <c:pt idx="171">
                  <c:v>0.01</c:v>
                </c:pt>
                <c:pt idx="172">
                  <c:v>0.01</c:v>
                </c:pt>
                <c:pt idx="173">
                  <c:v>0.01</c:v>
                </c:pt>
                <c:pt idx="174">
                  <c:v>0.01</c:v>
                </c:pt>
                <c:pt idx="175">
                  <c:v>0.01</c:v>
                </c:pt>
                <c:pt idx="176">
                  <c:v>0.01</c:v>
                </c:pt>
                <c:pt idx="177">
                  <c:v>0.01</c:v>
                </c:pt>
                <c:pt idx="178">
                  <c:v>0.01</c:v>
                </c:pt>
                <c:pt idx="179">
                  <c:v>0.01</c:v>
                </c:pt>
                <c:pt idx="180">
                  <c:v>0.01</c:v>
                </c:pt>
                <c:pt idx="181">
                  <c:v>0.01</c:v>
                </c:pt>
                <c:pt idx="182">
                  <c:v>0.01</c:v>
                </c:pt>
                <c:pt idx="183">
                  <c:v>0.01</c:v>
                </c:pt>
                <c:pt idx="184">
                  <c:v>0.01</c:v>
                </c:pt>
                <c:pt idx="185">
                  <c:v>0.01</c:v>
                </c:pt>
                <c:pt idx="186">
                  <c:v>0.01</c:v>
                </c:pt>
                <c:pt idx="187">
                  <c:v>0.01</c:v>
                </c:pt>
                <c:pt idx="188">
                  <c:v>0.01</c:v>
                </c:pt>
                <c:pt idx="189">
                  <c:v>0.01</c:v>
                </c:pt>
                <c:pt idx="190">
                  <c:v>0.01</c:v>
                </c:pt>
                <c:pt idx="191">
                  <c:v>0.01</c:v>
                </c:pt>
                <c:pt idx="192">
                  <c:v>0</c:v>
                </c:pt>
                <c:pt idx="193">
                  <c:v>0</c:v>
                </c:pt>
                <c:pt idx="194">
                  <c:v>0</c:v>
                </c:pt>
                <c:pt idx="195">
                  <c:v>0</c:v>
                </c:pt>
                <c:pt idx="196">
                  <c:v>0</c:v>
                </c:pt>
                <c:pt idx="197">
                  <c:v>0</c:v>
                </c:pt>
                <c:pt idx="198">
                  <c:v>0</c:v>
                </c:pt>
                <c:pt idx="199">
                  <c:v>0</c:v>
                </c:pt>
                <c:pt idx="200">
                  <c:v>0</c:v>
                </c:pt>
                <c:pt idx="201">
                  <c:v>0</c:v>
                </c:pt>
                <c:pt idx="202">
                  <c:v>0</c:v>
                </c:pt>
                <c:pt idx="203">
                  <c:v>0</c:v>
                </c:pt>
                <c:pt idx="204">
                  <c:v>0</c:v>
                </c:pt>
                <c:pt idx="205">
                  <c:v>0</c:v>
                </c:pt>
                <c:pt idx="206">
                  <c:v>0</c:v>
                </c:pt>
                <c:pt idx="207">
                  <c:v>0</c:v>
                </c:pt>
                <c:pt idx="208">
                  <c:v>0</c:v>
                </c:pt>
                <c:pt idx="209">
                  <c:v>0</c:v>
                </c:pt>
                <c:pt idx="210">
                  <c:v>0</c:v>
                </c:pt>
                <c:pt idx="211">
                  <c:v>0</c:v>
                </c:pt>
                <c:pt idx="212">
                  <c:v>0</c:v>
                </c:pt>
                <c:pt idx="213">
                  <c:v>0</c:v>
                </c:pt>
                <c:pt idx="214">
                  <c:v>0</c:v>
                </c:pt>
                <c:pt idx="215">
                  <c:v>0</c:v>
                </c:pt>
                <c:pt idx="216">
                  <c:v>0</c:v>
                </c:pt>
                <c:pt idx="217">
                  <c:v>0</c:v>
                </c:pt>
                <c:pt idx="218">
                  <c:v>0</c:v>
                </c:pt>
                <c:pt idx="219">
                  <c:v>0</c:v>
                </c:pt>
                <c:pt idx="220">
                  <c:v>0</c:v>
                </c:pt>
                <c:pt idx="221">
                  <c:v>0</c:v>
                </c:pt>
                <c:pt idx="222">
                  <c:v>0</c:v>
                </c:pt>
                <c:pt idx="223">
                  <c:v>0</c:v>
                </c:pt>
                <c:pt idx="224">
                  <c:v>0</c:v>
                </c:pt>
                <c:pt idx="225">
                  <c:v>0</c:v>
                </c:pt>
                <c:pt idx="226">
                  <c:v>0</c:v>
                </c:pt>
                <c:pt idx="227">
                  <c:v>0</c:v>
                </c:pt>
                <c:pt idx="228">
                  <c:v>0</c:v>
                </c:pt>
                <c:pt idx="229">
                  <c:v>0</c:v>
                </c:pt>
                <c:pt idx="230">
                  <c:v>0</c:v>
                </c:pt>
                <c:pt idx="231">
                  <c:v>0</c:v>
                </c:pt>
                <c:pt idx="232">
                  <c:v>0</c:v>
                </c:pt>
                <c:pt idx="233">
                  <c:v>0</c:v>
                </c:pt>
                <c:pt idx="234">
                  <c:v>0</c:v>
                </c:pt>
                <c:pt idx="235">
                  <c:v>0</c:v>
                </c:pt>
                <c:pt idx="236">
                  <c:v>0</c:v>
                </c:pt>
                <c:pt idx="237">
                  <c:v>0</c:v>
                </c:pt>
                <c:pt idx="238">
                  <c:v>0</c:v>
                </c:pt>
                <c:pt idx="239">
                  <c:v>0</c:v>
                </c:pt>
                <c:pt idx="240">
                  <c:v>0</c:v>
                </c:pt>
              </c:numCache>
            </c:numRef>
          </c:yVal>
          <c:smooth val="1"/>
          <c:extLst xmlns:c16r2="http://schemas.microsoft.com/office/drawing/2015/06/chart">
            <c:ext xmlns:c16="http://schemas.microsoft.com/office/drawing/2014/chart" uri="{C3380CC4-5D6E-409C-BE32-E72D297353CC}">
              <c16:uniqueId val="{00000006-74B7-4CC5-B208-17FD530AA5AF}"/>
            </c:ext>
          </c:extLst>
        </c:ser>
        <c:dLbls>
          <c:showLegendKey val="0"/>
          <c:showVal val="0"/>
          <c:showCatName val="0"/>
          <c:showSerName val="0"/>
          <c:showPercent val="0"/>
          <c:showBubbleSize val="0"/>
        </c:dLbls>
        <c:axId val="126124416"/>
        <c:axId val="126126336"/>
      </c:scatterChart>
      <c:valAx>
        <c:axId val="126124416"/>
        <c:scaling>
          <c:orientation val="minMax"/>
          <c:max val="1"/>
        </c:scaling>
        <c:delete val="0"/>
        <c:axPos val="b"/>
        <c:title>
          <c:tx>
            <c:rich>
              <a:bodyPr/>
              <a:lstStyle/>
              <a:p>
                <a:pPr>
                  <a:defRPr/>
                </a:pPr>
                <a:r>
                  <a:rPr lang="en-US"/>
                  <a:t>Time (hours)</a:t>
                </a:r>
              </a:p>
            </c:rich>
          </c:tx>
          <c:layout/>
          <c:overlay val="0"/>
        </c:title>
        <c:numFmt formatCode="h:mm;@" sourceLinked="0"/>
        <c:majorTickMark val="out"/>
        <c:minorTickMark val="none"/>
        <c:tickLblPos val="nextTo"/>
        <c:crossAx val="126126336"/>
        <c:crosses val="autoZero"/>
        <c:crossBetween val="midCat"/>
        <c:majorUnit val="0.1"/>
        <c:minorUnit val="2.0000000000000004E-2"/>
      </c:valAx>
      <c:valAx>
        <c:axId val="126126336"/>
        <c:scaling>
          <c:orientation val="minMax"/>
          <c:min val="0"/>
        </c:scaling>
        <c:delete val="0"/>
        <c:axPos val="l"/>
        <c:majorGridlines/>
        <c:title>
          <c:tx>
            <c:rich>
              <a:bodyPr rot="-5400000" vert="horz"/>
              <a:lstStyle/>
              <a:p>
                <a:pPr>
                  <a:defRPr/>
                </a:pPr>
                <a:r>
                  <a:rPr lang="en-US"/>
                  <a:t>Incremental Precipitation</a:t>
                </a:r>
                <a:r>
                  <a:rPr lang="en-US" baseline="0"/>
                  <a:t> (in)</a:t>
                </a:r>
                <a:endParaRPr lang="en-US"/>
              </a:p>
            </c:rich>
          </c:tx>
          <c:layout>
            <c:manualLayout>
              <c:xMode val="edge"/>
              <c:yMode val="edge"/>
              <c:x val="1.0469011725293133E-2"/>
              <c:y val="0.28479270523922046"/>
            </c:manualLayout>
          </c:layout>
          <c:overlay val="0"/>
        </c:title>
        <c:numFmt formatCode="#,##0.00" sourceLinked="0"/>
        <c:majorTickMark val="out"/>
        <c:minorTickMark val="none"/>
        <c:tickLblPos val="nextTo"/>
        <c:crossAx val="126124416"/>
        <c:crosses val="autoZero"/>
        <c:crossBetween val="midCat"/>
      </c:valAx>
      <c:spPr>
        <a:ln>
          <a:solidFill>
            <a:schemeClr val="tx1"/>
          </a:solidFill>
        </a:ln>
      </c:spPr>
    </c:plotArea>
    <c:legend>
      <c:legendPos val="r"/>
      <c:layout>
        <c:manualLayout>
          <c:xMode val="edge"/>
          <c:yMode val="edge"/>
          <c:x val="0.61766555914614718"/>
          <c:y val="3.4729793391210712E-2"/>
          <c:w val="0.33965439291186866"/>
          <c:h val="0.36062790228144559"/>
        </c:manualLayout>
      </c:layout>
      <c:overlay val="1"/>
      <c:spPr>
        <a:solidFill>
          <a:schemeClr val="bg1"/>
        </a:solidFill>
        <a:ln>
          <a:solidFill>
            <a:schemeClr val="tx1"/>
          </a:solidFill>
        </a:ln>
      </c:spPr>
    </c:legend>
    <c:plotVisOnly val="1"/>
    <c:dispBlanksAs val="gap"/>
    <c:showDLblsOverMax val="0"/>
  </c:chart>
  <c:externalData r:id="rId2">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scatterChart>
        <c:scatterStyle val="smoothMarker"/>
        <c:varyColors val="0"/>
        <c:ser>
          <c:idx val="5"/>
          <c:order val="0"/>
          <c:tx>
            <c:v>1 Percent Plus Annual Chance</c:v>
          </c:tx>
          <c:marker>
            <c:symbol val="none"/>
          </c:marker>
          <c:xVal>
            <c:numRef>
              <c:f>Precip_YHD3!$A$3:$A$243</c:f>
              <c:numCache>
                <c:formatCode>h:mm;@</c:formatCode>
                <c:ptCount val="241"/>
                <c:pt idx="0">
                  <c:v>0</c:v>
                </c:pt>
                <c:pt idx="1">
                  <c:v>4.1666666666666666E-3</c:v>
                </c:pt>
                <c:pt idx="2">
                  <c:v>8.3333333333333332E-3</c:v>
                </c:pt>
                <c:pt idx="3">
                  <c:v>1.2499999999999999E-2</c:v>
                </c:pt>
                <c:pt idx="4">
                  <c:v>1.6666666666666666E-2</c:v>
                </c:pt>
                <c:pt idx="5">
                  <c:v>2.0833333333333332E-2</c:v>
                </c:pt>
                <c:pt idx="6">
                  <c:v>2.4999999999999998E-2</c:v>
                </c:pt>
                <c:pt idx="7">
                  <c:v>2.9166666666666664E-2</c:v>
                </c:pt>
                <c:pt idx="8">
                  <c:v>3.3333333333333333E-2</c:v>
                </c:pt>
                <c:pt idx="9">
                  <c:v>3.7499999999999999E-2</c:v>
                </c:pt>
                <c:pt idx="10">
                  <c:v>4.1666666666666664E-2</c:v>
                </c:pt>
                <c:pt idx="11">
                  <c:v>4.5833333333333337E-2</c:v>
                </c:pt>
                <c:pt idx="12">
                  <c:v>4.9999999999999996E-2</c:v>
                </c:pt>
                <c:pt idx="13">
                  <c:v>5.4166666666666669E-2</c:v>
                </c:pt>
                <c:pt idx="14">
                  <c:v>5.8333333333333327E-2</c:v>
                </c:pt>
                <c:pt idx="15">
                  <c:v>6.25E-2</c:v>
                </c:pt>
                <c:pt idx="16">
                  <c:v>6.6666666666666666E-2</c:v>
                </c:pt>
                <c:pt idx="17">
                  <c:v>7.0833333333333331E-2</c:v>
                </c:pt>
                <c:pt idx="18">
                  <c:v>7.4999999999999997E-2</c:v>
                </c:pt>
                <c:pt idx="19">
                  <c:v>7.9166666666666663E-2</c:v>
                </c:pt>
                <c:pt idx="20">
                  <c:v>8.3333333333333329E-2</c:v>
                </c:pt>
                <c:pt idx="21">
                  <c:v>8.7500000000000008E-2</c:v>
                </c:pt>
                <c:pt idx="22">
                  <c:v>9.1666666666666674E-2</c:v>
                </c:pt>
                <c:pt idx="23">
                  <c:v>9.5833333333333326E-2</c:v>
                </c:pt>
                <c:pt idx="24">
                  <c:v>9.9999999999999992E-2</c:v>
                </c:pt>
                <c:pt idx="25">
                  <c:v>0.10416666666666667</c:v>
                </c:pt>
                <c:pt idx="26">
                  <c:v>0.10833333333333334</c:v>
                </c:pt>
                <c:pt idx="27">
                  <c:v>0.1125</c:v>
                </c:pt>
                <c:pt idx="28">
                  <c:v>0.11666666666666665</c:v>
                </c:pt>
                <c:pt idx="29">
                  <c:v>0.12083333333333333</c:v>
                </c:pt>
                <c:pt idx="30">
                  <c:v>0.125</c:v>
                </c:pt>
                <c:pt idx="31">
                  <c:v>0.12916666666666668</c:v>
                </c:pt>
                <c:pt idx="32">
                  <c:v>0.13333333333333333</c:v>
                </c:pt>
                <c:pt idx="33">
                  <c:v>0.13749999999999998</c:v>
                </c:pt>
                <c:pt idx="34">
                  <c:v>0.14166666666666666</c:v>
                </c:pt>
                <c:pt idx="35">
                  <c:v>0.14583333333333334</c:v>
                </c:pt>
                <c:pt idx="36">
                  <c:v>0.15</c:v>
                </c:pt>
                <c:pt idx="37">
                  <c:v>0.15416666666666667</c:v>
                </c:pt>
                <c:pt idx="38">
                  <c:v>0.15833333333333333</c:v>
                </c:pt>
                <c:pt idx="39">
                  <c:v>0.16250000000000001</c:v>
                </c:pt>
                <c:pt idx="40">
                  <c:v>0.16666666666666666</c:v>
                </c:pt>
                <c:pt idx="41">
                  <c:v>0.17083333333333331</c:v>
                </c:pt>
                <c:pt idx="42">
                  <c:v>0.17500000000000002</c:v>
                </c:pt>
                <c:pt idx="43">
                  <c:v>0.17916666666666667</c:v>
                </c:pt>
                <c:pt idx="44">
                  <c:v>0.18333333333333335</c:v>
                </c:pt>
                <c:pt idx="45">
                  <c:v>0.1875</c:v>
                </c:pt>
                <c:pt idx="46">
                  <c:v>0.19166666666666665</c:v>
                </c:pt>
                <c:pt idx="47">
                  <c:v>0.19583333333333333</c:v>
                </c:pt>
                <c:pt idx="48">
                  <c:v>0.19999999999999998</c:v>
                </c:pt>
                <c:pt idx="49">
                  <c:v>0.20416666666666669</c:v>
                </c:pt>
                <c:pt idx="50">
                  <c:v>0.20833333333333334</c:v>
                </c:pt>
                <c:pt idx="51">
                  <c:v>0.21249999999999999</c:v>
                </c:pt>
                <c:pt idx="52">
                  <c:v>0.21666666666666667</c:v>
                </c:pt>
                <c:pt idx="53">
                  <c:v>0.22083333333333333</c:v>
                </c:pt>
                <c:pt idx="54">
                  <c:v>0.22500000000000001</c:v>
                </c:pt>
                <c:pt idx="55">
                  <c:v>0.22916666666666666</c:v>
                </c:pt>
                <c:pt idx="56">
                  <c:v>0.23333333333333331</c:v>
                </c:pt>
                <c:pt idx="57">
                  <c:v>0.23750000000000002</c:v>
                </c:pt>
                <c:pt idx="58">
                  <c:v>0.24166666666666667</c:v>
                </c:pt>
                <c:pt idx="59">
                  <c:v>0.24583333333333335</c:v>
                </c:pt>
                <c:pt idx="60">
                  <c:v>0.25</c:v>
                </c:pt>
                <c:pt idx="61">
                  <c:v>0.25416666666666665</c:v>
                </c:pt>
                <c:pt idx="62">
                  <c:v>0.25833333333333336</c:v>
                </c:pt>
                <c:pt idx="63">
                  <c:v>0.26250000000000001</c:v>
                </c:pt>
                <c:pt idx="64">
                  <c:v>0.26666666666666666</c:v>
                </c:pt>
                <c:pt idx="65">
                  <c:v>0.27083333333333331</c:v>
                </c:pt>
                <c:pt idx="66">
                  <c:v>0.27499999999999997</c:v>
                </c:pt>
                <c:pt idx="67">
                  <c:v>0.27916666666666667</c:v>
                </c:pt>
                <c:pt idx="68">
                  <c:v>0.28333333333333333</c:v>
                </c:pt>
                <c:pt idx="69">
                  <c:v>0.28750000000000003</c:v>
                </c:pt>
                <c:pt idx="70">
                  <c:v>0.29166666666666669</c:v>
                </c:pt>
                <c:pt idx="71">
                  <c:v>0.29583333333333334</c:v>
                </c:pt>
                <c:pt idx="72">
                  <c:v>0.3</c:v>
                </c:pt>
                <c:pt idx="73">
                  <c:v>0.30416666666666664</c:v>
                </c:pt>
                <c:pt idx="74">
                  <c:v>0.30833333333333335</c:v>
                </c:pt>
                <c:pt idx="75">
                  <c:v>0.3125</c:v>
                </c:pt>
                <c:pt idx="76">
                  <c:v>0.31666666666666665</c:v>
                </c:pt>
                <c:pt idx="77">
                  <c:v>0.32083333333333336</c:v>
                </c:pt>
                <c:pt idx="78">
                  <c:v>0.32500000000000001</c:v>
                </c:pt>
                <c:pt idx="79">
                  <c:v>0.32916666666666666</c:v>
                </c:pt>
                <c:pt idx="80">
                  <c:v>0.33333333333333331</c:v>
                </c:pt>
                <c:pt idx="81">
                  <c:v>0.33749999999999997</c:v>
                </c:pt>
                <c:pt idx="82">
                  <c:v>0.34166666666666662</c:v>
                </c:pt>
                <c:pt idx="83">
                  <c:v>0.34583333333333338</c:v>
                </c:pt>
                <c:pt idx="84">
                  <c:v>0.35000000000000003</c:v>
                </c:pt>
                <c:pt idx="85">
                  <c:v>0.35416666666666669</c:v>
                </c:pt>
                <c:pt idx="86">
                  <c:v>0.35833333333333334</c:v>
                </c:pt>
                <c:pt idx="87">
                  <c:v>0.36249999999999999</c:v>
                </c:pt>
                <c:pt idx="88">
                  <c:v>0.3666666666666667</c:v>
                </c:pt>
                <c:pt idx="89">
                  <c:v>0.37083333333333335</c:v>
                </c:pt>
                <c:pt idx="90">
                  <c:v>0.375</c:v>
                </c:pt>
                <c:pt idx="91">
                  <c:v>0.37916666666666665</c:v>
                </c:pt>
                <c:pt idx="92">
                  <c:v>0.3833333333333333</c:v>
                </c:pt>
                <c:pt idx="93">
                  <c:v>0.38750000000000001</c:v>
                </c:pt>
                <c:pt idx="94">
                  <c:v>0.39166666666666666</c:v>
                </c:pt>
                <c:pt idx="95">
                  <c:v>0.39583333333333331</c:v>
                </c:pt>
                <c:pt idx="96">
                  <c:v>0.39999999999999997</c:v>
                </c:pt>
                <c:pt idx="97">
                  <c:v>0.40416666666666662</c:v>
                </c:pt>
                <c:pt idx="98">
                  <c:v>0.40833333333333338</c:v>
                </c:pt>
                <c:pt idx="99">
                  <c:v>0.41250000000000003</c:v>
                </c:pt>
                <c:pt idx="100">
                  <c:v>0.41666666666666669</c:v>
                </c:pt>
                <c:pt idx="101">
                  <c:v>0.42083333333333334</c:v>
                </c:pt>
                <c:pt idx="102">
                  <c:v>0.42499999999999999</c:v>
                </c:pt>
                <c:pt idx="103">
                  <c:v>0.4291666666666667</c:v>
                </c:pt>
                <c:pt idx="104">
                  <c:v>0.43333333333333335</c:v>
                </c:pt>
                <c:pt idx="105">
                  <c:v>0.4375</c:v>
                </c:pt>
                <c:pt idx="106">
                  <c:v>0.44166666666666665</c:v>
                </c:pt>
                <c:pt idx="107">
                  <c:v>0.4458333333333333</c:v>
                </c:pt>
                <c:pt idx="108">
                  <c:v>0.45</c:v>
                </c:pt>
                <c:pt idx="109">
                  <c:v>0.45416666666666666</c:v>
                </c:pt>
                <c:pt idx="110">
                  <c:v>0.45833333333333331</c:v>
                </c:pt>
                <c:pt idx="111">
                  <c:v>0.46249999999999997</c:v>
                </c:pt>
                <c:pt idx="112">
                  <c:v>0.46666666666666662</c:v>
                </c:pt>
                <c:pt idx="113">
                  <c:v>0.47083333333333338</c:v>
                </c:pt>
                <c:pt idx="114">
                  <c:v>0.47500000000000003</c:v>
                </c:pt>
                <c:pt idx="115">
                  <c:v>0.47916666666666669</c:v>
                </c:pt>
                <c:pt idx="116">
                  <c:v>0.48333333333333334</c:v>
                </c:pt>
                <c:pt idx="117">
                  <c:v>0.48749999999999999</c:v>
                </c:pt>
                <c:pt idx="118">
                  <c:v>0.4916666666666667</c:v>
                </c:pt>
                <c:pt idx="119">
                  <c:v>0.49583333333333335</c:v>
                </c:pt>
                <c:pt idx="120">
                  <c:v>0.5</c:v>
                </c:pt>
                <c:pt idx="121">
                  <c:v>0.50416666666666665</c:v>
                </c:pt>
                <c:pt idx="122">
                  <c:v>0.5083333333333333</c:v>
                </c:pt>
                <c:pt idx="123">
                  <c:v>0.51250000000000007</c:v>
                </c:pt>
                <c:pt idx="124">
                  <c:v>0.51666666666666672</c:v>
                </c:pt>
                <c:pt idx="125">
                  <c:v>0.52083333333333337</c:v>
                </c:pt>
                <c:pt idx="126">
                  <c:v>0.52500000000000002</c:v>
                </c:pt>
                <c:pt idx="127">
                  <c:v>0.52916666666666667</c:v>
                </c:pt>
                <c:pt idx="128">
                  <c:v>0.53333333333333333</c:v>
                </c:pt>
                <c:pt idx="129">
                  <c:v>0.53749999999999998</c:v>
                </c:pt>
                <c:pt idx="130">
                  <c:v>0.54166666666666663</c:v>
                </c:pt>
                <c:pt idx="131">
                  <c:v>0.54583333333333328</c:v>
                </c:pt>
                <c:pt idx="132">
                  <c:v>0.54999999999999993</c:v>
                </c:pt>
                <c:pt idx="133">
                  <c:v>0.5541666666666667</c:v>
                </c:pt>
                <c:pt idx="134">
                  <c:v>0.55833333333333335</c:v>
                </c:pt>
                <c:pt idx="135">
                  <c:v>0.5625</c:v>
                </c:pt>
                <c:pt idx="136">
                  <c:v>0.56666666666666665</c:v>
                </c:pt>
                <c:pt idx="137">
                  <c:v>0.5708333333333333</c:v>
                </c:pt>
                <c:pt idx="138">
                  <c:v>0.57500000000000007</c:v>
                </c:pt>
                <c:pt idx="139">
                  <c:v>0.57916666666666672</c:v>
                </c:pt>
                <c:pt idx="140">
                  <c:v>0.58333333333333337</c:v>
                </c:pt>
                <c:pt idx="141">
                  <c:v>0.58750000000000002</c:v>
                </c:pt>
                <c:pt idx="142">
                  <c:v>0.59166666666666667</c:v>
                </c:pt>
                <c:pt idx="143">
                  <c:v>0.59583333333333333</c:v>
                </c:pt>
                <c:pt idx="144">
                  <c:v>0.6</c:v>
                </c:pt>
                <c:pt idx="145">
                  <c:v>0.60416666666666663</c:v>
                </c:pt>
                <c:pt idx="146">
                  <c:v>0.60833333333333328</c:v>
                </c:pt>
                <c:pt idx="147">
                  <c:v>0.61249999999999993</c:v>
                </c:pt>
                <c:pt idx="148">
                  <c:v>0.6166666666666667</c:v>
                </c:pt>
                <c:pt idx="149">
                  <c:v>0.62083333333333335</c:v>
                </c:pt>
                <c:pt idx="150">
                  <c:v>0.625</c:v>
                </c:pt>
                <c:pt idx="151">
                  <c:v>0.62916666666666665</c:v>
                </c:pt>
                <c:pt idx="152">
                  <c:v>0.6333333333333333</c:v>
                </c:pt>
                <c:pt idx="153">
                  <c:v>0.63750000000000007</c:v>
                </c:pt>
                <c:pt idx="154">
                  <c:v>0.64166666666666672</c:v>
                </c:pt>
                <c:pt idx="155">
                  <c:v>0.64583333333333337</c:v>
                </c:pt>
                <c:pt idx="156">
                  <c:v>0.65</c:v>
                </c:pt>
                <c:pt idx="157">
                  <c:v>0.65416666666666667</c:v>
                </c:pt>
                <c:pt idx="158">
                  <c:v>0.65833333333333333</c:v>
                </c:pt>
                <c:pt idx="159">
                  <c:v>0.66249999999999998</c:v>
                </c:pt>
                <c:pt idx="160">
                  <c:v>0.66666666666666663</c:v>
                </c:pt>
                <c:pt idx="161">
                  <c:v>0.67083333333333339</c:v>
                </c:pt>
                <c:pt idx="162">
                  <c:v>0.67499999999999993</c:v>
                </c:pt>
                <c:pt idx="163">
                  <c:v>0.6791666666666667</c:v>
                </c:pt>
                <c:pt idx="164">
                  <c:v>0.68333333333333324</c:v>
                </c:pt>
                <c:pt idx="165">
                  <c:v>0.6875</c:v>
                </c:pt>
                <c:pt idx="166">
                  <c:v>0.69166666666666676</c:v>
                </c:pt>
                <c:pt idx="167">
                  <c:v>0.6958333333333333</c:v>
                </c:pt>
                <c:pt idx="168">
                  <c:v>0.70000000000000007</c:v>
                </c:pt>
                <c:pt idx="169">
                  <c:v>0.70416666666666661</c:v>
                </c:pt>
                <c:pt idx="170">
                  <c:v>0.70833333333333337</c:v>
                </c:pt>
                <c:pt idx="171">
                  <c:v>0.71250000000000002</c:v>
                </c:pt>
                <c:pt idx="172">
                  <c:v>0.71666666666666667</c:v>
                </c:pt>
                <c:pt idx="173">
                  <c:v>0.72083333333333333</c:v>
                </c:pt>
                <c:pt idx="174">
                  <c:v>0.72499999999999998</c:v>
                </c:pt>
                <c:pt idx="175">
                  <c:v>0.72916666666666663</c:v>
                </c:pt>
                <c:pt idx="176">
                  <c:v>0.73333333333333339</c:v>
                </c:pt>
                <c:pt idx="177">
                  <c:v>0.73749999999999993</c:v>
                </c:pt>
                <c:pt idx="178">
                  <c:v>0.7416666666666667</c:v>
                </c:pt>
                <c:pt idx="179">
                  <c:v>0.74583333333333324</c:v>
                </c:pt>
                <c:pt idx="180">
                  <c:v>0.75</c:v>
                </c:pt>
                <c:pt idx="181">
                  <c:v>0.75416666666666676</c:v>
                </c:pt>
                <c:pt idx="182">
                  <c:v>0.7583333333333333</c:v>
                </c:pt>
                <c:pt idx="183">
                  <c:v>0.76250000000000007</c:v>
                </c:pt>
                <c:pt idx="184">
                  <c:v>0.76666666666666661</c:v>
                </c:pt>
                <c:pt idx="185">
                  <c:v>0.77083333333333337</c:v>
                </c:pt>
                <c:pt idx="186">
                  <c:v>0.77500000000000002</c:v>
                </c:pt>
                <c:pt idx="187">
                  <c:v>0.77916666666666667</c:v>
                </c:pt>
                <c:pt idx="188">
                  <c:v>0.78333333333333333</c:v>
                </c:pt>
                <c:pt idx="189">
                  <c:v>0.78749999999999998</c:v>
                </c:pt>
                <c:pt idx="190">
                  <c:v>0.79166666666666663</c:v>
                </c:pt>
                <c:pt idx="191">
                  <c:v>0.79583333333333339</c:v>
                </c:pt>
                <c:pt idx="192">
                  <c:v>0.79999999999999993</c:v>
                </c:pt>
                <c:pt idx="193">
                  <c:v>0.8041666666666667</c:v>
                </c:pt>
                <c:pt idx="194">
                  <c:v>0.80833333333333324</c:v>
                </c:pt>
                <c:pt idx="195">
                  <c:v>0.8125</c:v>
                </c:pt>
                <c:pt idx="196">
                  <c:v>0.81666666666666676</c:v>
                </c:pt>
                <c:pt idx="197">
                  <c:v>0.8208333333333333</c:v>
                </c:pt>
                <c:pt idx="198">
                  <c:v>0.82500000000000007</c:v>
                </c:pt>
                <c:pt idx="199">
                  <c:v>0.82916666666666661</c:v>
                </c:pt>
                <c:pt idx="200">
                  <c:v>0.83333333333333337</c:v>
                </c:pt>
                <c:pt idx="201">
                  <c:v>0.83750000000000002</c:v>
                </c:pt>
                <c:pt idx="202">
                  <c:v>0.84166666666666667</c:v>
                </c:pt>
                <c:pt idx="203">
                  <c:v>0.84583333333333333</c:v>
                </c:pt>
                <c:pt idx="204">
                  <c:v>0.85</c:v>
                </c:pt>
                <c:pt idx="205">
                  <c:v>0.85416666666666663</c:v>
                </c:pt>
                <c:pt idx="206">
                  <c:v>0.85833333333333339</c:v>
                </c:pt>
                <c:pt idx="207">
                  <c:v>0.86249999999999993</c:v>
                </c:pt>
                <c:pt idx="208">
                  <c:v>0.8666666666666667</c:v>
                </c:pt>
                <c:pt idx="209">
                  <c:v>0.87083333333333324</c:v>
                </c:pt>
                <c:pt idx="210">
                  <c:v>0.875</c:v>
                </c:pt>
                <c:pt idx="211">
                  <c:v>0.87916666666666676</c:v>
                </c:pt>
                <c:pt idx="212">
                  <c:v>0.8833333333333333</c:v>
                </c:pt>
                <c:pt idx="213">
                  <c:v>0.88750000000000007</c:v>
                </c:pt>
                <c:pt idx="214">
                  <c:v>0.89166666666666661</c:v>
                </c:pt>
                <c:pt idx="215">
                  <c:v>0.89583333333333337</c:v>
                </c:pt>
                <c:pt idx="216">
                  <c:v>0.9</c:v>
                </c:pt>
                <c:pt idx="217">
                  <c:v>0.90416666666666667</c:v>
                </c:pt>
                <c:pt idx="218">
                  <c:v>0.90833333333333333</c:v>
                </c:pt>
                <c:pt idx="219">
                  <c:v>0.91249999999999998</c:v>
                </c:pt>
                <c:pt idx="220">
                  <c:v>0.91666666666666663</c:v>
                </c:pt>
                <c:pt idx="221">
                  <c:v>0.92083333333333339</c:v>
                </c:pt>
                <c:pt idx="222">
                  <c:v>0.92499999999999993</c:v>
                </c:pt>
                <c:pt idx="223">
                  <c:v>0.9291666666666667</c:v>
                </c:pt>
                <c:pt idx="224">
                  <c:v>0.93333333333333324</c:v>
                </c:pt>
                <c:pt idx="225">
                  <c:v>0.9375</c:v>
                </c:pt>
                <c:pt idx="226">
                  <c:v>0.94166666666666676</c:v>
                </c:pt>
                <c:pt idx="227">
                  <c:v>0.9458333333333333</c:v>
                </c:pt>
                <c:pt idx="228">
                  <c:v>0.95000000000000007</c:v>
                </c:pt>
                <c:pt idx="229">
                  <c:v>0.95416666666666661</c:v>
                </c:pt>
                <c:pt idx="230">
                  <c:v>0.95833333333333337</c:v>
                </c:pt>
                <c:pt idx="231">
                  <c:v>0.96250000000000002</c:v>
                </c:pt>
                <c:pt idx="232">
                  <c:v>0.96666666666666667</c:v>
                </c:pt>
                <c:pt idx="233">
                  <c:v>0.97083333333333333</c:v>
                </c:pt>
                <c:pt idx="234">
                  <c:v>0.97499999999999998</c:v>
                </c:pt>
                <c:pt idx="235">
                  <c:v>0.97916666666666663</c:v>
                </c:pt>
                <c:pt idx="236">
                  <c:v>0.98333333333333339</c:v>
                </c:pt>
                <c:pt idx="237">
                  <c:v>0.98749999999999993</c:v>
                </c:pt>
                <c:pt idx="238">
                  <c:v>0.9916666666666667</c:v>
                </c:pt>
                <c:pt idx="239">
                  <c:v>0.99583333333333324</c:v>
                </c:pt>
                <c:pt idx="240">
                  <c:v>1</c:v>
                </c:pt>
              </c:numCache>
            </c:numRef>
          </c:xVal>
          <c:yVal>
            <c:numRef>
              <c:f>Precip_YHD3!$G$3:$G$243</c:f>
              <c:numCache>
                <c:formatCode>General</c:formatCode>
                <c:ptCount val="241"/>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0.01</c:v>
                </c:pt>
                <c:pt idx="69">
                  <c:v>0.01</c:v>
                </c:pt>
                <c:pt idx="70">
                  <c:v>0.01</c:v>
                </c:pt>
                <c:pt idx="71">
                  <c:v>0.01</c:v>
                </c:pt>
                <c:pt idx="72">
                  <c:v>0.01</c:v>
                </c:pt>
                <c:pt idx="73">
                  <c:v>0.01</c:v>
                </c:pt>
                <c:pt idx="74">
                  <c:v>0.01</c:v>
                </c:pt>
                <c:pt idx="75">
                  <c:v>0.01</c:v>
                </c:pt>
                <c:pt idx="76">
                  <c:v>0.01</c:v>
                </c:pt>
                <c:pt idx="77">
                  <c:v>0.01</c:v>
                </c:pt>
                <c:pt idx="78">
                  <c:v>0.01</c:v>
                </c:pt>
                <c:pt idx="79">
                  <c:v>0.01</c:v>
                </c:pt>
                <c:pt idx="80">
                  <c:v>0.01</c:v>
                </c:pt>
                <c:pt idx="81">
                  <c:v>0.01</c:v>
                </c:pt>
                <c:pt idx="82">
                  <c:v>0.01</c:v>
                </c:pt>
                <c:pt idx="83">
                  <c:v>0.01</c:v>
                </c:pt>
                <c:pt idx="84">
                  <c:v>0.01</c:v>
                </c:pt>
                <c:pt idx="85">
                  <c:v>0.01</c:v>
                </c:pt>
                <c:pt idx="86">
                  <c:v>0.01</c:v>
                </c:pt>
                <c:pt idx="87">
                  <c:v>0.01</c:v>
                </c:pt>
                <c:pt idx="88">
                  <c:v>0.01</c:v>
                </c:pt>
                <c:pt idx="89">
                  <c:v>0.01</c:v>
                </c:pt>
                <c:pt idx="90">
                  <c:v>0.01</c:v>
                </c:pt>
                <c:pt idx="91">
                  <c:v>0.01</c:v>
                </c:pt>
                <c:pt idx="92">
                  <c:v>0.01</c:v>
                </c:pt>
                <c:pt idx="93">
                  <c:v>0.01</c:v>
                </c:pt>
                <c:pt idx="94">
                  <c:v>0.01</c:v>
                </c:pt>
                <c:pt idx="95">
                  <c:v>0.01</c:v>
                </c:pt>
                <c:pt idx="96">
                  <c:v>0.01</c:v>
                </c:pt>
                <c:pt idx="97">
                  <c:v>0.02</c:v>
                </c:pt>
                <c:pt idx="98">
                  <c:v>0.02</c:v>
                </c:pt>
                <c:pt idx="99">
                  <c:v>0.02</c:v>
                </c:pt>
                <c:pt idx="100">
                  <c:v>0.02</c:v>
                </c:pt>
                <c:pt idx="101">
                  <c:v>0.02</c:v>
                </c:pt>
                <c:pt idx="102">
                  <c:v>0.02</c:v>
                </c:pt>
                <c:pt idx="103">
                  <c:v>0.02</c:v>
                </c:pt>
                <c:pt idx="104">
                  <c:v>0.02</c:v>
                </c:pt>
                <c:pt idx="105">
                  <c:v>0.02</c:v>
                </c:pt>
                <c:pt idx="106">
                  <c:v>0.03</c:v>
                </c:pt>
                <c:pt idx="107">
                  <c:v>0.03</c:v>
                </c:pt>
                <c:pt idx="108">
                  <c:v>0.03</c:v>
                </c:pt>
                <c:pt idx="109">
                  <c:v>0.03</c:v>
                </c:pt>
                <c:pt idx="110">
                  <c:v>0.04</c:v>
                </c:pt>
                <c:pt idx="111">
                  <c:v>0.05</c:v>
                </c:pt>
                <c:pt idx="112">
                  <c:v>0.06</c:v>
                </c:pt>
                <c:pt idx="113">
                  <c:v>0.06</c:v>
                </c:pt>
                <c:pt idx="114">
                  <c:v>7.0000000000000007E-2</c:v>
                </c:pt>
                <c:pt idx="115">
                  <c:v>0.08</c:v>
                </c:pt>
                <c:pt idx="116">
                  <c:v>0.15</c:v>
                </c:pt>
                <c:pt idx="117">
                  <c:v>0.17</c:v>
                </c:pt>
                <c:pt idx="118">
                  <c:v>0.19</c:v>
                </c:pt>
                <c:pt idx="119">
                  <c:v>0.15</c:v>
                </c:pt>
                <c:pt idx="120">
                  <c:v>0.36</c:v>
                </c:pt>
                <c:pt idx="121">
                  <c:v>0.69</c:v>
                </c:pt>
                <c:pt idx="122">
                  <c:v>0.24</c:v>
                </c:pt>
                <c:pt idx="123">
                  <c:v>0.14000000000000001</c:v>
                </c:pt>
                <c:pt idx="124">
                  <c:v>0.19</c:v>
                </c:pt>
                <c:pt idx="125">
                  <c:v>0.18</c:v>
                </c:pt>
                <c:pt idx="126">
                  <c:v>0.09</c:v>
                </c:pt>
                <c:pt idx="127">
                  <c:v>0.09</c:v>
                </c:pt>
                <c:pt idx="128">
                  <c:v>0.08</c:v>
                </c:pt>
                <c:pt idx="129">
                  <c:v>7.0000000000000007E-2</c:v>
                </c:pt>
                <c:pt idx="130">
                  <c:v>7.0000000000000007E-2</c:v>
                </c:pt>
                <c:pt idx="131">
                  <c:v>0.05</c:v>
                </c:pt>
                <c:pt idx="132">
                  <c:v>0.04</c:v>
                </c:pt>
                <c:pt idx="133">
                  <c:v>0.04</c:v>
                </c:pt>
                <c:pt idx="134">
                  <c:v>0.04</c:v>
                </c:pt>
                <c:pt idx="135">
                  <c:v>0.04</c:v>
                </c:pt>
                <c:pt idx="136">
                  <c:v>0.03</c:v>
                </c:pt>
                <c:pt idx="137">
                  <c:v>0.03</c:v>
                </c:pt>
                <c:pt idx="138">
                  <c:v>0.03</c:v>
                </c:pt>
                <c:pt idx="139">
                  <c:v>0.03</c:v>
                </c:pt>
                <c:pt idx="140">
                  <c:v>0.03</c:v>
                </c:pt>
                <c:pt idx="141">
                  <c:v>0.03</c:v>
                </c:pt>
                <c:pt idx="142">
                  <c:v>0.02</c:v>
                </c:pt>
                <c:pt idx="143">
                  <c:v>0.02</c:v>
                </c:pt>
                <c:pt idx="144">
                  <c:v>0.02</c:v>
                </c:pt>
                <c:pt idx="145">
                  <c:v>0.02</c:v>
                </c:pt>
                <c:pt idx="146">
                  <c:v>0.02</c:v>
                </c:pt>
                <c:pt idx="147">
                  <c:v>0.02</c:v>
                </c:pt>
                <c:pt idx="148">
                  <c:v>0.02</c:v>
                </c:pt>
                <c:pt idx="149">
                  <c:v>0.02</c:v>
                </c:pt>
                <c:pt idx="150">
                  <c:v>0.02</c:v>
                </c:pt>
                <c:pt idx="151">
                  <c:v>0.02</c:v>
                </c:pt>
                <c:pt idx="152">
                  <c:v>0.02</c:v>
                </c:pt>
                <c:pt idx="153">
                  <c:v>0.02</c:v>
                </c:pt>
                <c:pt idx="154">
                  <c:v>0.02</c:v>
                </c:pt>
                <c:pt idx="155">
                  <c:v>0.02</c:v>
                </c:pt>
                <c:pt idx="156">
                  <c:v>0.02</c:v>
                </c:pt>
                <c:pt idx="157">
                  <c:v>0.02</c:v>
                </c:pt>
                <c:pt idx="158">
                  <c:v>0.02</c:v>
                </c:pt>
                <c:pt idx="159">
                  <c:v>0.02</c:v>
                </c:pt>
                <c:pt idx="160">
                  <c:v>0.01</c:v>
                </c:pt>
                <c:pt idx="161">
                  <c:v>0.01</c:v>
                </c:pt>
                <c:pt idx="162">
                  <c:v>0.01</c:v>
                </c:pt>
                <c:pt idx="163">
                  <c:v>0.01</c:v>
                </c:pt>
                <c:pt idx="164">
                  <c:v>0.01</c:v>
                </c:pt>
                <c:pt idx="165">
                  <c:v>0.01</c:v>
                </c:pt>
                <c:pt idx="166">
                  <c:v>0.01</c:v>
                </c:pt>
                <c:pt idx="167">
                  <c:v>0.01</c:v>
                </c:pt>
                <c:pt idx="168">
                  <c:v>0.01</c:v>
                </c:pt>
                <c:pt idx="169">
                  <c:v>0.01</c:v>
                </c:pt>
                <c:pt idx="170">
                  <c:v>0.01</c:v>
                </c:pt>
                <c:pt idx="171">
                  <c:v>0.01</c:v>
                </c:pt>
                <c:pt idx="172">
                  <c:v>0.01</c:v>
                </c:pt>
                <c:pt idx="173">
                  <c:v>0.01</c:v>
                </c:pt>
                <c:pt idx="174">
                  <c:v>0.01</c:v>
                </c:pt>
                <c:pt idx="175">
                  <c:v>0.01</c:v>
                </c:pt>
                <c:pt idx="176">
                  <c:v>0.01</c:v>
                </c:pt>
                <c:pt idx="177">
                  <c:v>0.01</c:v>
                </c:pt>
                <c:pt idx="178">
                  <c:v>0.01</c:v>
                </c:pt>
                <c:pt idx="179">
                  <c:v>0.01</c:v>
                </c:pt>
                <c:pt idx="180">
                  <c:v>0.01</c:v>
                </c:pt>
                <c:pt idx="181">
                  <c:v>0.01</c:v>
                </c:pt>
                <c:pt idx="182">
                  <c:v>0.01</c:v>
                </c:pt>
                <c:pt idx="183">
                  <c:v>0.01</c:v>
                </c:pt>
                <c:pt idx="184">
                  <c:v>0.01</c:v>
                </c:pt>
                <c:pt idx="185">
                  <c:v>0.01</c:v>
                </c:pt>
                <c:pt idx="186">
                  <c:v>0.01</c:v>
                </c:pt>
                <c:pt idx="187">
                  <c:v>0.01</c:v>
                </c:pt>
                <c:pt idx="188">
                  <c:v>0.01</c:v>
                </c:pt>
                <c:pt idx="189">
                  <c:v>0.01</c:v>
                </c:pt>
                <c:pt idx="190">
                  <c:v>0.01</c:v>
                </c:pt>
                <c:pt idx="191">
                  <c:v>0.01</c:v>
                </c:pt>
                <c:pt idx="192">
                  <c:v>0.01</c:v>
                </c:pt>
                <c:pt idx="193">
                  <c:v>0.01</c:v>
                </c:pt>
                <c:pt idx="194">
                  <c:v>0.01</c:v>
                </c:pt>
                <c:pt idx="195">
                  <c:v>0.01</c:v>
                </c:pt>
                <c:pt idx="196">
                  <c:v>0.01</c:v>
                </c:pt>
                <c:pt idx="197">
                  <c:v>0.01</c:v>
                </c:pt>
                <c:pt idx="198">
                  <c:v>0.01</c:v>
                </c:pt>
                <c:pt idx="199">
                  <c:v>0.01</c:v>
                </c:pt>
                <c:pt idx="200">
                  <c:v>0.01</c:v>
                </c:pt>
                <c:pt idx="201">
                  <c:v>0.01</c:v>
                </c:pt>
                <c:pt idx="202">
                  <c:v>0.01</c:v>
                </c:pt>
                <c:pt idx="203">
                  <c:v>0.01</c:v>
                </c:pt>
                <c:pt idx="204">
                  <c:v>0.01</c:v>
                </c:pt>
                <c:pt idx="205">
                  <c:v>0.01</c:v>
                </c:pt>
                <c:pt idx="206">
                  <c:v>0.01</c:v>
                </c:pt>
                <c:pt idx="207">
                  <c:v>0.01</c:v>
                </c:pt>
                <c:pt idx="208">
                  <c:v>0.01</c:v>
                </c:pt>
                <c:pt idx="209">
                  <c:v>0.01</c:v>
                </c:pt>
                <c:pt idx="210">
                  <c:v>0.01</c:v>
                </c:pt>
                <c:pt idx="211">
                  <c:v>0.01</c:v>
                </c:pt>
                <c:pt idx="212">
                  <c:v>0.01</c:v>
                </c:pt>
                <c:pt idx="213">
                  <c:v>0.01</c:v>
                </c:pt>
                <c:pt idx="214">
                  <c:v>0.01</c:v>
                </c:pt>
                <c:pt idx="215">
                  <c:v>0.01</c:v>
                </c:pt>
                <c:pt idx="216">
                  <c:v>0.01</c:v>
                </c:pt>
                <c:pt idx="217">
                  <c:v>0.01</c:v>
                </c:pt>
                <c:pt idx="218">
                  <c:v>0.01</c:v>
                </c:pt>
                <c:pt idx="219">
                  <c:v>0.01</c:v>
                </c:pt>
                <c:pt idx="220">
                  <c:v>0.01</c:v>
                </c:pt>
                <c:pt idx="221">
                  <c:v>0.01</c:v>
                </c:pt>
                <c:pt idx="222">
                  <c:v>0.01</c:v>
                </c:pt>
                <c:pt idx="223">
                  <c:v>0.01</c:v>
                </c:pt>
                <c:pt idx="224">
                  <c:v>0.01</c:v>
                </c:pt>
                <c:pt idx="225">
                  <c:v>0.01</c:v>
                </c:pt>
                <c:pt idx="226">
                  <c:v>0.01</c:v>
                </c:pt>
                <c:pt idx="227">
                  <c:v>0.01</c:v>
                </c:pt>
                <c:pt idx="228">
                  <c:v>0.01</c:v>
                </c:pt>
                <c:pt idx="229">
                  <c:v>0.01</c:v>
                </c:pt>
                <c:pt idx="230">
                  <c:v>0.01</c:v>
                </c:pt>
                <c:pt idx="231">
                  <c:v>0.01</c:v>
                </c:pt>
                <c:pt idx="232">
                  <c:v>0.01</c:v>
                </c:pt>
                <c:pt idx="233">
                  <c:v>0.01</c:v>
                </c:pt>
                <c:pt idx="234">
                  <c:v>0.01</c:v>
                </c:pt>
                <c:pt idx="235">
                  <c:v>0.01</c:v>
                </c:pt>
                <c:pt idx="236">
                  <c:v>0.01</c:v>
                </c:pt>
                <c:pt idx="237">
                  <c:v>0.01</c:v>
                </c:pt>
                <c:pt idx="238">
                  <c:v>0.01</c:v>
                </c:pt>
                <c:pt idx="239">
                  <c:v>0.01</c:v>
                </c:pt>
                <c:pt idx="240">
                  <c:v>0.01</c:v>
                </c:pt>
              </c:numCache>
            </c:numRef>
          </c:yVal>
          <c:smooth val="1"/>
          <c:extLst xmlns:c16r2="http://schemas.microsoft.com/office/drawing/2015/06/chart">
            <c:ext xmlns:c16="http://schemas.microsoft.com/office/drawing/2014/chart" uri="{C3380CC4-5D6E-409C-BE32-E72D297353CC}">
              <c16:uniqueId val="{00000005-CCEA-4C07-A470-965A6609C101}"/>
            </c:ext>
          </c:extLst>
        </c:ser>
        <c:ser>
          <c:idx val="4"/>
          <c:order val="1"/>
          <c:tx>
            <c:v>0.2 Percent Annual Chance</c:v>
          </c:tx>
          <c:spPr>
            <a:ln>
              <a:solidFill>
                <a:schemeClr val="accent2"/>
              </a:solidFill>
            </a:ln>
          </c:spPr>
          <c:marker>
            <c:symbol val="none"/>
          </c:marker>
          <c:xVal>
            <c:numRef>
              <c:f>Precip_YHD3!$A$3:$A$243</c:f>
              <c:numCache>
                <c:formatCode>h:mm;@</c:formatCode>
                <c:ptCount val="241"/>
                <c:pt idx="0">
                  <c:v>0</c:v>
                </c:pt>
                <c:pt idx="1">
                  <c:v>4.1666666666666666E-3</c:v>
                </c:pt>
                <c:pt idx="2">
                  <c:v>8.3333333333333332E-3</c:v>
                </c:pt>
                <c:pt idx="3">
                  <c:v>1.2499999999999999E-2</c:v>
                </c:pt>
                <c:pt idx="4">
                  <c:v>1.6666666666666666E-2</c:v>
                </c:pt>
                <c:pt idx="5">
                  <c:v>2.0833333333333332E-2</c:v>
                </c:pt>
                <c:pt idx="6">
                  <c:v>2.4999999999999998E-2</c:v>
                </c:pt>
                <c:pt idx="7">
                  <c:v>2.9166666666666664E-2</c:v>
                </c:pt>
                <c:pt idx="8">
                  <c:v>3.3333333333333333E-2</c:v>
                </c:pt>
                <c:pt idx="9">
                  <c:v>3.7499999999999999E-2</c:v>
                </c:pt>
                <c:pt idx="10">
                  <c:v>4.1666666666666664E-2</c:v>
                </c:pt>
                <c:pt idx="11">
                  <c:v>4.5833333333333337E-2</c:v>
                </c:pt>
                <c:pt idx="12">
                  <c:v>4.9999999999999996E-2</c:v>
                </c:pt>
                <c:pt idx="13">
                  <c:v>5.4166666666666669E-2</c:v>
                </c:pt>
                <c:pt idx="14">
                  <c:v>5.8333333333333327E-2</c:v>
                </c:pt>
                <c:pt idx="15">
                  <c:v>6.25E-2</c:v>
                </c:pt>
                <c:pt idx="16">
                  <c:v>6.6666666666666666E-2</c:v>
                </c:pt>
                <c:pt idx="17">
                  <c:v>7.0833333333333331E-2</c:v>
                </c:pt>
                <c:pt idx="18">
                  <c:v>7.4999999999999997E-2</c:v>
                </c:pt>
                <c:pt idx="19">
                  <c:v>7.9166666666666663E-2</c:v>
                </c:pt>
                <c:pt idx="20">
                  <c:v>8.3333333333333329E-2</c:v>
                </c:pt>
                <c:pt idx="21">
                  <c:v>8.7500000000000008E-2</c:v>
                </c:pt>
                <c:pt idx="22">
                  <c:v>9.1666666666666674E-2</c:v>
                </c:pt>
                <c:pt idx="23">
                  <c:v>9.5833333333333326E-2</c:v>
                </c:pt>
                <c:pt idx="24">
                  <c:v>9.9999999999999992E-2</c:v>
                </c:pt>
                <c:pt idx="25">
                  <c:v>0.10416666666666667</c:v>
                </c:pt>
                <c:pt idx="26">
                  <c:v>0.10833333333333334</c:v>
                </c:pt>
                <c:pt idx="27">
                  <c:v>0.1125</c:v>
                </c:pt>
                <c:pt idx="28">
                  <c:v>0.11666666666666665</c:v>
                </c:pt>
                <c:pt idx="29">
                  <c:v>0.12083333333333333</c:v>
                </c:pt>
                <c:pt idx="30">
                  <c:v>0.125</c:v>
                </c:pt>
                <c:pt idx="31">
                  <c:v>0.12916666666666668</c:v>
                </c:pt>
                <c:pt idx="32">
                  <c:v>0.13333333333333333</c:v>
                </c:pt>
                <c:pt idx="33">
                  <c:v>0.13749999999999998</c:v>
                </c:pt>
                <c:pt idx="34">
                  <c:v>0.14166666666666666</c:v>
                </c:pt>
                <c:pt idx="35">
                  <c:v>0.14583333333333334</c:v>
                </c:pt>
                <c:pt idx="36">
                  <c:v>0.15</c:v>
                </c:pt>
                <c:pt idx="37">
                  <c:v>0.15416666666666667</c:v>
                </c:pt>
                <c:pt idx="38">
                  <c:v>0.15833333333333333</c:v>
                </c:pt>
                <c:pt idx="39">
                  <c:v>0.16250000000000001</c:v>
                </c:pt>
                <c:pt idx="40">
                  <c:v>0.16666666666666666</c:v>
                </c:pt>
                <c:pt idx="41">
                  <c:v>0.17083333333333331</c:v>
                </c:pt>
                <c:pt idx="42">
                  <c:v>0.17500000000000002</c:v>
                </c:pt>
                <c:pt idx="43">
                  <c:v>0.17916666666666667</c:v>
                </c:pt>
                <c:pt idx="44">
                  <c:v>0.18333333333333335</c:v>
                </c:pt>
                <c:pt idx="45">
                  <c:v>0.1875</c:v>
                </c:pt>
                <c:pt idx="46">
                  <c:v>0.19166666666666665</c:v>
                </c:pt>
                <c:pt idx="47">
                  <c:v>0.19583333333333333</c:v>
                </c:pt>
                <c:pt idx="48">
                  <c:v>0.19999999999999998</c:v>
                </c:pt>
                <c:pt idx="49">
                  <c:v>0.20416666666666669</c:v>
                </c:pt>
                <c:pt idx="50">
                  <c:v>0.20833333333333334</c:v>
                </c:pt>
                <c:pt idx="51">
                  <c:v>0.21249999999999999</c:v>
                </c:pt>
                <c:pt idx="52">
                  <c:v>0.21666666666666667</c:v>
                </c:pt>
                <c:pt idx="53">
                  <c:v>0.22083333333333333</c:v>
                </c:pt>
                <c:pt idx="54">
                  <c:v>0.22500000000000001</c:v>
                </c:pt>
                <c:pt idx="55">
                  <c:v>0.22916666666666666</c:v>
                </c:pt>
                <c:pt idx="56">
                  <c:v>0.23333333333333331</c:v>
                </c:pt>
                <c:pt idx="57">
                  <c:v>0.23750000000000002</c:v>
                </c:pt>
                <c:pt idx="58">
                  <c:v>0.24166666666666667</c:v>
                </c:pt>
                <c:pt idx="59">
                  <c:v>0.24583333333333335</c:v>
                </c:pt>
                <c:pt idx="60">
                  <c:v>0.25</c:v>
                </c:pt>
                <c:pt idx="61">
                  <c:v>0.25416666666666665</c:v>
                </c:pt>
                <c:pt idx="62">
                  <c:v>0.25833333333333336</c:v>
                </c:pt>
                <c:pt idx="63">
                  <c:v>0.26250000000000001</c:v>
                </c:pt>
                <c:pt idx="64">
                  <c:v>0.26666666666666666</c:v>
                </c:pt>
                <c:pt idx="65">
                  <c:v>0.27083333333333331</c:v>
                </c:pt>
                <c:pt idx="66">
                  <c:v>0.27499999999999997</c:v>
                </c:pt>
                <c:pt idx="67">
                  <c:v>0.27916666666666667</c:v>
                </c:pt>
                <c:pt idx="68">
                  <c:v>0.28333333333333333</c:v>
                </c:pt>
                <c:pt idx="69">
                  <c:v>0.28750000000000003</c:v>
                </c:pt>
                <c:pt idx="70">
                  <c:v>0.29166666666666669</c:v>
                </c:pt>
                <c:pt idx="71">
                  <c:v>0.29583333333333334</c:v>
                </c:pt>
                <c:pt idx="72">
                  <c:v>0.3</c:v>
                </c:pt>
                <c:pt idx="73">
                  <c:v>0.30416666666666664</c:v>
                </c:pt>
                <c:pt idx="74">
                  <c:v>0.30833333333333335</c:v>
                </c:pt>
                <c:pt idx="75">
                  <c:v>0.3125</c:v>
                </c:pt>
                <c:pt idx="76">
                  <c:v>0.31666666666666665</c:v>
                </c:pt>
                <c:pt idx="77">
                  <c:v>0.32083333333333336</c:v>
                </c:pt>
                <c:pt idx="78">
                  <c:v>0.32500000000000001</c:v>
                </c:pt>
                <c:pt idx="79">
                  <c:v>0.32916666666666666</c:v>
                </c:pt>
                <c:pt idx="80">
                  <c:v>0.33333333333333331</c:v>
                </c:pt>
                <c:pt idx="81">
                  <c:v>0.33749999999999997</c:v>
                </c:pt>
                <c:pt idx="82">
                  <c:v>0.34166666666666662</c:v>
                </c:pt>
                <c:pt idx="83">
                  <c:v>0.34583333333333338</c:v>
                </c:pt>
                <c:pt idx="84">
                  <c:v>0.35000000000000003</c:v>
                </c:pt>
                <c:pt idx="85">
                  <c:v>0.35416666666666669</c:v>
                </c:pt>
                <c:pt idx="86">
                  <c:v>0.35833333333333334</c:v>
                </c:pt>
                <c:pt idx="87">
                  <c:v>0.36249999999999999</c:v>
                </c:pt>
                <c:pt idx="88">
                  <c:v>0.3666666666666667</c:v>
                </c:pt>
                <c:pt idx="89">
                  <c:v>0.37083333333333335</c:v>
                </c:pt>
                <c:pt idx="90">
                  <c:v>0.375</c:v>
                </c:pt>
                <c:pt idx="91">
                  <c:v>0.37916666666666665</c:v>
                </c:pt>
                <c:pt idx="92">
                  <c:v>0.3833333333333333</c:v>
                </c:pt>
                <c:pt idx="93">
                  <c:v>0.38750000000000001</c:v>
                </c:pt>
                <c:pt idx="94">
                  <c:v>0.39166666666666666</c:v>
                </c:pt>
                <c:pt idx="95">
                  <c:v>0.39583333333333331</c:v>
                </c:pt>
                <c:pt idx="96">
                  <c:v>0.39999999999999997</c:v>
                </c:pt>
                <c:pt idx="97">
                  <c:v>0.40416666666666662</c:v>
                </c:pt>
                <c:pt idx="98">
                  <c:v>0.40833333333333338</c:v>
                </c:pt>
                <c:pt idx="99">
                  <c:v>0.41250000000000003</c:v>
                </c:pt>
                <c:pt idx="100">
                  <c:v>0.41666666666666669</c:v>
                </c:pt>
                <c:pt idx="101">
                  <c:v>0.42083333333333334</c:v>
                </c:pt>
                <c:pt idx="102">
                  <c:v>0.42499999999999999</c:v>
                </c:pt>
                <c:pt idx="103">
                  <c:v>0.4291666666666667</c:v>
                </c:pt>
                <c:pt idx="104">
                  <c:v>0.43333333333333335</c:v>
                </c:pt>
                <c:pt idx="105">
                  <c:v>0.4375</c:v>
                </c:pt>
                <c:pt idx="106">
                  <c:v>0.44166666666666665</c:v>
                </c:pt>
                <c:pt idx="107">
                  <c:v>0.4458333333333333</c:v>
                </c:pt>
                <c:pt idx="108">
                  <c:v>0.45</c:v>
                </c:pt>
                <c:pt idx="109">
                  <c:v>0.45416666666666666</c:v>
                </c:pt>
                <c:pt idx="110">
                  <c:v>0.45833333333333331</c:v>
                </c:pt>
                <c:pt idx="111">
                  <c:v>0.46249999999999997</c:v>
                </c:pt>
                <c:pt idx="112">
                  <c:v>0.46666666666666662</c:v>
                </c:pt>
                <c:pt idx="113">
                  <c:v>0.47083333333333338</c:v>
                </c:pt>
                <c:pt idx="114">
                  <c:v>0.47500000000000003</c:v>
                </c:pt>
                <c:pt idx="115">
                  <c:v>0.47916666666666669</c:v>
                </c:pt>
                <c:pt idx="116">
                  <c:v>0.48333333333333334</c:v>
                </c:pt>
                <c:pt idx="117">
                  <c:v>0.48749999999999999</c:v>
                </c:pt>
                <c:pt idx="118">
                  <c:v>0.4916666666666667</c:v>
                </c:pt>
                <c:pt idx="119">
                  <c:v>0.49583333333333335</c:v>
                </c:pt>
                <c:pt idx="120">
                  <c:v>0.5</c:v>
                </c:pt>
                <c:pt idx="121">
                  <c:v>0.50416666666666665</c:v>
                </c:pt>
                <c:pt idx="122">
                  <c:v>0.5083333333333333</c:v>
                </c:pt>
                <c:pt idx="123">
                  <c:v>0.51250000000000007</c:v>
                </c:pt>
                <c:pt idx="124">
                  <c:v>0.51666666666666672</c:v>
                </c:pt>
                <c:pt idx="125">
                  <c:v>0.52083333333333337</c:v>
                </c:pt>
                <c:pt idx="126">
                  <c:v>0.52500000000000002</c:v>
                </c:pt>
                <c:pt idx="127">
                  <c:v>0.52916666666666667</c:v>
                </c:pt>
                <c:pt idx="128">
                  <c:v>0.53333333333333333</c:v>
                </c:pt>
                <c:pt idx="129">
                  <c:v>0.53749999999999998</c:v>
                </c:pt>
                <c:pt idx="130">
                  <c:v>0.54166666666666663</c:v>
                </c:pt>
                <c:pt idx="131">
                  <c:v>0.54583333333333328</c:v>
                </c:pt>
                <c:pt idx="132">
                  <c:v>0.54999999999999993</c:v>
                </c:pt>
                <c:pt idx="133">
                  <c:v>0.5541666666666667</c:v>
                </c:pt>
                <c:pt idx="134">
                  <c:v>0.55833333333333335</c:v>
                </c:pt>
                <c:pt idx="135">
                  <c:v>0.5625</c:v>
                </c:pt>
                <c:pt idx="136">
                  <c:v>0.56666666666666665</c:v>
                </c:pt>
                <c:pt idx="137">
                  <c:v>0.5708333333333333</c:v>
                </c:pt>
                <c:pt idx="138">
                  <c:v>0.57500000000000007</c:v>
                </c:pt>
                <c:pt idx="139">
                  <c:v>0.57916666666666672</c:v>
                </c:pt>
                <c:pt idx="140">
                  <c:v>0.58333333333333337</c:v>
                </c:pt>
                <c:pt idx="141">
                  <c:v>0.58750000000000002</c:v>
                </c:pt>
                <c:pt idx="142">
                  <c:v>0.59166666666666667</c:v>
                </c:pt>
                <c:pt idx="143">
                  <c:v>0.59583333333333333</c:v>
                </c:pt>
                <c:pt idx="144">
                  <c:v>0.6</c:v>
                </c:pt>
                <c:pt idx="145">
                  <c:v>0.60416666666666663</c:v>
                </c:pt>
                <c:pt idx="146">
                  <c:v>0.60833333333333328</c:v>
                </c:pt>
                <c:pt idx="147">
                  <c:v>0.61249999999999993</c:v>
                </c:pt>
                <c:pt idx="148">
                  <c:v>0.6166666666666667</c:v>
                </c:pt>
                <c:pt idx="149">
                  <c:v>0.62083333333333335</c:v>
                </c:pt>
                <c:pt idx="150">
                  <c:v>0.625</c:v>
                </c:pt>
                <c:pt idx="151">
                  <c:v>0.62916666666666665</c:v>
                </c:pt>
                <c:pt idx="152">
                  <c:v>0.6333333333333333</c:v>
                </c:pt>
                <c:pt idx="153">
                  <c:v>0.63750000000000007</c:v>
                </c:pt>
                <c:pt idx="154">
                  <c:v>0.64166666666666672</c:v>
                </c:pt>
                <c:pt idx="155">
                  <c:v>0.64583333333333337</c:v>
                </c:pt>
                <c:pt idx="156">
                  <c:v>0.65</c:v>
                </c:pt>
                <c:pt idx="157">
                  <c:v>0.65416666666666667</c:v>
                </c:pt>
                <c:pt idx="158">
                  <c:v>0.65833333333333333</c:v>
                </c:pt>
                <c:pt idx="159">
                  <c:v>0.66249999999999998</c:v>
                </c:pt>
                <c:pt idx="160">
                  <c:v>0.66666666666666663</c:v>
                </c:pt>
                <c:pt idx="161">
                  <c:v>0.67083333333333339</c:v>
                </c:pt>
                <c:pt idx="162">
                  <c:v>0.67499999999999993</c:v>
                </c:pt>
                <c:pt idx="163">
                  <c:v>0.6791666666666667</c:v>
                </c:pt>
                <c:pt idx="164">
                  <c:v>0.68333333333333324</c:v>
                </c:pt>
                <c:pt idx="165">
                  <c:v>0.6875</c:v>
                </c:pt>
                <c:pt idx="166">
                  <c:v>0.69166666666666676</c:v>
                </c:pt>
                <c:pt idx="167">
                  <c:v>0.6958333333333333</c:v>
                </c:pt>
                <c:pt idx="168">
                  <c:v>0.70000000000000007</c:v>
                </c:pt>
                <c:pt idx="169">
                  <c:v>0.70416666666666661</c:v>
                </c:pt>
                <c:pt idx="170">
                  <c:v>0.70833333333333337</c:v>
                </c:pt>
                <c:pt idx="171">
                  <c:v>0.71250000000000002</c:v>
                </c:pt>
                <c:pt idx="172">
                  <c:v>0.71666666666666667</c:v>
                </c:pt>
                <c:pt idx="173">
                  <c:v>0.72083333333333333</c:v>
                </c:pt>
                <c:pt idx="174">
                  <c:v>0.72499999999999998</c:v>
                </c:pt>
                <c:pt idx="175">
                  <c:v>0.72916666666666663</c:v>
                </c:pt>
                <c:pt idx="176">
                  <c:v>0.73333333333333339</c:v>
                </c:pt>
                <c:pt idx="177">
                  <c:v>0.73749999999999993</c:v>
                </c:pt>
                <c:pt idx="178">
                  <c:v>0.7416666666666667</c:v>
                </c:pt>
                <c:pt idx="179">
                  <c:v>0.74583333333333324</c:v>
                </c:pt>
                <c:pt idx="180">
                  <c:v>0.75</c:v>
                </c:pt>
                <c:pt idx="181">
                  <c:v>0.75416666666666676</c:v>
                </c:pt>
                <c:pt idx="182">
                  <c:v>0.7583333333333333</c:v>
                </c:pt>
                <c:pt idx="183">
                  <c:v>0.76250000000000007</c:v>
                </c:pt>
                <c:pt idx="184">
                  <c:v>0.76666666666666661</c:v>
                </c:pt>
                <c:pt idx="185">
                  <c:v>0.77083333333333337</c:v>
                </c:pt>
                <c:pt idx="186">
                  <c:v>0.77500000000000002</c:v>
                </c:pt>
                <c:pt idx="187">
                  <c:v>0.77916666666666667</c:v>
                </c:pt>
                <c:pt idx="188">
                  <c:v>0.78333333333333333</c:v>
                </c:pt>
                <c:pt idx="189">
                  <c:v>0.78749999999999998</c:v>
                </c:pt>
                <c:pt idx="190">
                  <c:v>0.79166666666666663</c:v>
                </c:pt>
                <c:pt idx="191">
                  <c:v>0.79583333333333339</c:v>
                </c:pt>
                <c:pt idx="192">
                  <c:v>0.79999999999999993</c:v>
                </c:pt>
                <c:pt idx="193">
                  <c:v>0.8041666666666667</c:v>
                </c:pt>
                <c:pt idx="194">
                  <c:v>0.80833333333333324</c:v>
                </c:pt>
                <c:pt idx="195">
                  <c:v>0.8125</c:v>
                </c:pt>
                <c:pt idx="196">
                  <c:v>0.81666666666666676</c:v>
                </c:pt>
                <c:pt idx="197">
                  <c:v>0.8208333333333333</c:v>
                </c:pt>
                <c:pt idx="198">
                  <c:v>0.82500000000000007</c:v>
                </c:pt>
                <c:pt idx="199">
                  <c:v>0.82916666666666661</c:v>
                </c:pt>
                <c:pt idx="200">
                  <c:v>0.83333333333333337</c:v>
                </c:pt>
                <c:pt idx="201">
                  <c:v>0.83750000000000002</c:v>
                </c:pt>
                <c:pt idx="202">
                  <c:v>0.84166666666666667</c:v>
                </c:pt>
                <c:pt idx="203">
                  <c:v>0.84583333333333333</c:v>
                </c:pt>
                <c:pt idx="204">
                  <c:v>0.85</c:v>
                </c:pt>
                <c:pt idx="205">
                  <c:v>0.85416666666666663</c:v>
                </c:pt>
                <c:pt idx="206">
                  <c:v>0.85833333333333339</c:v>
                </c:pt>
                <c:pt idx="207">
                  <c:v>0.86249999999999993</c:v>
                </c:pt>
                <c:pt idx="208">
                  <c:v>0.8666666666666667</c:v>
                </c:pt>
                <c:pt idx="209">
                  <c:v>0.87083333333333324</c:v>
                </c:pt>
                <c:pt idx="210">
                  <c:v>0.875</c:v>
                </c:pt>
                <c:pt idx="211">
                  <c:v>0.87916666666666676</c:v>
                </c:pt>
                <c:pt idx="212">
                  <c:v>0.8833333333333333</c:v>
                </c:pt>
                <c:pt idx="213">
                  <c:v>0.88750000000000007</c:v>
                </c:pt>
                <c:pt idx="214">
                  <c:v>0.89166666666666661</c:v>
                </c:pt>
                <c:pt idx="215">
                  <c:v>0.89583333333333337</c:v>
                </c:pt>
                <c:pt idx="216">
                  <c:v>0.9</c:v>
                </c:pt>
                <c:pt idx="217">
                  <c:v>0.90416666666666667</c:v>
                </c:pt>
                <c:pt idx="218">
                  <c:v>0.90833333333333333</c:v>
                </c:pt>
                <c:pt idx="219">
                  <c:v>0.91249999999999998</c:v>
                </c:pt>
                <c:pt idx="220">
                  <c:v>0.91666666666666663</c:v>
                </c:pt>
                <c:pt idx="221">
                  <c:v>0.92083333333333339</c:v>
                </c:pt>
                <c:pt idx="222">
                  <c:v>0.92499999999999993</c:v>
                </c:pt>
                <c:pt idx="223">
                  <c:v>0.9291666666666667</c:v>
                </c:pt>
                <c:pt idx="224">
                  <c:v>0.93333333333333324</c:v>
                </c:pt>
                <c:pt idx="225">
                  <c:v>0.9375</c:v>
                </c:pt>
                <c:pt idx="226">
                  <c:v>0.94166666666666676</c:v>
                </c:pt>
                <c:pt idx="227">
                  <c:v>0.9458333333333333</c:v>
                </c:pt>
                <c:pt idx="228">
                  <c:v>0.95000000000000007</c:v>
                </c:pt>
                <c:pt idx="229">
                  <c:v>0.95416666666666661</c:v>
                </c:pt>
                <c:pt idx="230">
                  <c:v>0.95833333333333337</c:v>
                </c:pt>
                <c:pt idx="231">
                  <c:v>0.96250000000000002</c:v>
                </c:pt>
                <c:pt idx="232">
                  <c:v>0.96666666666666667</c:v>
                </c:pt>
                <c:pt idx="233">
                  <c:v>0.97083333333333333</c:v>
                </c:pt>
                <c:pt idx="234">
                  <c:v>0.97499999999999998</c:v>
                </c:pt>
                <c:pt idx="235">
                  <c:v>0.97916666666666663</c:v>
                </c:pt>
                <c:pt idx="236">
                  <c:v>0.98333333333333339</c:v>
                </c:pt>
                <c:pt idx="237">
                  <c:v>0.98749999999999993</c:v>
                </c:pt>
                <c:pt idx="238">
                  <c:v>0.9916666666666667</c:v>
                </c:pt>
                <c:pt idx="239">
                  <c:v>0.99583333333333324</c:v>
                </c:pt>
                <c:pt idx="240">
                  <c:v>1</c:v>
                </c:pt>
              </c:numCache>
            </c:numRef>
          </c:xVal>
          <c:yVal>
            <c:numRef>
              <c:f>Precip_YHD3!$F$3:$F$243</c:f>
              <c:numCache>
                <c:formatCode>General</c:formatCode>
                <c:ptCount val="241"/>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c:v>
                </c:pt>
                <c:pt idx="76">
                  <c:v>0</c:v>
                </c:pt>
                <c:pt idx="77">
                  <c:v>0</c:v>
                </c:pt>
                <c:pt idx="78">
                  <c:v>0.01</c:v>
                </c:pt>
                <c:pt idx="79">
                  <c:v>0.01</c:v>
                </c:pt>
                <c:pt idx="80">
                  <c:v>0.01</c:v>
                </c:pt>
                <c:pt idx="81">
                  <c:v>0.01</c:v>
                </c:pt>
                <c:pt idx="82">
                  <c:v>0.01</c:v>
                </c:pt>
                <c:pt idx="83">
                  <c:v>0.01</c:v>
                </c:pt>
                <c:pt idx="84">
                  <c:v>0.01</c:v>
                </c:pt>
                <c:pt idx="85">
                  <c:v>0.01</c:v>
                </c:pt>
                <c:pt idx="86">
                  <c:v>0.01</c:v>
                </c:pt>
                <c:pt idx="87">
                  <c:v>0.01</c:v>
                </c:pt>
                <c:pt idx="88">
                  <c:v>0.01</c:v>
                </c:pt>
                <c:pt idx="89">
                  <c:v>0.01</c:v>
                </c:pt>
                <c:pt idx="90">
                  <c:v>0.01</c:v>
                </c:pt>
                <c:pt idx="91">
                  <c:v>0.01</c:v>
                </c:pt>
                <c:pt idx="92">
                  <c:v>0.01</c:v>
                </c:pt>
                <c:pt idx="93">
                  <c:v>0.01</c:v>
                </c:pt>
                <c:pt idx="94">
                  <c:v>0.01</c:v>
                </c:pt>
                <c:pt idx="95">
                  <c:v>0.01</c:v>
                </c:pt>
                <c:pt idx="96">
                  <c:v>0.01</c:v>
                </c:pt>
                <c:pt idx="97">
                  <c:v>0.01</c:v>
                </c:pt>
                <c:pt idx="98">
                  <c:v>0.01</c:v>
                </c:pt>
                <c:pt idx="99">
                  <c:v>0.01</c:v>
                </c:pt>
                <c:pt idx="100">
                  <c:v>0.01</c:v>
                </c:pt>
                <c:pt idx="101">
                  <c:v>0.02</c:v>
                </c:pt>
                <c:pt idx="102">
                  <c:v>0.02</c:v>
                </c:pt>
                <c:pt idx="103">
                  <c:v>0.02</c:v>
                </c:pt>
                <c:pt idx="104">
                  <c:v>0.02</c:v>
                </c:pt>
                <c:pt idx="105">
                  <c:v>0.02</c:v>
                </c:pt>
                <c:pt idx="106">
                  <c:v>0.02</c:v>
                </c:pt>
                <c:pt idx="107">
                  <c:v>0.03</c:v>
                </c:pt>
                <c:pt idx="108">
                  <c:v>0.03</c:v>
                </c:pt>
                <c:pt idx="109">
                  <c:v>0.03</c:v>
                </c:pt>
                <c:pt idx="110">
                  <c:v>0.03</c:v>
                </c:pt>
                <c:pt idx="111">
                  <c:v>0.05</c:v>
                </c:pt>
                <c:pt idx="112">
                  <c:v>0.05</c:v>
                </c:pt>
                <c:pt idx="113">
                  <c:v>0.06</c:v>
                </c:pt>
                <c:pt idx="114">
                  <c:v>0.06</c:v>
                </c:pt>
                <c:pt idx="115">
                  <c:v>7.0000000000000007E-2</c:v>
                </c:pt>
                <c:pt idx="116">
                  <c:v>0.14000000000000001</c:v>
                </c:pt>
                <c:pt idx="117">
                  <c:v>0.15</c:v>
                </c:pt>
                <c:pt idx="118">
                  <c:v>0.18</c:v>
                </c:pt>
                <c:pt idx="119">
                  <c:v>0.15</c:v>
                </c:pt>
                <c:pt idx="120">
                  <c:v>0.35</c:v>
                </c:pt>
                <c:pt idx="121">
                  <c:v>0.68</c:v>
                </c:pt>
                <c:pt idx="122">
                  <c:v>0.24</c:v>
                </c:pt>
                <c:pt idx="123">
                  <c:v>0.14000000000000001</c:v>
                </c:pt>
                <c:pt idx="124">
                  <c:v>0.2</c:v>
                </c:pt>
                <c:pt idx="125">
                  <c:v>0.18</c:v>
                </c:pt>
                <c:pt idx="126">
                  <c:v>0.1</c:v>
                </c:pt>
                <c:pt idx="127">
                  <c:v>0.09</c:v>
                </c:pt>
                <c:pt idx="128">
                  <c:v>0.08</c:v>
                </c:pt>
                <c:pt idx="129">
                  <c:v>7.0000000000000007E-2</c:v>
                </c:pt>
                <c:pt idx="130">
                  <c:v>7.0000000000000007E-2</c:v>
                </c:pt>
                <c:pt idx="131">
                  <c:v>0.05</c:v>
                </c:pt>
                <c:pt idx="132">
                  <c:v>0.05</c:v>
                </c:pt>
                <c:pt idx="133">
                  <c:v>0.04</c:v>
                </c:pt>
                <c:pt idx="134">
                  <c:v>0.04</c:v>
                </c:pt>
                <c:pt idx="135">
                  <c:v>0.04</c:v>
                </c:pt>
                <c:pt idx="136">
                  <c:v>0.03</c:v>
                </c:pt>
                <c:pt idx="137">
                  <c:v>0.03</c:v>
                </c:pt>
                <c:pt idx="138">
                  <c:v>0.03</c:v>
                </c:pt>
                <c:pt idx="139">
                  <c:v>0.03</c:v>
                </c:pt>
                <c:pt idx="140">
                  <c:v>0.03</c:v>
                </c:pt>
                <c:pt idx="141">
                  <c:v>0.03</c:v>
                </c:pt>
                <c:pt idx="142">
                  <c:v>0.03</c:v>
                </c:pt>
                <c:pt idx="143">
                  <c:v>0.02</c:v>
                </c:pt>
                <c:pt idx="144">
                  <c:v>0.02</c:v>
                </c:pt>
                <c:pt idx="145">
                  <c:v>0.02</c:v>
                </c:pt>
                <c:pt idx="146">
                  <c:v>0.02</c:v>
                </c:pt>
                <c:pt idx="147">
                  <c:v>0.02</c:v>
                </c:pt>
                <c:pt idx="148">
                  <c:v>0.02</c:v>
                </c:pt>
                <c:pt idx="149">
                  <c:v>0.02</c:v>
                </c:pt>
                <c:pt idx="150">
                  <c:v>0.02</c:v>
                </c:pt>
                <c:pt idx="151">
                  <c:v>0.02</c:v>
                </c:pt>
                <c:pt idx="152">
                  <c:v>0.02</c:v>
                </c:pt>
                <c:pt idx="153">
                  <c:v>0.02</c:v>
                </c:pt>
                <c:pt idx="154">
                  <c:v>0.02</c:v>
                </c:pt>
                <c:pt idx="155">
                  <c:v>0.02</c:v>
                </c:pt>
                <c:pt idx="156">
                  <c:v>0.02</c:v>
                </c:pt>
                <c:pt idx="157">
                  <c:v>0.02</c:v>
                </c:pt>
                <c:pt idx="158">
                  <c:v>0.02</c:v>
                </c:pt>
                <c:pt idx="159">
                  <c:v>0.02</c:v>
                </c:pt>
                <c:pt idx="160">
                  <c:v>0.02</c:v>
                </c:pt>
                <c:pt idx="161">
                  <c:v>0.02</c:v>
                </c:pt>
                <c:pt idx="162">
                  <c:v>0.02</c:v>
                </c:pt>
                <c:pt idx="163">
                  <c:v>0.02</c:v>
                </c:pt>
                <c:pt idx="164">
                  <c:v>0.02</c:v>
                </c:pt>
                <c:pt idx="165">
                  <c:v>0.02</c:v>
                </c:pt>
                <c:pt idx="166">
                  <c:v>0.02</c:v>
                </c:pt>
                <c:pt idx="167">
                  <c:v>0.02</c:v>
                </c:pt>
                <c:pt idx="168">
                  <c:v>0.01</c:v>
                </c:pt>
                <c:pt idx="169">
                  <c:v>0.01</c:v>
                </c:pt>
                <c:pt idx="170">
                  <c:v>0.01</c:v>
                </c:pt>
                <c:pt idx="171">
                  <c:v>0.01</c:v>
                </c:pt>
                <c:pt idx="172">
                  <c:v>0.01</c:v>
                </c:pt>
                <c:pt idx="173">
                  <c:v>0.01</c:v>
                </c:pt>
                <c:pt idx="174">
                  <c:v>0.01</c:v>
                </c:pt>
                <c:pt idx="175">
                  <c:v>0.01</c:v>
                </c:pt>
                <c:pt idx="176">
                  <c:v>0.01</c:v>
                </c:pt>
                <c:pt idx="177">
                  <c:v>0.01</c:v>
                </c:pt>
                <c:pt idx="178">
                  <c:v>0.01</c:v>
                </c:pt>
                <c:pt idx="179">
                  <c:v>0.01</c:v>
                </c:pt>
                <c:pt idx="180">
                  <c:v>0.01</c:v>
                </c:pt>
                <c:pt idx="181">
                  <c:v>0.01</c:v>
                </c:pt>
                <c:pt idx="182">
                  <c:v>0.01</c:v>
                </c:pt>
                <c:pt idx="183">
                  <c:v>0.01</c:v>
                </c:pt>
                <c:pt idx="184">
                  <c:v>0.01</c:v>
                </c:pt>
                <c:pt idx="185">
                  <c:v>0.01</c:v>
                </c:pt>
                <c:pt idx="186">
                  <c:v>0.01</c:v>
                </c:pt>
                <c:pt idx="187">
                  <c:v>0.01</c:v>
                </c:pt>
                <c:pt idx="188">
                  <c:v>0.01</c:v>
                </c:pt>
                <c:pt idx="189">
                  <c:v>0.01</c:v>
                </c:pt>
                <c:pt idx="190">
                  <c:v>0.01</c:v>
                </c:pt>
                <c:pt idx="191">
                  <c:v>0.01</c:v>
                </c:pt>
                <c:pt idx="192">
                  <c:v>0.01</c:v>
                </c:pt>
                <c:pt idx="193">
                  <c:v>0.01</c:v>
                </c:pt>
                <c:pt idx="194">
                  <c:v>0.01</c:v>
                </c:pt>
                <c:pt idx="195">
                  <c:v>0.01</c:v>
                </c:pt>
                <c:pt idx="196">
                  <c:v>0.01</c:v>
                </c:pt>
                <c:pt idx="197">
                  <c:v>0.01</c:v>
                </c:pt>
                <c:pt idx="198">
                  <c:v>0.01</c:v>
                </c:pt>
                <c:pt idx="199">
                  <c:v>0.01</c:v>
                </c:pt>
                <c:pt idx="200">
                  <c:v>0.01</c:v>
                </c:pt>
                <c:pt idx="201">
                  <c:v>0.01</c:v>
                </c:pt>
                <c:pt idx="202">
                  <c:v>0.01</c:v>
                </c:pt>
                <c:pt idx="203">
                  <c:v>0.01</c:v>
                </c:pt>
                <c:pt idx="204">
                  <c:v>0.01</c:v>
                </c:pt>
                <c:pt idx="205">
                  <c:v>0.01</c:v>
                </c:pt>
                <c:pt idx="206">
                  <c:v>0.01</c:v>
                </c:pt>
                <c:pt idx="207">
                  <c:v>0.01</c:v>
                </c:pt>
                <c:pt idx="208">
                  <c:v>0.01</c:v>
                </c:pt>
                <c:pt idx="209">
                  <c:v>0.01</c:v>
                </c:pt>
                <c:pt idx="210">
                  <c:v>0.01</c:v>
                </c:pt>
                <c:pt idx="211">
                  <c:v>0.01</c:v>
                </c:pt>
                <c:pt idx="212">
                  <c:v>0.01</c:v>
                </c:pt>
                <c:pt idx="213">
                  <c:v>0.01</c:v>
                </c:pt>
                <c:pt idx="214">
                  <c:v>0.01</c:v>
                </c:pt>
                <c:pt idx="215">
                  <c:v>0.01</c:v>
                </c:pt>
                <c:pt idx="216">
                  <c:v>0.01</c:v>
                </c:pt>
                <c:pt idx="217">
                  <c:v>0.01</c:v>
                </c:pt>
                <c:pt idx="218">
                  <c:v>0.01</c:v>
                </c:pt>
                <c:pt idx="219">
                  <c:v>0.01</c:v>
                </c:pt>
                <c:pt idx="220">
                  <c:v>0.01</c:v>
                </c:pt>
                <c:pt idx="221">
                  <c:v>0.01</c:v>
                </c:pt>
                <c:pt idx="222">
                  <c:v>0.01</c:v>
                </c:pt>
                <c:pt idx="223">
                  <c:v>0.01</c:v>
                </c:pt>
                <c:pt idx="224">
                  <c:v>0.01</c:v>
                </c:pt>
                <c:pt idx="225">
                  <c:v>0.01</c:v>
                </c:pt>
                <c:pt idx="226">
                  <c:v>0.01</c:v>
                </c:pt>
                <c:pt idx="227">
                  <c:v>0.01</c:v>
                </c:pt>
                <c:pt idx="228">
                  <c:v>0.01</c:v>
                </c:pt>
                <c:pt idx="229">
                  <c:v>0.01</c:v>
                </c:pt>
                <c:pt idx="230">
                  <c:v>0.01</c:v>
                </c:pt>
                <c:pt idx="231">
                  <c:v>0.01</c:v>
                </c:pt>
                <c:pt idx="232">
                  <c:v>0.01</c:v>
                </c:pt>
                <c:pt idx="233">
                  <c:v>0.01</c:v>
                </c:pt>
                <c:pt idx="234">
                  <c:v>0.01</c:v>
                </c:pt>
                <c:pt idx="235">
                  <c:v>0.01</c:v>
                </c:pt>
                <c:pt idx="236">
                  <c:v>0.01</c:v>
                </c:pt>
                <c:pt idx="237">
                  <c:v>0.01</c:v>
                </c:pt>
                <c:pt idx="238">
                  <c:v>0.01</c:v>
                </c:pt>
                <c:pt idx="239">
                  <c:v>0.01</c:v>
                </c:pt>
                <c:pt idx="240">
                  <c:v>0.01</c:v>
                </c:pt>
              </c:numCache>
            </c:numRef>
          </c:yVal>
          <c:smooth val="1"/>
          <c:extLst xmlns:c16r2="http://schemas.microsoft.com/office/drawing/2015/06/chart">
            <c:ext xmlns:c16="http://schemas.microsoft.com/office/drawing/2014/chart" uri="{C3380CC4-5D6E-409C-BE32-E72D297353CC}">
              <c16:uniqueId val="{00000000-CCEA-4C07-A470-965A6609C101}"/>
            </c:ext>
          </c:extLst>
        </c:ser>
        <c:ser>
          <c:idx val="3"/>
          <c:order val="2"/>
          <c:tx>
            <c:v>1 Percent Annual Chance</c:v>
          </c:tx>
          <c:spPr>
            <a:ln>
              <a:solidFill>
                <a:schemeClr val="tx1"/>
              </a:solidFill>
            </a:ln>
          </c:spPr>
          <c:marker>
            <c:symbol val="none"/>
          </c:marker>
          <c:xVal>
            <c:numRef>
              <c:f>Precip_YHD3!$A$3:$A$243</c:f>
              <c:numCache>
                <c:formatCode>h:mm;@</c:formatCode>
                <c:ptCount val="241"/>
                <c:pt idx="0">
                  <c:v>0</c:v>
                </c:pt>
                <c:pt idx="1">
                  <c:v>4.1666666666666666E-3</c:v>
                </c:pt>
                <c:pt idx="2">
                  <c:v>8.3333333333333332E-3</c:v>
                </c:pt>
                <c:pt idx="3">
                  <c:v>1.2499999999999999E-2</c:v>
                </c:pt>
                <c:pt idx="4">
                  <c:v>1.6666666666666666E-2</c:v>
                </c:pt>
                <c:pt idx="5">
                  <c:v>2.0833333333333332E-2</c:v>
                </c:pt>
                <c:pt idx="6">
                  <c:v>2.4999999999999998E-2</c:v>
                </c:pt>
                <c:pt idx="7">
                  <c:v>2.9166666666666664E-2</c:v>
                </c:pt>
                <c:pt idx="8">
                  <c:v>3.3333333333333333E-2</c:v>
                </c:pt>
                <c:pt idx="9">
                  <c:v>3.7499999999999999E-2</c:v>
                </c:pt>
                <c:pt idx="10">
                  <c:v>4.1666666666666664E-2</c:v>
                </c:pt>
                <c:pt idx="11">
                  <c:v>4.5833333333333337E-2</c:v>
                </c:pt>
                <c:pt idx="12">
                  <c:v>4.9999999999999996E-2</c:v>
                </c:pt>
                <c:pt idx="13">
                  <c:v>5.4166666666666669E-2</c:v>
                </c:pt>
                <c:pt idx="14">
                  <c:v>5.8333333333333327E-2</c:v>
                </c:pt>
                <c:pt idx="15">
                  <c:v>6.25E-2</c:v>
                </c:pt>
                <c:pt idx="16">
                  <c:v>6.6666666666666666E-2</c:v>
                </c:pt>
                <c:pt idx="17">
                  <c:v>7.0833333333333331E-2</c:v>
                </c:pt>
                <c:pt idx="18">
                  <c:v>7.4999999999999997E-2</c:v>
                </c:pt>
                <c:pt idx="19">
                  <c:v>7.9166666666666663E-2</c:v>
                </c:pt>
                <c:pt idx="20">
                  <c:v>8.3333333333333329E-2</c:v>
                </c:pt>
                <c:pt idx="21">
                  <c:v>8.7500000000000008E-2</c:v>
                </c:pt>
                <c:pt idx="22">
                  <c:v>9.1666666666666674E-2</c:v>
                </c:pt>
                <c:pt idx="23">
                  <c:v>9.5833333333333326E-2</c:v>
                </c:pt>
                <c:pt idx="24">
                  <c:v>9.9999999999999992E-2</c:v>
                </c:pt>
                <c:pt idx="25">
                  <c:v>0.10416666666666667</c:v>
                </c:pt>
                <c:pt idx="26">
                  <c:v>0.10833333333333334</c:v>
                </c:pt>
                <c:pt idx="27">
                  <c:v>0.1125</c:v>
                </c:pt>
                <c:pt idx="28">
                  <c:v>0.11666666666666665</c:v>
                </c:pt>
                <c:pt idx="29">
                  <c:v>0.12083333333333333</c:v>
                </c:pt>
                <c:pt idx="30">
                  <c:v>0.125</c:v>
                </c:pt>
                <c:pt idx="31">
                  <c:v>0.12916666666666668</c:v>
                </c:pt>
                <c:pt idx="32">
                  <c:v>0.13333333333333333</c:v>
                </c:pt>
                <c:pt idx="33">
                  <c:v>0.13749999999999998</c:v>
                </c:pt>
                <c:pt idx="34">
                  <c:v>0.14166666666666666</c:v>
                </c:pt>
                <c:pt idx="35">
                  <c:v>0.14583333333333334</c:v>
                </c:pt>
                <c:pt idx="36">
                  <c:v>0.15</c:v>
                </c:pt>
                <c:pt idx="37">
                  <c:v>0.15416666666666667</c:v>
                </c:pt>
                <c:pt idx="38">
                  <c:v>0.15833333333333333</c:v>
                </c:pt>
                <c:pt idx="39">
                  <c:v>0.16250000000000001</c:v>
                </c:pt>
                <c:pt idx="40">
                  <c:v>0.16666666666666666</c:v>
                </c:pt>
                <c:pt idx="41">
                  <c:v>0.17083333333333331</c:v>
                </c:pt>
                <c:pt idx="42">
                  <c:v>0.17500000000000002</c:v>
                </c:pt>
                <c:pt idx="43">
                  <c:v>0.17916666666666667</c:v>
                </c:pt>
                <c:pt idx="44">
                  <c:v>0.18333333333333335</c:v>
                </c:pt>
                <c:pt idx="45">
                  <c:v>0.1875</c:v>
                </c:pt>
                <c:pt idx="46">
                  <c:v>0.19166666666666665</c:v>
                </c:pt>
                <c:pt idx="47">
                  <c:v>0.19583333333333333</c:v>
                </c:pt>
                <c:pt idx="48">
                  <c:v>0.19999999999999998</c:v>
                </c:pt>
                <c:pt idx="49">
                  <c:v>0.20416666666666669</c:v>
                </c:pt>
                <c:pt idx="50">
                  <c:v>0.20833333333333334</c:v>
                </c:pt>
                <c:pt idx="51">
                  <c:v>0.21249999999999999</c:v>
                </c:pt>
                <c:pt idx="52">
                  <c:v>0.21666666666666667</c:v>
                </c:pt>
                <c:pt idx="53">
                  <c:v>0.22083333333333333</c:v>
                </c:pt>
                <c:pt idx="54">
                  <c:v>0.22500000000000001</c:v>
                </c:pt>
                <c:pt idx="55">
                  <c:v>0.22916666666666666</c:v>
                </c:pt>
                <c:pt idx="56">
                  <c:v>0.23333333333333331</c:v>
                </c:pt>
                <c:pt idx="57">
                  <c:v>0.23750000000000002</c:v>
                </c:pt>
                <c:pt idx="58">
                  <c:v>0.24166666666666667</c:v>
                </c:pt>
                <c:pt idx="59">
                  <c:v>0.24583333333333335</c:v>
                </c:pt>
                <c:pt idx="60">
                  <c:v>0.25</c:v>
                </c:pt>
                <c:pt idx="61">
                  <c:v>0.25416666666666665</c:v>
                </c:pt>
                <c:pt idx="62">
                  <c:v>0.25833333333333336</c:v>
                </c:pt>
                <c:pt idx="63">
                  <c:v>0.26250000000000001</c:v>
                </c:pt>
                <c:pt idx="64">
                  <c:v>0.26666666666666666</c:v>
                </c:pt>
                <c:pt idx="65">
                  <c:v>0.27083333333333331</c:v>
                </c:pt>
                <c:pt idx="66">
                  <c:v>0.27499999999999997</c:v>
                </c:pt>
                <c:pt idx="67">
                  <c:v>0.27916666666666667</c:v>
                </c:pt>
                <c:pt idx="68">
                  <c:v>0.28333333333333333</c:v>
                </c:pt>
                <c:pt idx="69">
                  <c:v>0.28750000000000003</c:v>
                </c:pt>
                <c:pt idx="70">
                  <c:v>0.29166666666666669</c:v>
                </c:pt>
                <c:pt idx="71">
                  <c:v>0.29583333333333334</c:v>
                </c:pt>
                <c:pt idx="72">
                  <c:v>0.3</c:v>
                </c:pt>
                <c:pt idx="73">
                  <c:v>0.30416666666666664</c:v>
                </c:pt>
                <c:pt idx="74">
                  <c:v>0.30833333333333335</c:v>
                </c:pt>
                <c:pt idx="75">
                  <c:v>0.3125</c:v>
                </c:pt>
                <c:pt idx="76">
                  <c:v>0.31666666666666665</c:v>
                </c:pt>
                <c:pt idx="77">
                  <c:v>0.32083333333333336</c:v>
                </c:pt>
                <c:pt idx="78">
                  <c:v>0.32500000000000001</c:v>
                </c:pt>
                <c:pt idx="79">
                  <c:v>0.32916666666666666</c:v>
                </c:pt>
                <c:pt idx="80">
                  <c:v>0.33333333333333331</c:v>
                </c:pt>
                <c:pt idx="81">
                  <c:v>0.33749999999999997</c:v>
                </c:pt>
                <c:pt idx="82">
                  <c:v>0.34166666666666662</c:v>
                </c:pt>
                <c:pt idx="83">
                  <c:v>0.34583333333333338</c:v>
                </c:pt>
                <c:pt idx="84">
                  <c:v>0.35000000000000003</c:v>
                </c:pt>
                <c:pt idx="85">
                  <c:v>0.35416666666666669</c:v>
                </c:pt>
                <c:pt idx="86">
                  <c:v>0.35833333333333334</c:v>
                </c:pt>
                <c:pt idx="87">
                  <c:v>0.36249999999999999</c:v>
                </c:pt>
                <c:pt idx="88">
                  <c:v>0.3666666666666667</c:v>
                </c:pt>
                <c:pt idx="89">
                  <c:v>0.37083333333333335</c:v>
                </c:pt>
                <c:pt idx="90">
                  <c:v>0.375</c:v>
                </c:pt>
                <c:pt idx="91">
                  <c:v>0.37916666666666665</c:v>
                </c:pt>
                <c:pt idx="92">
                  <c:v>0.3833333333333333</c:v>
                </c:pt>
                <c:pt idx="93">
                  <c:v>0.38750000000000001</c:v>
                </c:pt>
                <c:pt idx="94">
                  <c:v>0.39166666666666666</c:v>
                </c:pt>
                <c:pt idx="95">
                  <c:v>0.39583333333333331</c:v>
                </c:pt>
                <c:pt idx="96">
                  <c:v>0.39999999999999997</c:v>
                </c:pt>
                <c:pt idx="97">
                  <c:v>0.40416666666666662</c:v>
                </c:pt>
                <c:pt idx="98">
                  <c:v>0.40833333333333338</c:v>
                </c:pt>
                <c:pt idx="99">
                  <c:v>0.41250000000000003</c:v>
                </c:pt>
                <c:pt idx="100">
                  <c:v>0.41666666666666669</c:v>
                </c:pt>
                <c:pt idx="101">
                  <c:v>0.42083333333333334</c:v>
                </c:pt>
                <c:pt idx="102">
                  <c:v>0.42499999999999999</c:v>
                </c:pt>
                <c:pt idx="103">
                  <c:v>0.4291666666666667</c:v>
                </c:pt>
                <c:pt idx="104">
                  <c:v>0.43333333333333335</c:v>
                </c:pt>
                <c:pt idx="105">
                  <c:v>0.4375</c:v>
                </c:pt>
                <c:pt idx="106">
                  <c:v>0.44166666666666665</c:v>
                </c:pt>
                <c:pt idx="107">
                  <c:v>0.4458333333333333</c:v>
                </c:pt>
                <c:pt idx="108">
                  <c:v>0.45</c:v>
                </c:pt>
                <c:pt idx="109">
                  <c:v>0.45416666666666666</c:v>
                </c:pt>
                <c:pt idx="110">
                  <c:v>0.45833333333333331</c:v>
                </c:pt>
                <c:pt idx="111">
                  <c:v>0.46249999999999997</c:v>
                </c:pt>
                <c:pt idx="112">
                  <c:v>0.46666666666666662</c:v>
                </c:pt>
                <c:pt idx="113">
                  <c:v>0.47083333333333338</c:v>
                </c:pt>
                <c:pt idx="114">
                  <c:v>0.47500000000000003</c:v>
                </c:pt>
                <c:pt idx="115">
                  <c:v>0.47916666666666669</c:v>
                </c:pt>
                <c:pt idx="116">
                  <c:v>0.48333333333333334</c:v>
                </c:pt>
                <c:pt idx="117">
                  <c:v>0.48749999999999999</c:v>
                </c:pt>
                <c:pt idx="118">
                  <c:v>0.4916666666666667</c:v>
                </c:pt>
                <c:pt idx="119">
                  <c:v>0.49583333333333335</c:v>
                </c:pt>
                <c:pt idx="120">
                  <c:v>0.5</c:v>
                </c:pt>
                <c:pt idx="121">
                  <c:v>0.50416666666666665</c:v>
                </c:pt>
                <c:pt idx="122">
                  <c:v>0.5083333333333333</c:v>
                </c:pt>
                <c:pt idx="123">
                  <c:v>0.51250000000000007</c:v>
                </c:pt>
                <c:pt idx="124">
                  <c:v>0.51666666666666672</c:v>
                </c:pt>
                <c:pt idx="125">
                  <c:v>0.52083333333333337</c:v>
                </c:pt>
                <c:pt idx="126">
                  <c:v>0.52500000000000002</c:v>
                </c:pt>
                <c:pt idx="127">
                  <c:v>0.52916666666666667</c:v>
                </c:pt>
                <c:pt idx="128">
                  <c:v>0.53333333333333333</c:v>
                </c:pt>
                <c:pt idx="129">
                  <c:v>0.53749999999999998</c:v>
                </c:pt>
                <c:pt idx="130">
                  <c:v>0.54166666666666663</c:v>
                </c:pt>
                <c:pt idx="131">
                  <c:v>0.54583333333333328</c:v>
                </c:pt>
                <c:pt idx="132">
                  <c:v>0.54999999999999993</c:v>
                </c:pt>
                <c:pt idx="133">
                  <c:v>0.5541666666666667</c:v>
                </c:pt>
                <c:pt idx="134">
                  <c:v>0.55833333333333335</c:v>
                </c:pt>
                <c:pt idx="135">
                  <c:v>0.5625</c:v>
                </c:pt>
                <c:pt idx="136">
                  <c:v>0.56666666666666665</c:v>
                </c:pt>
                <c:pt idx="137">
                  <c:v>0.5708333333333333</c:v>
                </c:pt>
                <c:pt idx="138">
                  <c:v>0.57500000000000007</c:v>
                </c:pt>
                <c:pt idx="139">
                  <c:v>0.57916666666666672</c:v>
                </c:pt>
                <c:pt idx="140">
                  <c:v>0.58333333333333337</c:v>
                </c:pt>
                <c:pt idx="141">
                  <c:v>0.58750000000000002</c:v>
                </c:pt>
                <c:pt idx="142">
                  <c:v>0.59166666666666667</c:v>
                </c:pt>
                <c:pt idx="143">
                  <c:v>0.59583333333333333</c:v>
                </c:pt>
                <c:pt idx="144">
                  <c:v>0.6</c:v>
                </c:pt>
                <c:pt idx="145">
                  <c:v>0.60416666666666663</c:v>
                </c:pt>
                <c:pt idx="146">
                  <c:v>0.60833333333333328</c:v>
                </c:pt>
                <c:pt idx="147">
                  <c:v>0.61249999999999993</c:v>
                </c:pt>
                <c:pt idx="148">
                  <c:v>0.6166666666666667</c:v>
                </c:pt>
                <c:pt idx="149">
                  <c:v>0.62083333333333335</c:v>
                </c:pt>
                <c:pt idx="150">
                  <c:v>0.625</c:v>
                </c:pt>
                <c:pt idx="151">
                  <c:v>0.62916666666666665</c:v>
                </c:pt>
                <c:pt idx="152">
                  <c:v>0.6333333333333333</c:v>
                </c:pt>
                <c:pt idx="153">
                  <c:v>0.63750000000000007</c:v>
                </c:pt>
                <c:pt idx="154">
                  <c:v>0.64166666666666672</c:v>
                </c:pt>
                <c:pt idx="155">
                  <c:v>0.64583333333333337</c:v>
                </c:pt>
                <c:pt idx="156">
                  <c:v>0.65</c:v>
                </c:pt>
                <c:pt idx="157">
                  <c:v>0.65416666666666667</c:v>
                </c:pt>
                <c:pt idx="158">
                  <c:v>0.65833333333333333</c:v>
                </c:pt>
                <c:pt idx="159">
                  <c:v>0.66249999999999998</c:v>
                </c:pt>
                <c:pt idx="160">
                  <c:v>0.66666666666666663</c:v>
                </c:pt>
                <c:pt idx="161">
                  <c:v>0.67083333333333339</c:v>
                </c:pt>
                <c:pt idx="162">
                  <c:v>0.67499999999999993</c:v>
                </c:pt>
                <c:pt idx="163">
                  <c:v>0.6791666666666667</c:v>
                </c:pt>
                <c:pt idx="164">
                  <c:v>0.68333333333333324</c:v>
                </c:pt>
                <c:pt idx="165">
                  <c:v>0.6875</c:v>
                </c:pt>
                <c:pt idx="166">
                  <c:v>0.69166666666666676</c:v>
                </c:pt>
                <c:pt idx="167">
                  <c:v>0.6958333333333333</c:v>
                </c:pt>
                <c:pt idx="168">
                  <c:v>0.70000000000000007</c:v>
                </c:pt>
                <c:pt idx="169">
                  <c:v>0.70416666666666661</c:v>
                </c:pt>
                <c:pt idx="170">
                  <c:v>0.70833333333333337</c:v>
                </c:pt>
                <c:pt idx="171">
                  <c:v>0.71250000000000002</c:v>
                </c:pt>
                <c:pt idx="172">
                  <c:v>0.71666666666666667</c:v>
                </c:pt>
                <c:pt idx="173">
                  <c:v>0.72083333333333333</c:v>
                </c:pt>
                <c:pt idx="174">
                  <c:v>0.72499999999999998</c:v>
                </c:pt>
                <c:pt idx="175">
                  <c:v>0.72916666666666663</c:v>
                </c:pt>
                <c:pt idx="176">
                  <c:v>0.73333333333333339</c:v>
                </c:pt>
                <c:pt idx="177">
                  <c:v>0.73749999999999993</c:v>
                </c:pt>
                <c:pt idx="178">
                  <c:v>0.7416666666666667</c:v>
                </c:pt>
                <c:pt idx="179">
                  <c:v>0.74583333333333324</c:v>
                </c:pt>
                <c:pt idx="180">
                  <c:v>0.75</c:v>
                </c:pt>
                <c:pt idx="181">
                  <c:v>0.75416666666666676</c:v>
                </c:pt>
                <c:pt idx="182">
                  <c:v>0.7583333333333333</c:v>
                </c:pt>
                <c:pt idx="183">
                  <c:v>0.76250000000000007</c:v>
                </c:pt>
                <c:pt idx="184">
                  <c:v>0.76666666666666661</c:v>
                </c:pt>
                <c:pt idx="185">
                  <c:v>0.77083333333333337</c:v>
                </c:pt>
                <c:pt idx="186">
                  <c:v>0.77500000000000002</c:v>
                </c:pt>
                <c:pt idx="187">
                  <c:v>0.77916666666666667</c:v>
                </c:pt>
                <c:pt idx="188">
                  <c:v>0.78333333333333333</c:v>
                </c:pt>
                <c:pt idx="189">
                  <c:v>0.78749999999999998</c:v>
                </c:pt>
                <c:pt idx="190">
                  <c:v>0.79166666666666663</c:v>
                </c:pt>
                <c:pt idx="191">
                  <c:v>0.79583333333333339</c:v>
                </c:pt>
                <c:pt idx="192">
                  <c:v>0.79999999999999993</c:v>
                </c:pt>
                <c:pt idx="193">
                  <c:v>0.8041666666666667</c:v>
                </c:pt>
                <c:pt idx="194">
                  <c:v>0.80833333333333324</c:v>
                </c:pt>
                <c:pt idx="195">
                  <c:v>0.8125</c:v>
                </c:pt>
                <c:pt idx="196">
                  <c:v>0.81666666666666676</c:v>
                </c:pt>
                <c:pt idx="197">
                  <c:v>0.8208333333333333</c:v>
                </c:pt>
                <c:pt idx="198">
                  <c:v>0.82500000000000007</c:v>
                </c:pt>
                <c:pt idx="199">
                  <c:v>0.82916666666666661</c:v>
                </c:pt>
                <c:pt idx="200">
                  <c:v>0.83333333333333337</c:v>
                </c:pt>
                <c:pt idx="201">
                  <c:v>0.83750000000000002</c:v>
                </c:pt>
                <c:pt idx="202">
                  <c:v>0.84166666666666667</c:v>
                </c:pt>
                <c:pt idx="203">
                  <c:v>0.84583333333333333</c:v>
                </c:pt>
                <c:pt idx="204">
                  <c:v>0.85</c:v>
                </c:pt>
                <c:pt idx="205">
                  <c:v>0.85416666666666663</c:v>
                </c:pt>
                <c:pt idx="206">
                  <c:v>0.85833333333333339</c:v>
                </c:pt>
                <c:pt idx="207">
                  <c:v>0.86249999999999993</c:v>
                </c:pt>
                <c:pt idx="208">
                  <c:v>0.8666666666666667</c:v>
                </c:pt>
                <c:pt idx="209">
                  <c:v>0.87083333333333324</c:v>
                </c:pt>
                <c:pt idx="210">
                  <c:v>0.875</c:v>
                </c:pt>
                <c:pt idx="211">
                  <c:v>0.87916666666666676</c:v>
                </c:pt>
                <c:pt idx="212">
                  <c:v>0.8833333333333333</c:v>
                </c:pt>
                <c:pt idx="213">
                  <c:v>0.88750000000000007</c:v>
                </c:pt>
                <c:pt idx="214">
                  <c:v>0.89166666666666661</c:v>
                </c:pt>
                <c:pt idx="215">
                  <c:v>0.89583333333333337</c:v>
                </c:pt>
                <c:pt idx="216">
                  <c:v>0.9</c:v>
                </c:pt>
                <c:pt idx="217">
                  <c:v>0.90416666666666667</c:v>
                </c:pt>
                <c:pt idx="218">
                  <c:v>0.90833333333333333</c:v>
                </c:pt>
                <c:pt idx="219">
                  <c:v>0.91249999999999998</c:v>
                </c:pt>
                <c:pt idx="220">
                  <c:v>0.91666666666666663</c:v>
                </c:pt>
                <c:pt idx="221">
                  <c:v>0.92083333333333339</c:v>
                </c:pt>
                <c:pt idx="222">
                  <c:v>0.92499999999999993</c:v>
                </c:pt>
                <c:pt idx="223">
                  <c:v>0.9291666666666667</c:v>
                </c:pt>
                <c:pt idx="224">
                  <c:v>0.93333333333333324</c:v>
                </c:pt>
                <c:pt idx="225">
                  <c:v>0.9375</c:v>
                </c:pt>
                <c:pt idx="226">
                  <c:v>0.94166666666666676</c:v>
                </c:pt>
                <c:pt idx="227">
                  <c:v>0.9458333333333333</c:v>
                </c:pt>
                <c:pt idx="228">
                  <c:v>0.95000000000000007</c:v>
                </c:pt>
                <c:pt idx="229">
                  <c:v>0.95416666666666661</c:v>
                </c:pt>
                <c:pt idx="230">
                  <c:v>0.95833333333333337</c:v>
                </c:pt>
                <c:pt idx="231">
                  <c:v>0.96250000000000002</c:v>
                </c:pt>
                <c:pt idx="232">
                  <c:v>0.96666666666666667</c:v>
                </c:pt>
                <c:pt idx="233">
                  <c:v>0.97083333333333333</c:v>
                </c:pt>
                <c:pt idx="234">
                  <c:v>0.97499999999999998</c:v>
                </c:pt>
                <c:pt idx="235">
                  <c:v>0.97916666666666663</c:v>
                </c:pt>
                <c:pt idx="236">
                  <c:v>0.98333333333333339</c:v>
                </c:pt>
                <c:pt idx="237">
                  <c:v>0.98749999999999993</c:v>
                </c:pt>
                <c:pt idx="238">
                  <c:v>0.9916666666666667</c:v>
                </c:pt>
                <c:pt idx="239">
                  <c:v>0.99583333333333324</c:v>
                </c:pt>
                <c:pt idx="240">
                  <c:v>1</c:v>
                </c:pt>
              </c:numCache>
            </c:numRef>
          </c:xVal>
          <c:yVal>
            <c:numRef>
              <c:f>Precip_YHD3!$E$3:$E$243</c:f>
              <c:numCache>
                <c:formatCode>General</c:formatCode>
                <c:ptCount val="241"/>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c:v>
                </c:pt>
                <c:pt idx="76">
                  <c:v>0</c:v>
                </c:pt>
                <c:pt idx="77">
                  <c:v>0</c:v>
                </c:pt>
                <c:pt idx="78">
                  <c:v>0</c:v>
                </c:pt>
                <c:pt idx="79">
                  <c:v>0</c:v>
                </c:pt>
                <c:pt idx="80">
                  <c:v>0.01</c:v>
                </c:pt>
                <c:pt idx="81">
                  <c:v>0.01</c:v>
                </c:pt>
                <c:pt idx="82">
                  <c:v>0.01</c:v>
                </c:pt>
                <c:pt idx="83">
                  <c:v>0.01</c:v>
                </c:pt>
                <c:pt idx="84">
                  <c:v>0.01</c:v>
                </c:pt>
                <c:pt idx="85">
                  <c:v>0.01</c:v>
                </c:pt>
                <c:pt idx="86">
                  <c:v>0.01</c:v>
                </c:pt>
                <c:pt idx="87">
                  <c:v>0.01</c:v>
                </c:pt>
                <c:pt idx="88">
                  <c:v>0.01</c:v>
                </c:pt>
                <c:pt idx="89">
                  <c:v>0.01</c:v>
                </c:pt>
                <c:pt idx="90">
                  <c:v>0.01</c:v>
                </c:pt>
                <c:pt idx="91">
                  <c:v>0</c:v>
                </c:pt>
                <c:pt idx="92">
                  <c:v>0</c:v>
                </c:pt>
                <c:pt idx="93">
                  <c:v>0</c:v>
                </c:pt>
                <c:pt idx="94">
                  <c:v>0</c:v>
                </c:pt>
                <c:pt idx="95">
                  <c:v>0</c:v>
                </c:pt>
                <c:pt idx="96">
                  <c:v>0</c:v>
                </c:pt>
                <c:pt idx="97">
                  <c:v>0</c:v>
                </c:pt>
                <c:pt idx="98">
                  <c:v>0</c:v>
                </c:pt>
                <c:pt idx="99">
                  <c:v>0</c:v>
                </c:pt>
                <c:pt idx="100">
                  <c:v>0</c:v>
                </c:pt>
                <c:pt idx="101">
                  <c:v>0</c:v>
                </c:pt>
                <c:pt idx="102">
                  <c:v>0</c:v>
                </c:pt>
                <c:pt idx="103">
                  <c:v>0</c:v>
                </c:pt>
                <c:pt idx="104">
                  <c:v>0</c:v>
                </c:pt>
                <c:pt idx="105">
                  <c:v>0</c:v>
                </c:pt>
                <c:pt idx="106">
                  <c:v>0.01</c:v>
                </c:pt>
                <c:pt idx="107">
                  <c:v>0.01</c:v>
                </c:pt>
                <c:pt idx="108">
                  <c:v>0.02</c:v>
                </c:pt>
                <c:pt idx="109">
                  <c:v>0.02</c:v>
                </c:pt>
                <c:pt idx="110">
                  <c:v>0.02</c:v>
                </c:pt>
                <c:pt idx="111">
                  <c:v>0.03</c:v>
                </c:pt>
                <c:pt idx="112">
                  <c:v>0.03</c:v>
                </c:pt>
                <c:pt idx="113">
                  <c:v>0.04</c:v>
                </c:pt>
                <c:pt idx="114">
                  <c:v>0.04</c:v>
                </c:pt>
                <c:pt idx="115">
                  <c:v>0.05</c:v>
                </c:pt>
                <c:pt idx="116">
                  <c:v>0.09</c:v>
                </c:pt>
                <c:pt idx="117">
                  <c:v>0.1</c:v>
                </c:pt>
                <c:pt idx="118">
                  <c:v>0.12</c:v>
                </c:pt>
                <c:pt idx="119">
                  <c:v>0.1</c:v>
                </c:pt>
                <c:pt idx="120">
                  <c:v>0.24</c:v>
                </c:pt>
                <c:pt idx="121">
                  <c:v>0.47</c:v>
                </c:pt>
                <c:pt idx="122">
                  <c:v>0.17</c:v>
                </c:pt>
                <c:pt idx="123">
                  <c:v>0.1</c:v>
                </c:pt>
                <c:pt idx="124">
                  <c:v>0.14000000000000001</c:v>
                </c:pt>
                <c:pt idx="125">
                  <c:v>0.13</c:v>
                </c:pt>
                <c:pt idx="126">
                  <c:v>7.0000000000000007E-2</c:v>
                </c:pt>
                <c:pt idx="127">
                  <c:v>0.06</c:v>
                </c:pt>
                <c:pt idx="128">
                  <c:v>0.06</c:v>
                </c:pt>
                <c:pt idx="129">
                  <c:v>0.05</c:v>
                </c:pt>
                <c:pt idx="130">
                  <c:v>0.05</c:v>
                </c:pt>
                <c:pt idx="131">
                  <c:v>0.04</c:v>
                </c:pt>
                <c:pt idx="132">
                  <c:v>0.03</c:v>
                </c:pt>
                <c:pt idx="133">
                  <c:v>0.03</c:v>
                </c:pt>
                <c:pt idx="134">
                  <c:v>0.03</c:v>
                </c:pt>
                <c:pt idx="135">
                  <c:v>0.03</c:v>
                </c:pt>
                <c:pt idx="136">
                  <c:v>0.01</c:v>
                </c:pt>
                <c:pt idx="137">
                  <c:v>0.01</c:v>
                </c:pt>
                <c:pt idx="138">
                  <c:v>0.01</c:v>
                </c:pt>
                <c:pt idx="139">
                  <c:v>0.01</c:v>
                </c:pt>
                <c:pt idx="140">
                  <c:v>0.01</c:v>
                </c:pt>
                <c:pt idx="141">
                  <c:v>0.01</c:v>
                </c:pt>
                <c:pt idx="142">
                  <c:v>0.01</c:v>
                </c:pt>
                <c:pt idx="143">
                  <c:v>0.01</c:v>
                </c:pt>
                <c:pt idx="144">
                  <c:v>0.01</c:v>
                </c:pt>
                <c:pt idx="145">
                  <c:v>0.01</c:v>
                </c:pt>
                <c:pt idx="146">
                  <c:v>0.01</c:v>
                </c:pt>
                <c:pt idx="147">
                  <c:v>0.01</c:v>
                </c:pt>
                <c:pt idx="148">
                  <c:v>0</c:v>
                </c:pt>
                <c:pt idx="149">
                  <c:v>0</c:v>
                </c:pt>
                <c:pt idx="150">
                  <c:v>0</c:v>
                </c:pt>
                <c:pt idx="151">
                  <c:v>0.02</c:v>
                </c:pt>
                <c:pt idx="152">
                  <c:v>0.02</c:v>
                </c:pt>
                <c:pt idx="153">
                  <c:v>0.02</c:v>
                </c:pt>
                <c:pt idx="154">
                  <c:v>0.02</c:v>
                </c:pt>
                <c:pt idx="155">
                  <c:v>0.02</c:v>
                </c:pt>
                <c:pt idx="156">
                  <c:v>0.02</c:v>
                </c:pt>
                <c:pt idx="157">
                  <c:v>0.02</c:v>
                </c:pt>
                <c:pt idx="158">
                  <c:v>0.02</c:v>
                </c:pt>
                <c:pt idx="159">
                  <c:v>0.02</c:v>
                </c:pt>
                <c:pt idx="160">
                  <c:v>0.02</c:v>
                </c:pt>
                <c:pt idx="161">
                  <c:v>0.02</c:v>
                </c:pt>
                <c:pt idx="162">
                  <c:v>0.02</c:v>
                </c:pt>
                <c:pt idx="163">
                  <c:v>0.02</c:v>
                </c:pt>
                <c:pt idx="164">
                  <c:v>0.02</c:v>
                </c:pt>
                <c:pt idx="165">
                  <c:v>0.02</c:v>
                </c:pt>
                <c:pt idx="166">
                  <c:v>0.02</c:v>
                </c:pt>
                <c:pt idx="167">
                  <c:v>0.02</c:v>
                </c:pt>
                <c:pt idx="168">
                  <c:v>0.02</c:v>
                </c:pt>
                <c:pt idx="169">
                  <c:v>0.02</c:v>
                </c:pt>
                <c:pt idx="170">
                  <c:v>0.02</c:v>
                </c:pt>
                <c:pt idx="171">
                  <c:v>0.02</c:v>
                </c:pt>
                <c:pt idx="172">
                  <c:v>0.02</c:v>
                </c:pt>
                <c:pt idx="173">
                  <c:v>0.02</c:v>
                </c:pt>
                <c:pt idx="174">
                  <c:v>0.02</c:v>
                </c:pt>
                <c:pt idx="175">
                  <c:v>0.02</c:v>
                </c:pt>
                <c:pt idx="176">
                  <c:v>0.02</c:v>
                </c:pt>
                <c:pt idx="177">
                  <c:v>0.02</c:v>
                </c:pt>
                <c:pt idx="178">
                  <c:v>0.01</c:v>
                </c:pt>
                <c:pt idx="179">
                  <c:v>0.01</c:v>
                </c:pt>
                <c:pt idx="180">
                  <c:v>0.01</c:v>
                </c:pt>
                <c:pt idx="181">
                  <c:v>0.01</c:v>
                </c:pt>
                <c:pt idx="182">
                  <c:v>0.01</c:v>
                </c:pt>
                <c:pt idx="183">
                  <c:v>0.01</c:v>
                </c:pt>
                <c:pt idx="184">
                  <c:v>0.01</c:v>
                </c:pt>
                <c:pt idx="185">
                  <c:v>0.01</c:v>
                </c:pt>
                <c:pt idx="186">
                  <c:v>0.01</c:v>
                </c:pt>
                <c:pt idx="187">
                  <c:v>0.01</c:v>
                </c:pt>
                <c:pt idx="188">
                  <c:v>0.01</c:v>
                </c:pt>
                <c:pt idx="189">
                  <c:v>0.01</c:v>
                </c:pt>
                <c:pt idx="190">
                  <c:v>0.01</c:v>
                </c:pt>
                <c:pt idx="191">
                  <c:v>0.01</c:v>
                </c:pt>
                <c:pt idx="192">
                  <c:v>0.01</c:v>
                </c:pt>
                <c:pt idx="193">
                  <c:v>0.01</c:v>
                </c:pt>
                <c:pt idx="194">
                  <c:v>0.01</c:v>
                </c:pt>
                <c:pt idx="195">
                  <c:v>0.01</c:v>
                </c:pt>
                <c:pt idx="196">
                  <c:v>0.01</c:v>
                </c:pt>
                <c:pt idx="197">
                  <c:v>0.01</c:v>
                </c:pt>
                <c:pt idx="198">
                  <c:v>0.01</c:v>
                </c:pt>
                <c:pt idx="199">
                  <c:v>0.01</c:v>
                </c:pt>
                <c:pt idx="200">
                  <c:v>0.01</c:v>
                </c:pt>
                <c:pt idx="201">
                  <c:v>0.01</c:v>
                </c:pt>
                <c:pt idx="202">
                  <c:v>0.01</c:v>
                </c:pt>
                <c:pt idx="203">
                  <c:v>0.01</c:v>
                </c:pt>
                <c:pt idx="204">
                  <c:v>0.01</c:v>
                </c:pt>
                <c:pt idx="205">
                  <c:v>0.01</c:v>
                </c:pt>
                <c:pt idx="206">
                  <c:v>0.01</c:v>
                </c:pt>
                <c:pt idx="207">
                  <c:v>0.01</c:v>
                </c:pt>
                <c:pt idx="208">
                  <c:v>0.01</c:v>
                </c:pt>
                <c:pt idx="209">
                  <c:v>0.01</c:v>
                </c:pt>
                <c:pt idx="210">
                  <c:v>0.01</c:v>
                </c:pt>
                <c:pt idx="211">
                  <c:v>0.01</c:v>
                </c:pt>
                <c:pt idx="212">
                  <c:v>0.01</c:v>
                </c:pt>
                <c:pt idx="213">
                  <c:v>0.01</c:v>
                </c:pt>
                <c:pt idx="214">
                  <c:v>0.01</c:v>
                </c:pt>
                <c:pt idx="215">
                  <c:v>0.01</c:v>
                </c:pt>
                <c:pt idx="216">
                  <c:v>0.01</c:v>
                </c:pt>
                <c:pt idx="217">
                  <c:v>0.01</c:v>
                </c:pt>
                <c:pt idx="218">
                  <c:v>0.01</c:v>
                </c:pt>
                <c:pt idx="219">
                  <c:v>0.01</c:v>
                </c:pt>
                <c:pt idx="220">
                  <c:v>0.01</c:v>
                </c:pt>
                <c:pt idx="221">
                  <c:v>0.01</c:v>
                </c:pt>
                <c:pt idx="222">
                  <c:v>0.01</c:v>
                </c:pt>
                <c:pt idx="223">
                  <c:v>0.01</c:v>
                </c:pt>
                <c:pt idx="224">
                  <c:v>0.01</c:v>
                </c:pt>
                <c:pt idx="225">
                  <c:v>0.01</c:v>
                </c:pt>
                <c:pt idx="226">
                  <c:v>0.01</c:v>
                </c:pt>
                <c:pt idx="227">
                  <c:v>0.01</c:v>
                </c:pt>
                <c:pt idx="228">
                  <c:v>0.01</c:v>
                </c:pt>
                <c:pt idx="229">
                  <c:v>0.01</c:v>
                </c:pt>
                <c:pt idx="230">
                  <c:v>0.01</c:v>
                </c:pt>
                <c:pt idx="231">
                  <c:v>0.01</c:v>
                </c:pt>
                <c:pt idx="232">
                  <c:v>0.01</c:v>
                </c:pt>
                <c:pt idx="233">
                  <c:v>0.01</c:v>
                </c:pt>
                <c:pt idx="234">
                  <c:v>0.01</c:v>
                </c:pt>
                <c:pt idx="235">
                  <c:v>0.01</c:v>
                </c:pt>
                <c:pt idx="236">
                  <c:v>0.01</c:v>
                </c:pt>
                <c:pt idx="237">
                  <c:v>0.01</c:v>
                </c:pt>
                <c:pt idx="238">
                  <c:v>0.01</c:v>
                </c:pt>
                <c:pt idx="239">
                  <c:v>0.01</c:v>
                </c:pt>
                <c:pt idx="240">
                  <c:v>0.01</c:v>
                </c:pt>
              </c:numCache>
            </c:numRef>
          </c:yVal>
          <c:smooth val="1"/>
          <c:extLst xmlns:c16r2="http://schemas.microsoft.com/office/drawing/2015/06/chart">
            <c:ext xmlns:c16="http://schemas.microsoft.com/office/drawing/2014/chart" uri="{C3380CC4-5D6E-409C-BE32-E72D297353CC}">
              <c16:uniqueId val="{00000001-CCEA-4C07-A470-965A6609C101}"/>
            </c:ext>
          </c:extLst>
        </c:ser>
        <c:ser>
          <c:idx val="2"/>
          <c:order val="3"/>
          <c:tx>
            <c:v>2 Percent Annual Chance</c:v>
          </c:tx>
          <c:spPr>
            <a:ln>
              <a:solidFill>
                <a:schemeClr val="tx2">
                  <a:lumMod val="60000"/>
                  <a:lumOff val="40000"/>
                </a:schemeClr>
              </a:solidFill>
            </a:ln>
          </c:spPr>
          <c:marker>
            <c:symbol val="none"/>
          </c:marker>
          <c:xVal>
            <c:numRef>
              <c:f>Precip_YHD3!$A$3:$A$243</c:f>
              <c:numCache>
                <c:formatCode>h:mm;@</c:formatCode>
                <c:ptCount val="241"/>
                <c:pt idx="0">
                  <c:v>0</c:v>
                </c:pt>
                <c:pt idx="1">
                  <c:v>4.1666666666666666E-3</c:v>
                </c:pt>
                <c:pt idx="2">
                  <c:v>8.3333333333333332E-3</c:v>
                </c:pt>
                <c:pt idx="3">
                  <c:v>1.2499999999999999E-2</c:v>
                </c:pt>
                <c:pt idx="4">
                  <c:v>1.6666666666666666E-2</c:v>
                </c:pt>
                <c:pt idx="5">
                  <c:v>2.0833333333333332E-2</c:v>
                </c:pt>
                <c:pt idx="6">
                  <c:v>2.4999999999999998E-2</c:v>
                </c:pt>
                <c:pt idx="7">
                  <c:v>2.9166666666666664E-2</c:v>
                </c:pt>
                <c:pt idx="8">
                  <c:v>3.3333333333333333E-2</c:v>
                </c:pt>
                <c:pt idx="9">
                  <c:v>3.7499999999999999E-2</c:v>
                </c:pt>
                <c:pt idx="10">
                  <c:v>4.1666666666666664E-2</c:v>
                </c:pt>
                <c:pt idx="11">
                  <c:v>4.5833333333333337E-2</c:v>
                </c:pt>
                <c:pt idx="12">
                  <c:v>4.9999999999999996E-2</c:v>
                </c:pt>
                <c:pt idx="13">
                  <c:v>5.4166666666666669E-2</c:v>
                </c:pt>
                <c:pt idx="14">
                  <c:v>5.8333333333333327E-2</c:v>
                </c:pt>
                <c:pt idx="15">
                  <c:v>6.25E-2</c:v>
                </c:pt>
                <c:pt idx="16">
                  <c:v>6.6666666666666666E-2</c:v>
                </c:pt>
                <c:pt idx="17">
                  <c:v>7.0833333333333331E-2</c:v>
                </c:pt>
                <c:pt idx="18">
                  <c:v>7.4999999999999997E-2</c:v>
                </c:pt>
                <c:pt idx="19">
                  <c:v>7.9166666666666663E-2</c:v>
                </c:pt>
                <c:pt idx="20">
                  <c:v>8.3333333333333329E-2</c:v>
                </c:pt>
                <c:pt idx="21">
                  <c:v>8.7500000000000008E-2</c:v>
                </c:pt>
                <c:pt idx="22">
                  <c:v>9.1666666666666674E-2</c:v>
                </c:pt>
                <c:pt idx="23">
                  <c:v>9.5833333333333326E-2</c:v>
                </c:pt>
                <c:pt idx="24">
                  <c:v>9.9999999999999992E-2</c:v>
                </c:pt>
                <c:pt idx="25">
                  <c:v>0.10416666666666667</c:v>
                </c:pt>
                <c:pt idx="26">
                  <c:v>0.10833333333333334</c:v>
                </c:pt>
                <c:pt idx="27">
                  <c:v>0.1125</c:v>
                </c:pt>
                <c:pt idx="28">
                  <c:v>0.11666666666666665</c:v>
                </c:pt>
                <c:pt idx="29">
                  <c:v>0.12083333333333333</c:v>
                </c:pt>
                <c:pt idx="30">
                  <c:v>0.125</c:v>
                </c:pt>
                <c:pt idx="31">
                  <c:v>0.12916666666666668</c:v>
                </c:pt>
                <c:pt idx="32">
                  <c:v>0.13333333333333333</c:v>
                </c:pt>
                <c:pt idx="33">
                  <c:v>0.13749999999999998</c:v>
                </c:pt>
                <c:pt idx="34">
                  <c:v>0.14166666666666666</c:v>
                </c:pt>
                <c:pt idx="35">
                  <c:v>0.14583333333333334</c:v>
                </c:pt>
                <c:pt idx="36">
                  <c:v>0.15</c:v>
                </c:pt>
                <c:pt idx="37">
                  <c:v>0.15416666666666667</c:v>
                </c:pt>
                <c:pt idx="38">
                  <c:v>0.15833333333333333</c:v>
                </c:pt>
                <c:pt idx="39">
                  <c:v>0.16250000000000001</c:v>
                </c:pt>
                <c:pt idx="40">
                  <c:v>0.16666666666666666</c:v>
                </c:pt>
                <c:pt idx="41">
                  <c:v>0.17083333333333331</c:v>
                </c:pt>
                <c:pt idx="42">
                  <c:v>0.17500000000000002</c:v>
                </c:pt>
                <c:pt idx="43">
                  <c:v>0.17916666666666667</c:v>
                </c:pt>
                <c:pt idx="44">
                  <c:v>0.18333333333333335</c:v>
                </c:pt>
                <c:pt idx="45">
                  <c:v>0.1875</c:v>
                </c:pt>
                <c:pt idx="46">
                  <c:v>0.19166666666666665</c:v>
                </c:pt>
                <c:pt idx="47">
                  <c:v>0.19583333333333333</c:v>
                </c:pt>
                <c:pt idx="48">
                  <c:v>0.19999999999999998</c:v>
                </c:pt>
                <c:pt idx="49">
                  <c:v>0.20416666666666669</c:v>
                </c:pt>
                <c:pt idx="50">
                  <c:v>0.20833333333333334</c:v>
                </c:pt>
                <c:pt idx="51">
                  <c:v>0.21249999999999999</c:v>
                </c:pt>
                <c:pt idx="52">
                  <c:v>0.21666666666666667</c:v>
                </c:pt>
                <c:pt idx="53">
                  <c:v>0.22083333333333333</c:v>
                </c:pt>
                <c:pt idx="54">
                  <c:v>0.22500000000000001</c:v>
                </c:pt>
                <c:pt idx="55">
                  <c:v>0.22916666666666666</c:v>
                </c:pt>
                <c:pt idx="56">
                  <c:v>0.23333333333333331</c:v>
                </c:pt>
                <c:pt idx="57">
                  <c:v>0.23750000000000002</c:v>
                </c:pt>
                <c:pt idx="58">
                  <c:v>0.24166666666666667</c:v>
                </c:pt>
                <c:pt idx="59">
                  <c:v>0.24583333333333335</c:v>
                </c:pt>
                <c:pt idx="60">
                  <c:v>0.25</c:v>
                </c:pt>
                <c:pt idx="61">
                  <c:v>0.25416666666666665</c:v>
                </c:pt>
                <c:pt idx="62">
                  <c:v>0.25833333333333336</c:v>
                </c:pt>
                <c:pt idx="63">
                  <c:v>0.26250000000000001</c:v>
                </c:pt>
                <c:pt idx="64">
                  <c:v>0.26666666666666666</c:v>
                </c:pt>
                <c:pt idx="65">
                  <c:v>0.27083333333333331</c:v>
                </c:pt>
                <c:pt idx="66">
                  <c:v>0.27499999999999997</c:v>
                </c:pt>
                <c:pt idx="67">
                  <c:v>0.27916666666666667</c:v>
                </c:pt>
                <c:pt idx="68">
                  <c:v>0.28333333333333333</c:v>
                </c:pt>
                <c:pt idx="69">
                  <c:v>0.28750000000000003</c:v>
                </c:pt>
                <c:pt idx="70">
                  <c:v>0.29166666666666669</c:v>
                </c:pt>
                <c:pt idx="71">
                  <c:v>0.29583333333333334</c:v>
                </c:pt>
                <c:pt idx="72">
                  <c:v>0.3</c:v>
                </c:pt>
                <c:pt idx="73">
                  <c:v>0.30416666666666664</c:v>
                </c:pt>
                <c:pt idx="74">
                  <c:v>0.30833333333333335</c:v>
                </c:pt>
                <c:pt idx="75">
                  <c:v>0.3125</c:v>
                </c:pt>
                <c:pt idx="76">
                  <c:v>0.31666666666666665</c:v>
                </c:pt>
                <c:pt idx="77">
                  <c:v>0.32083333333333336</c:v>
                </c:pt>
                <c:pt idx="78">
                  <c:v>0.32500000000000001</c:v>
                </c:pt>
                <c:pt idx="79">
                  <c:v>0.32916666666666666</c:v>
                </c:pt>
                <c:pt idx="80">
                  <c:v>0.33333333333333331</c:v>
                </c:pt>
                <c:pt idx="81">
                  <c:v>0.33749999999999997</c:v>
                </c:pt>
                <c:pt idx="82">
                  <c:v>0.34166666666666662</c:v>
                </c:pt>
                <c:pt idx="83">
                  <c:v>0.34583333333333338</c:v>
                </c:pt>
                <c:pt idx="84">
                  <c:v>0.35000000000000003</c:v>
                </c:pt>
                <c:pt idx="85">
                  <c:v>0.35416666666666669</c:v>
                </c:pt>
                <c:pt idx="86">
                  <c:v>0.35833333333333334</c:v>
                </c:pt>
                <c:pt idx="87">
                  <c:v>0.36249999999999999</c:v>
                </c:pt>
                <c:pt idx="88">
                  <c:v>0.3666666666666667</c:v>
                </c:pt>
                <c:pt idx="89">
                  <c:v>0.37083333333333335</c:v>
                </c:pt>
                <c:pt idx="90">
                  <c:v>0.375</c:v>
                </c:pt>
                <c:pt idx="91">
                  <c:v>0.37916666666666665</c:v>
                </c:pt>
                <c:pt idx="92">
                  <c:v>0.3833333333333333</c:v>
                </c:pt>
                <c:pt idx="93">
                  <c:v>0.38750000000000001</c:v>
                </c:pt>
                <c:pt idx="94">
                  <c:v>0.39166666666666666</c:v>
                </c:pt>
                <c:pt idx="95">
                  <c:v>0.39583333333333331</c:v>
                </c:pt>
                <c:pt idx="96">
                  <c:v>0.39999999999999997</c:v>
                </c:pt>
                <c:pt idx="97">
                  <c:v>0.40416666666666662</c:v>
                </c:pt>
                <c:pt idx="98">
                  <c:v>0.40833333333333338</c:v>
                </c:pt>
                <c:pt idx="99">
                  <c:v>0.41250000000000003</c:v>
                </c:pt>
                <c:pt idx="100">
                  <c:v>0.41666666666666669</c:v>
                </c:pt>
                <c:pt idx="101">
                  <c:v>0.42083333333333334</c:v>
                </c:pt>
                <c:pt idx="102">
                  <c:v>0.42499999999999999</c:v>
                </c:pt>
                <c:pt idx="103">
                  <c:v>0.4291666666666667</c:v>
                </c:pt>
                <c:pt idx="104">
                  <c:v>0.43333333333333335</c:v>
                </c:pt>
                <c:pt idx="105">
                  <c:v>0.4375</c:v>
                </c:pt>
                <c:pt idx="106">
                  <c:v>0.44166666666666665</c:v>
                </c:pt>
                <c:pt idx="107">
                  <c:v>0.4458333333333333</c:v>
                </c:pt>
                <c:pt idx="108">
                  <c:v>0.45</c:v>
                </c:pt>
                <c:pt idx="109">
                  <c:v>0.45416666666666666</c:v>
                </c:pt>
                <c:pt idx="110">
                  <c:v>0.45833333333333331</c:v>
                </c:pt>
                <c:pt idx="111">
                  <c:v>0.46249999999999997</c:v>
                </c:pt>
                <c:pt idx="112">
                  <c:v>0.46666666666666662</c:v>
                </c:pt>
                <c:pt idx="113">
                  <c:v>0.47083333333333338</c:v>
                </c:pt>
                <c:pt idx="114">
                  <c:v>0.47500000000000003</c:v>
                </c:pt>
                <c:pt idx="115">
                  <c:v>0.47916666666666669</c:v>
                </c:pt>
                <c:pt idx="116">
                  <c:v>0.48333333333333334</c:v>
                </c:pt>
                <c:pt idx="117">
                  <c:v>0.48749999999999999</c:v>
                </c:pt>
                <c:pt idx="118">
                  <c:v>0.4916666666666667</c:v>
                </c:pt>
                <c:pt idx="119">
                  <c:v>0.49583333333333335</c:v>
                </c:pt>
                <c:pt idx="120">
                  <c:v>0.5</c:v>
                </c:pt>
                <c:pt idx="121">
                  <c:v>0.50416666666666665</c:v>
                </c:pt>
                <c:pt idx="122">
                  <c:v>0.5083333333333333</c:v>
                </c:pt>
                <c:pt idx="123">
                  <c:v>0.51250000000000007</c:v>
                </c:pt>
                <c:pt idx="124">
                  <c:v>0.51666666666666672</c:v>
                </c:pt>
                <c:pt idx="125">
                  <c:v>0.52083333333333337</c:v>
                </c:pt>
                <c:pt idx="126">
                  <c:v>0.52500000000000002</c:v>
                </c:pt>
                <c:pt idx="127">
                  <c:v>0.52916666666666667</c:v>
                </c:pt>
                <c:pt idx="128">
                  <c:v>0.53333333333333333</c:v>
                </c:pt>
                <c:pt idx="129">
                  <c:v>0.53749999999999998</c:v>
                </c:pt>
                <c:pt idx="130">
                  <c:v>0.54166666666666663</c:v>
                </c:pt>
                <c:pt idx="131">
                  <c:v>0.54583333333333328</c:v>
                </c:pt>
                <c:pt idx="132">
                  <c:v>0.54999999999999993</c:v>
                </c:pt>
                <c:pt idx="133">
                  <c:v>0.5541666666666667</c:v>
                </c:pt>
                <c:pt idx="134">
                  <c:v>0.55833333333333335</c:v>
                </c:pt>
                <c:pt idx="135">
                  <c:v>0.5625</c:v>
                </c:pt>
                <c:pt idx="136">
                  <c:v>0.56666666666666665</c:v>
                </c:pt>
                <c:pt idx="137">
                  <c:v>0.5708333333333333</c:v>
                </c:pt>
                <c:pt idx="138">
                  <c:v>0.57500000000000007</c:v>
                </c:pt>
                <c:pt idx="139">
                  <c:v>0.57916666666666672</c:v>
                </c:pt>
                <c:pt idx="140">
                  <c:v>0.58333333333333337</c:v>
                </c:pt>
                <c:pt idx="141">
                  <c:v>0.58750000000000002</c:v>
                </c:pt>
                <c:pt idx="142">
                  <c:v>0.59166666666666667</c:v>
                </c:pt>
                <c:pt idx="143">
                  <c:v>0.59583333333333333</c:v>
                </c:pt>
                <c:pt idx="144">
                  <c:v>0.6</c:v>
                </c:pt>
                <c:pt idx="145">
                  <c:v>0.60416666666666663</c:v>
                </c:pt>
                <c:pt idx="146">
                  <c:v>0.60833333333333328</c:v>
                </c:pt>
                <c:pt idx="147">
                  <c:v>0.61249999999999993</c:v>
                </c:pt>
                <c:pt idx="148">
                  <c:v>0.6166666666666667</c:v>
                </c:pt>
                <c:pt idx="149">
                  <c:v>0.62083333333333335</c:v>
                </c:pt>
                <c:pt idx="150">
                  <c:v>0.625</c:v>
                </c:pt>
                <c:pt idx="151">
                  <c:v>0.62916666666666665</c:v>
                </c:pt>
                <c:pt idx="152">
                  <c:v>0.6333333333333333</c:v>
                </c:pt>
                <c:pt idx="153">
                  <c:v>0.63750000000000007</c:v>
                </c:pt>
                <c:pt idx="154">
                  <c:v>0.64166666666666672</c:v>
                </c:pt>
                <c:pt idx="155">
                  <c:v>0.64583333333333337</c:v>
                </c:pt>
                <c:pt idx="156">
                  <c:v>0.65</c:v>
                </c:pt>
                <c:pt idx="157">
                  <c:v>0.65416666666666667</c:v>
                </c:pt>
                <c:pt idx="158">
                  <c:v>0.65833333333333333</c:v>
                </c:pt>
                <c:pt idx="159">
                  <c:v>0.66249999999999998</c:v>
                </c:pt>
                <c:pt idx="160">
                  <c:v>0.66666666666666663</c:v>
                </c:pt>
                <c:pt idx="161">
                  <c:v>0.67083333333333339</c:v>
                </c:pt>
                <c:pt idx="162">
                  <c:v>0.67499999999999993</c:v>
                </c:pt>
                <c:pt idx="163">
                  <c:v>0.6791666666666667</c:v>
                </c:pt>
                <c:pt idx="164">
                  <c:v>0.68333333333333324</c:v>
                </c:pt>
                <c:pt idx="165">
                  <c:v>0.6875</c:v>
                </c:pt>
                <c:pt idx="166">
                  <c:v>0.69166666666666676</c:v>
                </c:pt>
                <c:pt idx="167">
                  <c:v>0.6958333333333333</c:v>
                </c:pt>
                <c:pt idx="168">
                  <c:v>0.70000000000000007</c:v>
                </c:pt>
                <c:pt idx="169">
                  <c:v>0.70416666666666661</c:v>
                </c:pt>
                <c:pt idx="170">
                  <c:v>0.70833333333333337</c:v>
                </c:pt>
                <c:pt idx="171">
                  <c:v>0.71250000000000002</c:v>
                </c:pt>
                <c:pt idx="172">
                  <c:v>0.71666666666666667</c:v>
                </c:pt>
                <c:pt idx="173">
                  <c:v>0.72083333333333333</c:v>
                </c:pt>
                <c:pt idx="174">
                  <c:v>0.72499999999999998</c:v>
                </c:pt>
                <c:pt idx="175">
                  <c:v>0.72916666666666663</c:v>
                </c:pt>
                <c:pt idx="176">
                  <c:v>0.73333333333333339</c:v>
                </c:pt>
                <c:pt idx="177">
                  <c:v>0.73749999999999993</c:v>
                </c:pt>
                <c:pt idx="178">
                  <c:v>0.7416666666666667</c:v>
                </c:pt>
                <c:pt idx="179">
                  <c:v>0.74583333333333324</c:v>
                </c:pt>
                <c:pt idx="180">
                  <c:v>0.75</c:v>
                </c:pt>
                <c:pt idx="181">
                  <c:v>0.75416666666666676</c:v>
                </c:pt>
                <c:pt idx="182">
                  <c:v>0.7583333333333333</c:v>
                </c:pt>
                <c:pt idx="183">
                  <c:v>0.76250000000000007</c:v>
                </c:pt>
                <c:pt idx="184">
                  <c:v>0.76666666666666661</c:v>
                </c:pt>
                <c:pt idx="185">
                  <c:v>0.77083333333333337</c:v>
                </c:pt>
                <c:pt idx="186">
                  <c:v>0.77500000000000002</c:v>
                </c:pt>
                <c:pt idx="187">
                  <c:v>0.77916666666666667</c:v>
                </c:pt>
                <c:pt idx="188">
                  <c:v>0.78333333333333333</c:v>
                </c:pt>
                <c:pt idx="189">
                  <c:v>0.78749999999999998</c:v>
                </c:pt>
                <c:pt idx="190">
                  <c:v>0.79166666666666663</c:v>
                </c:pt>
                <c:pt idx="191">
                  <c:v>0.79583333333333339</c:v>
                </c:pt>
                <c:pt idx="192">
                  <c:v>0.79999999999999993</c:v>
                </c:pt>
                <c:pt idx="193">
                  <c:v>0.8041666666666667</c:v>
                </c:pt>
                <c:pt idx="194">
                  <c:v>0.80833333333333324</c:v>
                </c:pt>
                <c:pt idx="195">
                  <c:v>0.8125</c:v>
                </c:pt>
                <c:pt idx="196">
                  <c:v>0.81666666666666676</c:v>
                </c:pt>
                <c:pt idx="197">
                  <c:v>0.8208333333333333</c:v>
                </c:pt>
                <c:pt idx="198">
                  <c:v>0.82500000000000007</c:v>
                </c:pt>
                <c:pt idx="199">
                  <c:v>0.82916666666666661</c:v>
                </c:pt>
                <c:pt idx="200">
                  <c:v>0.83333333333333337</c:v>
                </c:pt>
                <c:pt idx="201">
                  <c:v>0.83750000000000002</c:v>
                </c:pt>
                <c:pt idx="202">
                  <c:v>0.84166666666666667</c:v>
                </c:pt>
                <c:pt idx="203">
                  <c:v>0.84583333333333333</c:v>
                </c:pt>
                <c:pt idx="204">
                  <c:v>0.85</c:v>
                </c:pt>
                <c:pt idx="205">
                  <c:v>0.85416666666666663</c:v>
                </c:pt>
                <c:pt idx="206">
                  <c:v>0.85833333333333339</c:v>
                </c:pt>
                <c:pt idx="207">
                  <c:v>0.86249999999999993</c:v>
                </c:pt>
                <c:pt idx="208">
                  <c:v>0.8666666666666667</c:v>
                </c:pt>
                <c:pt idx="209">
                  <c:v>0.87083333333333324</c:v>
                </c:pt>
                <c:pt idx="210">
                  <c:v>0.875</c:v>
                </c:pt>
                <c:pt idx="211">
                  <c:v>0.87916666666666676</c:v>
                </c:pt>
                <c:pt idx="212">
                  <c:v>0.8833333333333333</c:v>
                </c:pt>
                <c:pt idx="213">
                  <c:v>0.88750000000000007</c:v>
                </c:pt>
                <c:pt idx="214">
                  <c:v>0.89166666666666661</c:v>
                </c:pt>
                <c:pt idx="215">
                  <c:v>0.89583333333333337</c:v>
                </c:pt>
                <c:pt idx="216">
                  <c:v>0.9</c:v>
                </c:pt>
                <c:pt idx="217">
                  <c:v>0.90416666666666667</c:v>
                </c:pt>
                <c:pt idx="218">
                  <c:v>0.90833333333333333</c:v>
                </c:pt>
                <c:pt idx="219">
                  <c:v>0.91249999999999998</c:v>
                </c:pt>
                <c:pt idx="220">
                  <c:v>0.91666666666666663</c:v>
                </c:pt>
                <c:pt idx="221">
                  <c:v>0.92083333333333339</c:v>
                </c:pt>
                <c:pt idx="222">
                  <c:v>0.92499999999999993</c:v>
                </c:pt>
                <c:pt idx="223">
                  <c:v>0.9291666666666667</c:v>
                </c:pt>
                <c:pt idx="224">
                  <c:v>0.93333333333333324</c:v>
                </c:pt>
                <c:pt idx="225">
                  <c:v>0.9375</c:v>
                </c:pt>
                <c:pt idx="226">
                  <c:v>0.94166666666666676</c:v>
                </c:pt>
                <c:pt idx="227">
                  <c:v>0.9458333333333333</c:v>
                </c:pt>
                <c:pt idx="228">
                  <c:v>0.95000000000000007</c:v>
                </c:pt>
                <c:pt idx="229">
                  <c:v>0.95416666666666661</c:v>
                </c:pt>
                <c:pt idx="230">
                  <c:v>0.95833333333333337</c:v>
                </c:pt>
                <c:pt idx="231">
                  <c:v>0.96250000000000002</c:v>
                </c:pt>
                <c:pt idx="232">
                  <c:v>0.96666666666666667</c:v>
                </c:pt>
                <c:pt idx="233">
                  <c:v>0.97083333333333333</c:v>
                </c:pt>
                <c:pt idx="234">
                  <c:v>0.97499999999999998</c:v>
                </c:pt>
                <c:pt idx="235">
                  <c:v>0.97916666666666663</c:v>
                </c:pt>
                <c:pt idx="236">
                  <c:v>0.98333333333333339</c:v>
                </c:pt>
                <c:pt idx="237">
                  <c:v>0.98749999999999993</c:v>
                </c:pt>
                <c:pt idx="238">
                  <c:v>0.9916666666666667</c:v>
                </c:pt>
                <c:pt idx="239">
                  <c:v>0.99583333333333324</c:v>
                </c:pt>
                <c:pt idx="240">
                  <c:v>1</c:v>
                </c:pt>
              </c:numCache>
            </c:numRef>
          </c:xVal>
          <c:yVal>
            <c:numRef>
              <c:f>Precip_YHD3!$D$3:$D$243</c:f>
              <c:numCache>
                <c:formatCode>General</c:formatCode>
                <c:ptCount val="241"/>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c:v>
                </c:pt>
                <c:pt idx="76">
                  <c:v>0</c:v>
                </c:pt>
                <c:pt idx="77">
                  <c:v>0</c:v>
                </c:pt>
                <c:pt idx="78">
                  <c:v>0</c:v>
                </c:pt>
                <c:pt idx="79">
                  <c:v>0</c:v>
                </c:pt>
                <c:pt idx="80">
                  <c:v>0</c:v>
                </c:pt>
                <c:pt idx="81">
                  <c:v>0</c:v>
                </c:pt>
                <c:pt idx="82">
                  <c:v>0</c:v>
                </c:pt>
                <c:pt idx="83">
                  <c:v>0</c:v>
                </c:pt>
                <c:pt idx="84">
                  <c:v>0</c:v>
                </c:pt>
                <c:pt idx="85">
                  <c:v>0</c:v>
                </c:pt>
                <c:pt idx="86">
                  <c:v>0</c:v>
                </c:pt>
                <c:pt idx="87">
                  <c:v>0</c:v>
                </c:pt>
                <c:pt idx="88">
                  <c:v>0</c:v>
                </c:pt>
                <c:pt idx="89">
                  <c:v>0</c:v>
                </c:pt>
                <c:pt idx="90">
                  <c:v>0</c:v>
                </c:pt>
                <c:pt idx="91">
                  <c:v>0</c:v>
                </c:pt>
                <c:pt idx="92">
                  <c:v>0</c:v>
                </c:pt>
                <c:pt idx="93">
                  <c:v>0</c:v>
                </c:pt>
                <c:pt idx="94">
                  <c:v>0</c:v>
                </c:pt>
                <c:pt idx="95">
                  <c:v>0</c:v>
                </c:pt>
                <c:pt idx="96">
                  <c:v>0</c:v>
                </c:pt>
                <c:pt idx="97">
                  <c:v>0</c:v>
                </c:pt>
                <c:pt idx="98">
                  <c:v>0.01</c:v>
                </c:pt>
                <c:pt idx="99">
                  <c:v>0.01</c:v>
                </c:pt>
                <c:pt idx="100">
                  <c:v>0.01</c:v>
                </c:pt>
                <c:pt idx="101">
                  <c:v>0.01</c:v>
                </c:pt>
                <c:pt idx="102">
                  <c:v>0.01</c:v>
                </c:pt>
                <c:pt idx="103">
                  <c:v>0.01</c:v>
                </c:pt>
                <c:pt idx="104">
                  <c:v>0.01</c:v>
                </c:pt>
                <c:pt idx="105">
                  <c:v>0.01</c:v>
                </c:pt>
                <c:pt idx="106">
                  <c:v>0.01</c:v>
                </c:pt>
                <c:pt idx="107">
                  <c:v>0.01</c:v>
                </c:pt>
                <c:pt idx="108">
                  <c:v>0.01</c:v>
                </c:pt>
                <c:pt idx="109">
                  <c:v>0.01</c:v>
                </c:pt>
                <c:pt idx="110">
                  <c:v>0.02</c:v>
                </c:pt>
                <c:pt idx="111">
                  <c:v>0.02</c:v>
                </c:pt>
                <c:pt idx="112">
                  <c:v>0.03</c:v>
                </c:pt>
                <c:pt idx="113">
                  <c:v>0.03</c:v>
                </c:pt>
                <c:pt idx="114">
                  <c:v>0.03</c:v>
                </c:pt>
                <c:pt idx="115">
                  <c:v>0.04</c:v>
                </c:pt>
                <c:pt idx="116">
                  <c:v>7.0000000000000007E-2</c:v>
                </c:pt>
                <c:pt idx="117">
                  <c:v>0.08</c:v>
                </c:pt>
                <c:pt idx="118">
                  <c:v>0.1</c:v>
                </c:pt>
                <c:pt idx="119">
                  <c:v>0.08</c:v>
                </c:pt>
                <c:pt idx="120">
                  <c:v>0.2</c:v>
                </c:pt>
                <c:pt idx="121">
                  <c:v>0.39</c:v>
                </c:pt>
                <c:pt idx="122">
                  <c:v>0.14000000000000001</c:v>
                </c:pt>
                <c:pt idx="123">
                  <c:v>0.08</c:v>
                </c:pt>
                <c:pt idx="124">
                  <c:v>0.12</c:v>
                </c:pt>
                <c:pt idx="125">
                  <c:v>0.11</c:v>
                </c:pt>
                <c:pt idx="126">
                  <c:v>0.06</c:v>
                </c:pt>
                <c:pt idx="127">
                  <c:v>0.05</c:v>
                </c:pt>
                <c:pt idx="128">
                  <c:v>0.05</c:v>
                </c:pt>
                <c:pt idx="129">
                  <c:v>0.05</c:v>
                </c:pt>
                <c:pt idx="130">
                  <c:v>0.04</c:v>
                </c:pt>
                <c:pt idx="131">
                  <c:v>0.03</c:v>
                </c:pt>
                <c:pt idx="132">
                  <c:v>0.03</c:v>
                </c:pt>
                <c:pt idx="133">
                  <c:v>0.03</c:v>
                </c:pt>
                <c:pt idx="134">
                  <c:v>0.03</c:v>
                </c:pt>
                <c:pt idx="135">
                  <c:v>0.03</c:v>
                </c:pt>
                <c:pt idx="136">
                  <c:v>0.02</c:v>
                </c:pt>
                <c:pt idx="137">
                  <c:v>0.02</c:v>
                </c:pt>
                <c:pt idx="138">
                  <c:v>0.02</c:v>
                </c:pt>
                <c:pt idx="139">
                  <c:v>0.02</c:v>
                </c:pt>
                <c:pt idx="140">
                  <c:v>0.02</c:v>
                </c:pt>
                <c:pt idx="141">
                  <c:v>0.02</c:v>
                </c:pt>
                <c:pt idx="142">
                  <c:v>0.02</c:v>
                </c:pt>
                <c:pt idx="143">
                  <c:v>0.02</c:v>
                </c:pt>
                <c:pt idx="144">
                  <c:v>0.02</c:v>
                </c:pt>
                <c:pt idx="145">
                  <c:v>0.01</c:v>
                </c:pt>
                <c:pt idx="146">
                  <c:v>0.01</c:v>
                </c:pt>
                <c:pt idx="147">
                  <c:v>0.01</c:v>
                </c:pt>
                <c:pt idx="148">
                  <c:v>0.01</c:v>
                </c:pt>
                <c:pt idx="149">
                  <c:v>0.01</c:v>
                </c:pt>
                <c:pt idx="150">
                  <c:v>0.01</c:v>
                </c:pt>
                <c:pt idx="151">
                  <c:v>0.01</c:v>
                </c:pt>
                <c:pt idx="152">
                  <c:v>0.01</c:v>
                </c:pt>
                <c:pt idx="153">
                  <c:v>0.01</c:v>
                </c:pt>
                <c:pt idx="154">
                  <c:v>0.01</c:v>
                </c:pt>
                <c:pt idx="155">
                  <c:v>0.01</c:v>
                </c:pt>
                <c:pt idx="156">
                  <c:v>0.01</c:v>
                </c:pt>
                <c:pt idx="157">
                  <c:v>0.01</c:v>
                </c:pt>
                <c:pt idx="158">
                  <c:v>0.01</c:v>
                </c:pt>
                <c:pt idx="159">
                  <c:v>0.01</c:v>
                </c:pt>
                <c:pt idx="160">
                  <c:v>0.01</c:v>
                </c:pt>
                <c:pt idx="161">
                  <c:v>0.01</c:v>
                </c:pt>
                <c:pt idx="162">
                  <c:v>0.01</c:v>
                </c:pt>
                <c:pt idx="163">
                  <c:v>0.01</c:v>
                </c:pt>
                <c:pt idx="164">
                  <c:v>0.01</c:v>
                </c:pt>
                <c:pt idx="165">
                  <c:v>0.01</c:v>
                </c:pt>
                <c:pt idx="166">
                  <c:v>0.01</c:v>
                </c:pt>
                <c:pt idx="167">
                  <c:v>0.01</c:v>
                </c:pt>
                <c:pt idx="168">
                  <c:v>0.01</c:v>
                </c:pt>
                <c:pt idx="169">
                  <c:v>0.01</c:v>
                </c:pt>
                <c:pt idx="170">
                  <c:v>0.01</c:v>
                </c:pt>
                <c:pt idx="171">
                  <c:v>0.01</c:v>
                </c:pt>
                <c:pt idx="172">
                  <c:v>0.01</c:v>
                </c:pt>
                <c:pt idx="173">
                  <c:v>0.01</c:v>
                </c:pt>
                <c:pt idx="174">
                  <c:v>0.01</c:v>
                </c:pt>
                <c:pt idx="175">
                  <c:v>0.01</c:v>
                </c:pt>
                <c:pt idx="176">
                  <c:v>0.01</c:v>
                </c:pt>
                <c:pt idx="177">
                  <c:v>0.01</c:v>
                </c:pt>
                <c:pt idx="178">
                  <c:v>0.01</c:v>
                </c:pt>
                <c:pt idx="179">
                  <c:v>0.01</c:v>
                </c:pt>
                <c:pt idx="180">
                  <c:v>0.01</c:v>
                </c:pt>
                <c:pt idx="181">
                  <c:v>0.01</c:v>
                </c:pt>
                <c:pt idx="182">
                  <c:v>0.01</c:v>
                </c:pt>
                <c:pt idx="183">
                  <c:v>0.01</c:v>
                </c:pt>
                <c:pt idx="184">
                  <c:v>0.01</c:v>
                </c:pt>
                <c:pt idx="185">
                  <c:v>0.01</c:v>
                </c:pt>
                <c:pt idx="186">
                  <c:v>0.01</c:v>
                </c:pt>
                <c:pt idx="187">
                  <c:v>0.01</c:v>
                </c:pt>
                <c:pt idx="188">
                  <c:v>0.01</c:v>
                </c:pt>
                <c:pt idx="189">
                  <c:v>0.01</c:v>
                </c:pt>
                <c:pt idx="190">
                  <c:v>0.01</c:v>
                </c:pt>
                <c:pt idx="191">
                  <c:v>0.01</c:v>
                </c:pt>
                <c:pt idx="192">
                  <c:v>0.01</c:v>
                </c:pt>
                <c:pt idx="193">
                  <c:v>0.01</c:v>
                </c:pt>
                <c:pt idx="194">
                  <c:v>0.01</c:v>
                </c:pt>
                <c:pt idx="195">
                  <c:v>0.01</c:v>
                </c:pt>
                <c:pt idx="196">
                  <c:v>0.01</c:v>
                </c:pt>
                <c:pt idx="197">
                  <c:v>0.01</c:v>
                </c:pt>
                <c:pt idx="198">
                  <c:v>0.01</c:v>
                </c:pt>
                <c:pt idx="199">
                  <c:v>0.01</c:v>
                </c:pt>
                <c:pt idx="200">
                  <c:v>0.01</c:v>
                </c:pt>
                <c:pt idx="201">
                  <c:v>0.01</c:v>
                </c:pt>
                <c:pt idx="202">
                  <c:v>0.01</c:v>
                </c:pt>
                <c:pt idx="203">
                  <c:v>0.01</c:v>
                </c:pt>
                <c:pt idx="204">
                  <c:v>0.01</c:v>
                </c:pt>
                <c:pt idx="205">
                  <c:v>0.01</c:v>
                </c:pt>
                <c:pt idx="206">
                  <c:v>0.01</c:v>
                </c:pt>
                <c:pt idx="207">
                  <c:v>0.01</c:v>
                </c:pt>
                <c:pt idx="208">
                  <c:v>0.01</c:v>
                </c:pt>
                <c:pt idx="209">
                  <c:v>0.01</c:v>
                </c:pt>
                <c:pt idx="210">
                  <c:v>0.01</c:v>
                </c:pt>
                <c:pt idx="211">
                  <c:v>0.01</c:v>
                </c:pt>
                <c:pt idx="212">
                  <c:v>0.01</c:v>
                </c:pt>
                <c:pt idx="213">
                  <c:v>0.01</c:v>
                </c:pt>
                <c:pt idx="214">
                  <c:v>0.01</c:v>
                </c:pt>
                <c:pt idx="215">
                  <c:v>0.01</c:v>
                </c:pt>
                <c:pt idx="216">
                  <c:v>0.01</c:v>
                </c:pt>
                <c:pt idx="217">
                  <c:v>0.01</c:v>
                </c:pt>
                <c:pt idx="218">
                  <c:v>0.01</c:v>
                </c:pt>
                <c:pt idx="219">
                  <c:v>0.01</c:v>
                </c:pt>
                <c:pt idx="220">
                  <c:v>0.01</c:v>
                </c:pt>
                <c:pt idx="221">
                  <c:v>0</c:v>
                </c:pt>
                <c:pt idx="222">
                  <c:v>0</c:v>
                </c:pt>
                <c:pt idx="223">
                  <c:v>0</c:v>
                </c:pt>
                <c:pt idx="224">
                  <c:v>0</c:v>
                </c:pt>
                <c:pt idx="225">
                  <c:v>0</c:v>
                </c:pt>
                <c:pt idx="226">
                  <c:v>0</c:v>
                </c:pt>
                <c:pt idx="227">
                  <c:v>0</c:v>
                </c:pt>
                <c:pt idx="228">
                  <c:v>0</c:v>
                </c:pt>
                <c:pt idx="229">
                  <c:v>0</c:v>
                </c:pt>
                <c:pt idx="230">
                  <c:v>0</c:v>
                </c:pt>
                <c:pt idx="231">
                  <c:v>0</c:v>
                </c:pt>
                <c:pt idx="232">
                  <c:v>0</c:v>
                </c:pt>
                <c:pt idx="233">
                  <c:v>0</c:v>
                </c:pt>
                <c:pt idx="234">
                  <c:v>0</c:v>
                </c:pt>
                <c:pt idx="235">
                  <c:v>0</c:v>
                </c:pt>
                <c:pt idx="236">
                  <c:v>0</c:v>
                </c:pt>
                <c:pt idx="237">
                  <c:v>0</c:v>
                </c:pt>
                <c:pt idx="238">
                  <c:v>0</c:v>
                </c:pt>
                <c:pt idx="239">
                  <c:v>0</c:v>
                </c:pt>
                <c:pt idx="240">
                  <c:v>0</c:v>
                </c:pt>
              </c:numCache>
            </c:numRef>
          </c:yVal>
          <c:smooth val="1"/>
          <c:extLst xmlns:c16r2="http://schemas.microsoft.com/office/drawing/2015/06/chart">
            <c:ext xmlns:c16="http://schemas.microsoft.com/office/drawing/2014/chart" uri="{C3380CC4-5D6E-409C-BE32-E72D297353CC}">
              <c16:uniqueId val="{00000002-CCEA-4C07-A470-965A6609C101}"/>
            </c:ext>
          </c:extLst>
        </c:ser>
        <c:ser>
          <c:idx val="1"/>
          <c:order val="4"/>
          <c:tx>
            <c:v>4 Percent Annual Chance</c:v>
          </c:tx>
          <c:spPr>
            <a:ln>
              <a:solidFill>
                <a:srgbClr val="FFCC00"/>
              </a:solidFill>
            </a:ln>
          </c:spPr>
          <c:marker>
            <c:symbol val="none"/>
          </c:marker>
          <c:xVal>
            <c:numRef>
              <c:f>Precip_YHD3!$A$3:$A$243</c:f>
              <c:numCache>
                <c:formatCode>h:mm;@</c:formatCode>
                <c:ptCount val="241"/>
                <c:pt idx="0">
                  <c:v>0</c:v>
                </c:pt>
                <c:pt idx="1">
                  <c:v>4.1666666666666666E-3</c:v>
                </c:pt>
                <c:pt idx="2">
                  <c:v>8.3333333333333332E-3</c:v>
                </c:pt>
                <c:pt idx="3">
                  <c:v>1.2499999999999999E-2</c:v>
                </c:pt>
                <c:pt idx="4">
                  <c:v>1.6666666666666666E-2</c:v>
                </c:pt>
                <c:pt idx="5">
                  <c:v>2.0833333333333332E-2</c:v>
                </c:pt>
                <c:pt idx="6">
                  <c:v>2.4999999999999998E-2</c:v>
                </c:pt>
                <c:pt idx="7">
                  <c:v>2.9166666666666664E-2</c:v>
                </c:pt>
                <c:pt idx="8">
                  <c:v>3.3333333333333333E-2</c:v>
                </c:pt>
                <c:pt idx="9">
                  <c:v>3.7499999999999999E-2</c:v>
                </c:pt>
                <c:pt idx="10">
                  <c:v>4.1666666666666664E-2</c:v>
                </c:pt>
                <c:pt idx="11">
                  <c:v>4.5833333333333337E-2</c:v>
                </c:pt>
                <c:pt idx="12">
                  <c:v>4.9999999999999996E-2</c:v>
                </c:pt>
                <c:pt idx="13">
                  <c:v>5.4166666666666669E-2</c:v>
                </c:pt>
                <c:pt idx="14">
                  <c:v>5.8333333333333327E-2</c:v>
                </c:pt>
                <c:pt idx="15">
                  <c:v>6.25E-2</c:v>
                </c:pt>
                <c:pt idx="16">
                  <c:v>6.6666666666666666E-2</c:v>
                </c:pt>
                <c:pt idx="17">
                  <c:v>7.0833333333333331E-2</c:v>
                </c:pt>
                <c:pt idx="18">
                  <c:v>7.4999999999999997E-2</c:v>
                </c:pt>
                <c:pt idx="19">
                  <c:v>7.9166666666666663E-2</c:v>
                </c:pt>
                <c:pt idx="20">
                  <c:v>8.3333333333333329E-2</c:v>
                </c:pt>
                <c:pt idx="21">
                  <c:v>8.7500000000000008E-2</c:v>
                </c:pt>
                <c:pt idx="22">
                  <c:v>9.1666666666666674E-2</c:v>
                </c:pt>
                <c:pt idx="23">
                  <c:v>9.5833333333333326E-2</c:v>
                </c:pt>
                <c:pt idx="24">
                  <c:v>9.9999999999999992E-2</c:v>
                </c:pt>
                <c:pt idx="25">
                  <c:v>0.10416666666666667</c:v>
                </c:pt>
                <c:pt idx="26">
                  <c:v>0.10833333333333334</c:v>
                </c:pt>
                <c:pt idx="27">
                  <c:v>0.1125</c:v>
                </c:pt>
                <c:pt idx="28">
                  <c:v>0.11666666666666665</c:v>
                </c:pt>
                <c:pt idx="29">
                  <c:v>0.12083333333333333</c:v>
                </c:pt>
                <c:pt idx="30">
                  <c:v>0.125</c:v>
                </c:pt>
                <c:pt idx="31">
                  <c:v>0.12916666666666668</c:v>
                </c:pt>
                <c:pt idx="32">
                  <c:v>0.13333333333333333</c:v>
                </c:pt>
                <c:pt idx="33">
                  <c:v>0.13749999999999998</c:v>
                </c:pt>
                <c:pt idx="34">
                  <c:v>0.14166666666666666</c:v>
                </c:pt>
                <c:pt idx="35">
                  <c:v>0.14583333333333334</c:v>
                </c:pt>
                <c:pt idx="36">
                  <c:v>0.15</c:v>
                </c:pt>
                <c:pt idx="37">
                  <c:v>0.15416666666666667</c:v>
                </c:pt>
                <c:pt idx="38">
                  <c:v>0.15833333333333333</c:v>
                </c:pt>
                <c:pt idx="39">
                  <c:v>0.16250000000000001</c:v>
                </c:pt>
                <c:pt idx="40">
                  <c:v>0.16666666666666666</c:v>
                </c:pt>
                <c:pt idx="41">
                  <c:v>0.17083333333333331</c:v>
                </c:pt>
                <c:pt idx="42">
                  <c:v>0.17500000000000002</c:v>
                </c:pt>
                <c:pt idx="43">
                  <c:v>0.17916666666666667</c:v>
                </c:pt>
                <c:pt idx="44">
                  <c:v>0.18333333333333335</c:v>
                </c:pt>
                <c:pt idx="45">
                  <c:v>0.1875</c:v>
                </c:pt>
                <c:pt idx="46">
                  <c:v>0.19166666666666665</c:v>
                </c:pt>
                <c:pt idx="47">
                  <c:v>0.19583333333333333</c:v>
                </c:pt>
                <c:pt idx="48">
                  <c:v>0.19999999999999998</c:v>
                </c:pt>
                <c:pt idx="49">
                  <c:v>0.20416666666666669</c:v>
                </c:pt>
                <c:pt idx="50">
                  <c:v>0.20833333333333334</c:v>
                </c:pt>
                <c:pt idx="51">
                  <c:v>0.21249999999999999</c:v>
                </c:pt>
                <c:pt idx="52">
                  <c:v>0.21666666666666667</c:v>
                </c:pt>
                <c:pt idx="53">
                  <c:v>0.22083333333333333</c:v>
                </c:pt>
                <c:pt idx="54">
                  <c:v>0.22500000000000001</c:v>
                </c:pt>
                <c:pt idx="55">
                  <c:v>0.22916666666666666</c:v>
                </c:pt>
                <c:pt idx="56">
                  <c:v>0.23333333333333331</c:v>
                </c:pt>
                <c:pt idx="57">
                  <c:v>0.23750000000000002</c:v>
                </c:pt>
                <c:pt idx="58">
                  <c:v>0.24166666666666667</c:v>
                </c:pt>
                <c:pt idx="59">
                  <c:v>0.24583333333333335</c:v>
                </c:pt>
                <c:pt idx="60">
                  <c:v>0.25</c:v>
                </c:pt>
                <c:pt idx="61">
                  <c:v>0.25416666666666665</c:v>
                </c:pt>
                <c:pt idx="62">
                  <c:v>0.25833333333333336</c:v>
                </c:pt>
                <c:pt idx="63">
                  <c:v>0.26250000000000001</c:v>
                </c:pt>
                <c:pt idx="64">
                  <c:v>0.26666666666666666</c:v>
                </c:pt>
                <c:pt idx="65">
                  <c:v>0.27083333333333331</c:v>
                </c:pt>
                <c:pt idx="66">
                  <c:v>0.27499999999999997</c:v>
                </c:pt>
                <c:pt idx="67">
                  <c:v>0.27916666666666667</c:v>
                </c:pt>
                <c:pt idx="68">
                  <c:v>0.28333333333333333</c:v>
                </c:pt>
                <c:pt idx="69">
                  <c:v>0.28750000000000003</c:v>
                </c:pt>
                <c:pt idx="70">
                  <c:v>0.29166666666666669</c:v>
                </c:pt>
                <c:pt idx="71">
                  <c:v>0.29583333333333334</c:v>
                </c:pt>
                <c:pt idx="72">
                  <c:v>0.3</c:v>
                </c:pt>
                <c:pt idx="73">
                  <c:v>0.30416666666666664</c:v>
                </c:pt>
                <c:pt idx="74">
                  <c:v>0.30833333333333335</c:v>
                </c:pt>
                <c:pt idx="75">
                  <c:v>0.3125</c:v>
                </c:pt>
                <c:pt idx="76">
                  <c:v>0.31666666666666665</c:v>
                </c:pt>
                <c:pt idx="77">
                  <c:v>0.32083333333333336</c:v>
                </c:pt>
                <c:pt idx="78">
                  <c:v>0.32500000000000001</c:v>
                </c:pt>
                <c:pt idx="79">
                  <c:v>0.32916666666666666</c:v>
                </c:pt>
                <c:pt idx="80">
                  <c:v>0.33333333333333331</c:v>
                </c:pt>
                <c:pt idx="81">
                  <c:v>0.33749999999999997</c:v>
                </c:pt>
                <c:pt idx="82">
                  <c:v>0.34166666666666662</c:v>
                </c:pt>
                <c:pt idx="83">
                  <c:v>0.34583333333333338</c:v>
                </c:pt>
                <c:pt idx="84">
                  <c:v>0.35000000000000003</c:v>
                </c:pt>
                <c:pt idx="85">
                  <c:v>0.35416666666666669</c:v>
                </c:pt>
                <c:pt idx="86">
                  <c:v>0.35833333333333334</c:v>
                </c:pt>
                <c:pt idx="87">
                  <c:v>0.36249999999999999</c:v>
                </c:pt>
                <c:pt idx="88">
                  <c:v>0.3666666666666667</c:v>
                </c:pt>
                <c:pt idx="89">
                  <c:v>0.37083333333333335</c:v>
                </c:pt>
                <c:pt idx="90">
                  <c:v>0.375</c:v>
                </c:pt>
                <c:pt idx="91">
                  <c:v>0.37916666666666665</c:v>
                </c:pt>
                <c:pt idx="92">
                  <c:v>0.3833333333333333</c:v>
                </c:pt>
                <c:pt idx="93">
                  <c:v>0.38750000000000001</c:v>
                </c:pt>
                <c:pt idx="94">
                  <c:v>0.39166666666666666</c:v>
                </c:pt>
                <c:pt idx="95">
                  <c:v>0.39583333333333331</c:v>
                </c:pt>
                <c:pt idx="96">
                  <c:v>0.39999999999999997</c:v>
                </c:pt>
                <c:pt idx="97">
                  <c:v>0.40416666666666662</c:v>
                </c:pt>
                <c:pt idx="98">
                  <c:v>0.40833333333333338</c:v>
                </c:pt>
                <c:pt idx="99">
                  <c:v>0.41250000000000003</c:v>
                </c:pt>
                <c:pt idx="100">
                  <c:v>0.41666666666666669</c:v>
                </c:pt>
                <c:pt idx="101">
                  <c:v>0.42083333333333334</c:v>
                </c:pt>
                <c:pt idx="102">
                  <c:v>0.42499999999999999</c:v>
                </c:pt>
                <c:pt idx="103">
                  <c:v>0.4291666666666667</c:v>
                </c:pt>
                <c:pt idx="104">
                  <c:v>0.43333333333333335</c:v>
                </c:pt>
                <c:pt idx="105">
                  <c:v>0.4375</c:v>
                </c:pt>
                <c:pt idx="106">
                  <c:v>0.44166666666666665</c:v>
                </c:pt>
                <c:pt idx="107">
                  <c:v>0.4458333333333333</c:v>
                </c:pt>
                <c:pt idx="108">
                  <c:v>0.45</c:v>
                </c:pt>
                <c:pt idx="109">
                  <c:v>0.45416666666666666</c:v>
                </c:pt>
                <c:pt idx="110">
                  <c:v>0.45833333333333331</c:v>
                </c:pt>
                <c:pt idx="111">
                  <c:v>0.46249999999999997</c:v>
                </c:pt>
                <c:pt idx="112">
                  <c:v>0.46666666666666662</c:v>
                </c:pt>
                <c:pt idx="113">
                  <c:v>0.47083333333333338</c:v>
                </c:pt>
                <c:pt idx="114">
                  <c:v>0.47500000000000003</c:v>
                </c:pt>
                <c:pt idx="115">
                  <c:v>0.47916666666666669</c:v>
                </c:pt>
                <c:pt idx="116">
                  <c:v>0.48333333333333334</c:v>
                </c:pt>
                <c:pt idx="117">
                  <c:v>0.48749999999999999</c:v>
                </c:pt>
                <c:pt idx="118">
                  <c:v>0.4916666666666667</c:v>
                </c:pt>
                <c:pt idx="119">
                  <c:v>0.49583333333333335</c:v>
                </c:pt>
                <c:pt idx="120">
                  <c:v>0.5</c:v>
                </c:pt>
                <c:pt idx="121">
                  <c:v>0.50416666666666665</c:v>
                </c:pt>
                <c:pt idx="122">
                  <c:v>0.5083333333333333</c:v>
                </c:pt>
                <c:pt idx="123">
                  <c:v>0.51250000000000007</c:v>
                </c:pt>
                <c:pt idx="124">
                  <c:v>0.51666666666666672</c:v>
                </c:pt>
                <c:pt idx="125">
                  <c:v>0.52083333333333337</c:v>
                </c:pt>
                <c:pt idx="126">
                  <c:v>0.52500000000000002</c:v>
                </c:pt>
                <c:pt idx="127">
                  <c:v>0.52916666666666667</c:v>
                </c:pt>
                <c:pt idx="128">
                  <c:v>0.53333333333333333</c:v>
                </c:pt>
                <c:pt idx="129">
                  <c:v>0.53749999999999998</c:v>
                </c:pt>
                <c:pt idx="130">
                  <c:v>0.54166666666666663</c:v>
                </c:pt>
                <c:pt idx="131">
                  <c:v>0.54583333333333328</c:v>
                </c:pt>
                <c:pt idx="132">
                  <c:v>0.54999999999999993</c:v>
                </c:pt>
                <c:pt idx="133">
                  <c:v>0.5541666666666667</c:v>
                </c:pt>
                <c:pt idx="134">
                  <c:v>0.55833333333333335</c:v>
                </c:pt>
                <c:pt idx="135">
                  <c:v>0.5625</c:v>
                </c:pt>
                <c:pt idx="136">
                  <c:v>0.56666666666666665</c:v>
                </c:pt>
                <c:pt idx="137">
                  <c:v>0.5708333333333333</c:v>
                </c:pt>
                <c:pt idx="138">
                  <c:v>0.57500000000000007</c:v>
                </c:pt>
                <c:pt idx="139">
                  <c:v>0.57916666666666672</c:v>
                </c:pt>
                <c:pt idx="140">
                  <c:v>0.58333333333333337</c:v>
                </c:pt>
                <c:pt idx="141">
                  <c:v>0.58750000000000002</c:v>
                </c:pt>
                <c:pt idx="142">
                  <c:v>0.59166666666666667</c:v>
                </c:pt>
                <c:pt idx="143">
                  <c:v>0.59583333333333333</c:v>
                </c:pt>
                <c:pt idx="144">
                  <c:v>0.6</c:v>
                </c:pt>
                <c:pt idx="145">
                  <c:v>0.60416666666666663</c:v>
                </c:pt>
                <c:pt idx="146">
                  <c:v>0.60833333333333328</c:v>
                </c:pt>
                <c:pt idx="147">
                  <c:v>0.61249999999999993</c:v>
                </c:pt>
                <c:pt idx="148">
                  <c:v>0.6166666666666667</c:v>
                </c:pt>
                <c:pt idx="149">
                  <c:v>0.62083333333333335</c:v>
                </c:pt>
                <c:pt idx="150">
                  <c:v>0.625</c:v>
                </c:pt>
                <c:pt idx="151">
                  <c:v>0.62916666666666665</c:v>
                </c:pt>
                <c:pt idx="152">
                  <c:v>0.6333333333333333</c:v>
                </c:pt>
                <c:pt idx="153">
                  <c:v>0.63750000000000007</c:v>
                </c:pt>
                <c:pt idx="154">
                  <c:v>0.64166666666666672</c:v>
                </c:pt>
                <c:pt idx="155">
                  <c:v>0.64583333333333337</c:v>
                </c:pt>
                <c:pt idx="156">
                  <c:v>0.65</c:v>
                </c:pt>
                <c:pt idx="157">
                  <c:v>0.65416666666666667</c:v>
                </c:pt>
                <c:pt idx="158">
                  <c:v>0.65833333333333333</c:v>
                </c:pt>
                <c:pt idx="159">
                  <c:v>0.66249999999999998</c:v>
                </c:pt>
                <c:pt idx="160">
                  <c:v>0.66666666666666663</c:v>
                </c:pt>
                <c:pt idx="161">
                  <c:v>0.67083333333333339</c:v>
                </c:pt>
                <c:pt idx="162">
                  <c:v>0.67499999999999993</c:v>
                </c:pt>
                <c:pt idx="163">
                  <c:v>0.6791666666666667</c:v>
                </c:pt>
                <c:pt idx="164">
                  <c:v>0.68333333333333324</c:v>
                </c:pt>
                <c:pt idx="165">
                  <c:v>0.6875</c:v>
                </c:pt>
                <c:pt idx="166">
                  <c:v>0.69166666666666676</c:v>
                </c:pt>
                <c:pt idx="167">
                  <c:v>0.6958333333333333</c:v>
                </c:pt>
                <c:pt idx="168">
                  <c:v>0.70000000000000007</c:v>
                </c:pt>
                <c:pt idx="169">
                  <c:v>0.70416666666666661</c:v>
                </c:pt>
                <c:pt idx="170">
                  <c:v>0.70833333333333337</c:v>
                </c:pt>
                <c:pt idx="171">
                  <c:v>0.71250000000000002</c:v>
                </c:pt>
                <c:pt idx="172">
                  <c:v>0.71666666666666667</c:v>
                </c:pt>
                <c:pt idx="173">
                  <c:v>0.72083333333333333</c:v>
                </c:pt>
                <c:pt idx="174">
                  <c:v>0.72499999999999998</c:v>
                </c:pt>
                <c:pt idx="175">
                  <c:v>0.72916666666666663</c:v>
                </c:pt>
                <c:pt idx="176">
                  <c:v>0.73333333333333339</c:v>
                </c:pt>
                <c:pt idx="177">
                  <c:v>0.73749999999999993</c:v>
                </c:pt>
                <c:pt idx="178">
                  <c:v>0.7416666666666667</c:v>
                </c:pt>
                <c:pt idx="179">
                  <c:v>0.74583333333333324</c:v>
                </c:pt>
                <c:pt idx="180">
                  <c:v>0.75</c:v>
                </c:pt>
                <c:pt idx="181">
                  <c:v>0.75416666666666676</c:v>
                </c:pt>
                <c:pt idx="182">
                  <c:v>0.7583333333333333</c:v>
                </c:pt>
                <c:pt idx="183">
                  <c:v>0.76250000000000007</c:v>
                </c:pt>
                <c:pt idx="184">
                  <c:v>0.76666666666666661</c:v>
                </c:pt>
                <c:pt idx="185">
                  <c:v>0.77083333333333337</c:v>
                </c:pt>
                <c:pt idx="186">
                  <c:v>0.77500000000000002</c:v>
                </c:pt>
                <c:pt idx="187">
                  <c:v>0.77916666666666667</c:v>
                </c:pt>
                <c:pt idx="188">
                  <c:v>0.78333333333333333</c:v>
                </c:pt>
                <c:pt idx="189">
                  <c:v>0.78749999999999998</c:v>
                </c:pt>
                <c:pt idx="190">
                  <c:v>0.79166666666666663</c:v>
                </c:pt>
                <c:pt idx="191">
                  <c:v>0.79583333333333339</c:v>
                </c:pt>
                <c:pt idx="192">
                  <c:v>0.79999999999999993</c:v>
                </c:pt>
                <c:pt idx="193">
                  <c:v>0.8041666666666667</c:v>
                </c:pt>
                <c:pt idx="194">
                  <c:v>0.80833333333333324</c:v>
                </c:pt>
                <c:pt idx="195">
                  <c:v>0.8125</c:v>
                </c:pt>
                <c:pt idx="196">
                  <c:v>0.81666666666666676</c:v>
                </c:pt>
                <c:pt idx="197">
                  <c:v>0.8208333333333333</c:v>
                </c:pt>
                <c:pt idx="198">
                  <c:v>0.82500000000000007</c:v>
                </c:pt>
                <c:pt idx="199">
                  <c:v>0.82916666666666661</c:v>
                </c:pt>
                <c:pt idx="200">
                  <c:v>0.83333333333333337</c:v>
                </c:pt>
                <c:pt idx="201">
                  <c:v>0.83750000000000002</c:v>
                </c:pt>
                <c:pt idx="202">
                  <c:v>0.84166666666666667</c:v>
                </c:pt>
                <c:pt idx="203">
                  <c:v>0.84583333333333333</c:v>
                </c:pt>
                <c:pt idx="204">
                  <c:v>0.85</c:v>
                </c:pt>
                <c:pt idx="205">
                  <c:v>0.85416666666666663</c:v>
                </c:pt>
                <c:pt idx="206">
                  <c:v>0.85833333333333339</c:v>
                </c:pt>
                <c:pt idx="207">
                  <c:v>0.86249999999999993</c:v>
                </c:pt>
                <c:pt idx="208">
                  <c:v>0.8666666666666667</c:v>
                </c:pt>
                <c:pt idx="209">
                  <c:v>0.87083333333333324</c:v>
                </c:pt>
                <c:pt idx="210">
                  <c:v>0.875</c:v>
                </c:pt>
                <c:pt idx="211">
                  <c:v>0.87916666666666676</c:v>
                </c:pt>
                <c:pt idx="212">
                  <c:v>0.8833333333333333</c:v>
                </c:pt>
                <c:pt idx="213">
                  <c:v>0.88750000000000007</c:v>
                </c:pt>
                <c:pt idx="214">
                  <c:v>0.89166666666666661</c:v>
                </c:pt>
                <c:pt idx="215">
                  <c:v>0.89583333333333337</c:v>
                </c:pt>
                <c:pt idx="216">
                  <c:v>0.9</c:v>
                </c:pt>
                <c:pt idx="217">
                  <c:v>0.90416666666666667</c:v>
                </c:pt>
                <c:pt idx="218">
                  <c:v>0.90833333333333333</c:v>
                </c:pt>
                <c:pt idx="219">
                  <c:v>0.91249999999999998</c:v>
                </c:pt>
                <c:pt idx="220">
                  <c:v>0.91666666666666663</c:v>
                </c:pt>
                <c:pt idx="221">
                  <c:v>0.92083333333333339</c:v>
                </c:pt>
                <c:pt idx="222">
                  <c:v>0.92499999999999993</c:v>
                </c:pt>
                <c:pt idx="223">
                  <c:v>0.9291666666666667</c:v>
                </c:pt>
                <c:pt idx="224">
                  <c:v>0.93333333333333324</c:v>
                </c:pt>
                <c:pt idx="225">
                  <c:v>0.9375</c:v>
                </c:pt>
                <c:pt idx="226">
                  <c:v>0.94166666666666676</c:v>
                </c:pt>
                <c:pt idx="227">
                  <c:v>0.9458333333333333</c:v>
                </c:pt>
                <c:pt idx="228">
                  <c:v>0.95000000000000007</c:v>
                </c:pt>
                <c:pt idx="229">
                  <c:v>0.95416666666666661</c:v>
                </c:pt>
                <c:pt idx="230">
                  <c:v>0.95833333333333337</c:v>
                </c:pt>
                <c:pt idx="231">
                  <c:v>0.96250000000000002</c:v>
                </c:pt>
                <c:pt idx="232">
                  <c:v>0.96666666666666667</c:v>
                </c:pt>
                <c:pt idx="233">
                  <c:v>0.97083333333333333</c:v>
                </c:pt>
                <c:pt idx="234">
                  <c:v>0.97499999999999998</c:v>
                </c:pt>
                <c:pt idx="235">
                  <c:v>0.97916666666666663</c:v>
                </c:pt>
                <c:pt idx="236">
                  <c:v>0.98333333333333339</c:v>
                </c:pt>
                <c:pt idx="237">
                  <c:v>0.98749999999999993</c:v>
                </c:pt>
                <c:pt idx="238">
                  <c:v>0.9916666666666667</c:v>
                </c:pt>
                <c:pt idx="239">
                  <c:v>0.99583333333333324</c:v>
                </c:pt>
                <c:pt idx="240">
                  <c:v>1</c:v>
                </c:pt>
              </c:numCache>
            </c:numRef>
          </c:xVal>
          <c:yVal>
            <c:numRef>
              <c:f>Precip_YHD3!$C$3:$C$243</c:f>
              <c:numCache>
                <c:formatCode>General</c:formatCode>
                <c:ptCount val="241"/>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c:v>
                </c:pt>
                <c:pt idx="76">
                  <c:v>0</c:v>
                </c:pt>
                <c:pt idx="77">
                  <c:v>0</c:v>
                </c:pt>
                <c:pt idx="78">
                  <c:v>0</c:v>
                </c:pt>
                <c:pt idx="79">
                  <c:v>0</c:v>
                </c:pt>
                <c:pt idx="80">
                  <c:v>0</c:v>
                </c:pt>
                <c:pt idx="81">
                  <c:v>0</c:v>
                </c:pt>
                <c:pt idx="82">
                  <c:v>0</c:v>
                </c:pt>
                <c:pt idx="83">
                  <c:v>0</c:v>
                </c:pt>
                <c:pt idx="84">
                  <c:v>0</c:v>
                </c:pt>
                <c:pt idx="85">
                  <c:v>0</c:v>
                </c:pt>
                <c:pt idx="86">
                  <c:v>0</c:v>
                </c:pt>
                <c:pt idx="87">
                  <c:v>0</c:v>
                </c:pt>
                <c:pt idx="88">
                  <c:v>0</c:v>
                </c:pt>
                <c:pt idx="89">
                  <c:v>0</c:v>
                </c:pt>
                <c:pt idx="90">
                  <c:v>0</c:v>
                </c:pt>
                <c:pt idx="91">
                  <c:v>0</c:v>
                </c:pt>
                <c:pt idx="92">
                  <c:v>0</c:v>
                </c:pt>
                <c:pt idx="93">
                  <c:v>0</c:v>
                </c:pt>
                <c:pt idx="94">
                  <c:v>0</c:v>
                </c:pt>
                <c:pt idx="95">
                  <c:v>0</c:v>
                </c:pt>
                <c:pt idx="96">
                  <c:v>0</c:v>
                </c:pt>
                <c:pt idx="97">
                  <c:v>0</c:v>
                </c:pt>
                <c:pt idx="98">
                  <c:v>0</c:v>
                </c:pt>
                <c:pt idx="99">
                  <c:v>0</c:v>
                </c:pt>
                <c:pt idx="100">
                  <c:v>0</c:v>
                </c:pt>
                <c:pt idx="101">
                  <c:v>0</c:v>
                </c:pt>
                <c:pt idx="102">
                  <c:v>0.01</c:v>
                </c:pt>
                <c:pt idx="103">
                  <c:v>0.01</c:v>
                </c:pt>
                <c:pt idx="104">
                  <c:v>0.01</c:v>
                </c:pt>
                <c:pt idx="105">
                  <c:v>0.01</c:v>
                </c:pt>
                <c:pt idx="106">
                  <c:v>0.01</c:v>
                </c:pt>
                <c:pt idx="107">
                  <c:v>0.01</c:v>
                </c:pt>
                <c:pt idx="108">
                  <c:v>0.01</c:v>
                </c:pt>
                <c:pt idx="109">
                  <c:v>0.01</c:v>
                </c:pt>
                <c:pt idx="110">
                  <c:v>0.01</c:v>
                </c:pt>
                <c:pt idx="111">
                  <c:v>0.02</c:v>
                </c:pt>
                <c:pt idx="112">
                  <c:v>0.02</c:v>
                </c:pt>
                <c:pt idx="113">
                  <c:v>0.02</c:v>
                </c:pt>
                <c:pt idx="114">
                  <c:v>0.03</c:v>
                </c:pt>
                <c:pt idx="115">
                  <c:v>0.03</c:v>
                </c:pt>
                <c:pt idx="116">
                  <c:v>0.06</c:v>
                </c:pt>
                <c:pt idx="117">
                  <c:v>0.06</c:v>
                </c:pt>
                <c:pt idx="118">
                  <c:v>0.08</c:v>
                </c:pt>
                <c:pt idx="119">
                  <c:v>0.06</c:v>
                </c:pt>
                <c:pt idx="120">
                  <c:v>0.16</c:v>
                </c:pt>
                <c:pt idx="121">
                  <c:v>0.32</c:v>
                </c:pt>
                <c:pt idx="122">
                  <c:v>0.12</c:v>
                </c:pt>
                <c:pt idx="123">
                  <c:v>7.0000000000000007E-2</c:v>
                </c:pt>
                <c:pt idx="124">
                  <c:v>0.1</c:v>
                </c:pt>
                <c:pt idx="125">
                  <c:v>0.09</c:v>
                </c:pt>
                <c:pt idx="126">
                  <c:v>0.05</c:v>
                </c:pt>
                <c:pt idx="127">
                  <c:v>0.05</c:v>
                </c:pt>
                <c:pt idx="128">
                  <c:v>0.04</c:v>
                </c:pt>
                <c:pt idx="129">
                  <c:v>0.04</c:v>
                </c:pt>
                <c:pt idx="130">
                  <c:v>0.04</c:v>
                </c:pt>
                <c:pt idx="131">
                  <c:v>0.03</c:v>
                </c:pt>
                <c:pt idx="132">
                  <c:v>0.03</c:v>
                </c:pt>
                <c:pt idx="133">
                  <c:v>0.02</c:v>
                </c:pt>
                <c:pt idx="134">
                  <c:v>0.02</c:v>
                </c:pt>
                <c:pt idx="135">
                  <c:v>0.02</c:v>
                </c:pt>
                <c:pt idx="136">
                  <c:v>0.02</c:v>
                </c:pt>
                <c:pt idx="137">
                  <c:v>0.02</c:v>
                </c:pt>
                <c:pt idx="138">
                  <c:v>0.02</c:v>
                </c:pt>
                <c:pt idx="139">
                  <c:v>0.02</c:v>
                </c:pt>
                <c:pt idx="140">
                  <c:v>0.02</c:v>
                </c:pt>
                <c:pt idx="141">
                  <c:v>0.01</c:v>
                </c:pt>
                <c:pt idx="142">
                  <c:v>0.01</c:v>
                </c:pt>
                <c:pt idx="143">
                  <c:v>0.01</c:v>
                </c:pt>
                <c:pt idx="144">
                  <c:v>0.01</c:v>
                </c:pt>
                <c:pt idx="145">
                  <c:v>0.01</c:v>
                </c:pt>
                <c:pt idx="146">
                  <c:v>0.01</c:v>
                </c:pt>
                <c:pt idx="147">
                  <c:v>0.01</c:v>
                </c:pt>
                <c:pt idx="148">
                  <c:v>0.01</c:v>
                </c:pt>
                <c:pt idx="149">
                  <c:v>0.01</c:v>
                </c:pt>
                <c:pt idx="150">
                  <c:v>0.01</c:v>
                </c:pt>
                <c:pt idx="151">
                  <c:v>0.01</c:v>
                </c:pt>
                <c:pt idx="152">
                  <c:v>0.01</c:v>
                </c:pt>
                <c:pt idx="153">
                  <c:v>0.01</c:v>
                </c:pt>
                <c:pt idx="154">
                  <c:v>0.01</c:v>
                </c:pt>
                <c:pt idx="155">
                  <c:v>0.01</c:v>
                </c:pt>
                <c:pt idx="156">
                  <c:v>0.01</c:v>
                </c:pt>
                <c:pt idx="157">
                  <c:v>0.01</c:v>
                </c:pt>
                <c:pt idx="158">
                  <c:v>0.01</c:v>
                </c:pt>
                <c:pt idx="159">
                  <c:v>0.01</c:v>
                </c:pt>
                <c:pt idx="160">
                  <c:v>0.01</c:v>
                </c:pt>
                <c:pt idx="161">
                  <c:v>0.01</c:v>
                </c:pt>
                <c:pt idx="162">
                  <c:v>0.01</c:v>
                </c:pt>
                <c:pt idx="163">
                  <c:v>0.01</c:v>
                </c:pt>
                <c:pt idx="164">
                  <c:v>0.01</c:v>
                </c:pt>
                <c:pt idx="165">
                  <c:v>0.01</c:v>
                </c:pt>
                <c:pt idx="166">
                  <c:v>0.01</c:v>
                </c:pt>
                <c:pt idx="167">
                  <c:v>0.01</c:v>
                </c:pt>
                <c:pt idx="168">
                  <c:v>0.01</c:v>
                </c:pt>
                <c:pt idx="169">
                  <c:v>0.01</c:v>
                </c:pt>
                <c:pt idx="170">
                  <c:v>0.01</c:v>
                </c:pt>
                <c:pt idx="171">
                  <c:v>0.01</c:v>
                </c:pt>
                <c:pt idx="172">
                  <c:v>0.01</c:v>
                </c:pt>
                <c:pt idx="173">
                  <c:v>0.01</c:v>
                </c:pt>
                <c:pt idx="174">
                  <c:v>0.01</c:v>
                </c:pt>
                <c:pt idx="175">
                  <c:v>0.01</c:v>
                </c:pt>
                <c:pt idx="176">
                  <c:v>0.01</c:v>
                </c:pt>
                <c:pt idx="177">
                  <c:v>0.01</c:v>
                </c:pt>
                <c:pt idx="178">
                  <c:v>0.01</c:v>
                </c:pt>
                <c:pt idx="179">
                  <c:v>0.01</c:v>
                </c:pt>
                <c:pt idx="180">
                  <c:v>0.01</c:v>
                </c:pt>
                <c:pt idx="181">
                  <c:v>0.01</c:v>
                </c:pt>
                <c:pt idx="182">
                  <c:v>0.01</c:v>
                </c:pt>
                <c:pt idx="183">
                  <c:v>0.01</c:v>
                </c:pt>
                <c:pt idx="184">
                  <c:v>0.01</c:v>
                </c:pt>
                <c:pt idx="185">
                  <c:v>0.01</c:v>
                </c:pt>
                <c:pt idx="186">
                  <c:v>0.01</c:v>
                </c:pt>
                <c:pt idx="187">
                  <c:v>0.01</c:v>
                </c:pt>
                <c:pt idx="188">
                  <c:v>0.01</c:v>
                </c:pt>
                <c:pt idx="189">
                  <c:v>0.01</c:v>
                </c:pt>
                <c:pt idx="190">
                  <c:v>0.01</c:v>
                </c:pt>
                <c:pt idx="191">
                  <c:v>0.01</c:v>
                </c:pt>
                <c:pt idx="192">
                  <c:v>0.01</c:v>
                </c:pt>
                <c:pt idx="193">
                  <c:v>0.01</c:v>
                </c:pt>
                <c:pt idx="194">
                  <c:v>0.01</c:v>
                </c:pt>
                <c:pt idx="195">
                  <c:v>0.01</c:v>
                </c:pt>
                <c:pt idx="196">
                  <c:v>0.01</c:v>
                </c:pt>
                <c:pt idx="197">
                  <c:v>0.01</c:v>
                </c:pt>
                <c:pt idx="198">
                  <c:v>0.01</c:v>
                </c:pt>
                <c:pt idx="199">
                  <c:v>0.01</c:v>
                </c:pt>
                <c:pt idx="200">
                  <c:v>0.01</c:v>
                </c:pt>
                <c:pt idx="201">
                  <c:v>0.01</c:v>
                </c:pt>
                <c:pt idx="202">
                  <c:v>0</c:v>
                </c:pt>
                <c:pt idx="203">
                  <c:v>0</c:v>
                </c:pt>
                <c:pt idx="204">
                  <c:v>0</c:v>
                </c:pt>
                <c:pt idx="205">
                  <c:v>0</c:v>
                </c:pt>
                <c:pt idx="206">
                  <c:v>0</c:v>
                </c:pt>
                <c:pt idx="207">
                  <c:v>0</c:v>
                </c:pt>
                <c:pt idx="208">
                  <c:v>0</c:v>
                </c:pt>
                <c:pt idx="209">
                  <c:v>0</c:v>
                </c:pt>
                <c:pt idx="210">
                  <c:v>0</c:v>
                </c:pt>
                <c:pt idx="211">
                  <c:v>0</c:v>
                </c:pt>
                <c:pt idx="212">
                  <c:v>0</c:v>
                </c:pt>
                <c:pt idx="213">
                  <c:v>0</c:v>
                </c:pt>
                <c:pt idx="214">
                  <c:v>0</c:v>
                </c:pt>
                <c:pt idx="215">
                  <c:v>0</c:v>
                </c:pt>
                <c:pt idx="216">
                  <c:v>0</c:v>
                </c:pt>
                <c:pt idx="217">
                  <c:v>0</c:v>
                </c:pt>
                <c:pt idx="218">
                  <c:v>0</c:v>
                </c:pt>
                <c:pt idx="219">
                  <c:v>0</c:v>
                </c:pt>
                <c:pt idx="220">
                  <c:v>0</c:v>
                </c:pt>
                <c:pt idx="221">
                  <c:v>0</c:v>
                </c:pt>
                <c:pt idx="222">
                  <c:v>0</c:v>
                </c:pt>
                <c:pt idx="223">
                  <c:v>0</c:v>
                </c:pt>
                <c:pt idx="224">
                  <c:v>0</c:v>
                </c:pt>
                <c:pt idx="225">
                  <c:v>0</c:v>
                </c:pt>
                <c:pt idx="226">
                  <c:v>0</c:v>
                </c:pt>
                <c:pt idx="227">
                  <c:v>0</c:v>
                </c:pt>
                <c:pt idx="228">
                  <c:v>0</c:v>
                </c:pt>
                <c:pt idx="229">
                  <c:v>0</c:v>
                </c:pt>
                <c:pt idx="230">
                  <c:v>0</c:v>
                </c:pt>
                <c:pt idx="231">
                  <c:v>0</c:v>
                </c:pt>
                <c:pt idx="232">
                  <c:v>0</c:v>
                </c:pt>
                <c:pt idx="233">
                  <c:v>0</c:v>
                </c:pt>
                <c:pt idx="234">
                  <c:v>0</c:v>
                </c:pt>
                <c:pt idx="235">
                  <c:v>0</c:v>
                </c:pt>
                <c:pt idx="236">
                  <c:v>0</c:v>
                </c:pt>
                <c:pt idx="237">
                  <c:v>0</c:v>
                </c:pt>
                <c:pt idx="238">
                  <c:v>0</c:v>
                </c:pt>
                <c:pt idx="239">
                  <c:v>0</c:v>
                </c:pt>
                <c:pt idx="240">
                  <c:v>0</c:v>
                </c:pt>
              </c:numCache>
            </c:numRef>
          </c:yVal>
          <c:smooth val="1"/>
          <c:extLst xmlns:c16r2="http://schemas.microsoft.com/office/drawing/2015/06/chart">
            <c:ext xmlns:c16="http://schemas.microsoft.com/office/drawing/2014/chart" uri="{C3380CC4-5D6E-409C-BE32-E72D297353CC}">
              <c16:uniqueId val="{00000003-CCEA-4C07-A470-965A6609C101}"/>
            </c:ext>
          </c:extLst>
        </c:ser>
        <c:ser>
          <c:idx val="0"/>
          <c:order val="5"/>
          <c:tx>
            <c:v>10 Percent Annual Chance</c:v>
          </c:tx>
          <c:spPr>
            <a:ln>
              <a:solidFill>
                <a:srgbClr val="33CC33"/>
              </a:solidFill>
            </a:ln>
          </c:spPr>
          <c:marker>
            <c:symbol val="none"/>
          </c:marker>
          <c:xVal>
            <c:numRef>
              <c:f>Precip_YHD3!$A$3:$A$243</c:f>
              <c:numCache>
                <c:formatCode>h:mm;@</c:formatCode>
                <c:ptCount val="241"/>
                <c:pt idx="0">
                  <c:v>0</c:v>
                </c:pt>
                <c:pt idx="1">
                  <c:v>4.1666666666666666E-3</c:v>
                </c:pt>
                <c:pt idx="2">
                  <c:v>8.3333333333333332E-3</c:v>
                </c:pt>
                <c:pt idx="3">
                  <c:v>1.2499999999999999E-2</c:v>
                </c:pt>
                <c:pt idx="4">
                  <c:v>1.6666666666666666E-2</c:v>
                </c:pt>
                <c:pt idx="5">
                  <c:v>2.0833333333333332E-2</c:v>
                </c:pt>
                <c:pt idx="6">
                  <c:v>2.4999999999999998E-2</c:v>
                </c:pt>
                <c:pt idx="7">
                  <c:v>2.9166666666666664E-2</c:v>
                </c:pt>
                <c:pt idx="8">
                  <c:v>3.3333333333333333E-2</c:v>
                </c:pt>
                <c:pt idx="9">
                  <c:v>3.7499999999999999E-2</c:v>
                </c:pt>
                <c:pt idx="10">
                  <c:v>4.1666666666666664E-2</c:v>
                </c:pt>
                <c:pt idx="11">
                  <c:v>4.5833333333333337E-2</c:v>
                </c:pt>
                <c:pt idx="12">
                  <c:v>4.9999999999999996E-2</c:v>
                </c:pt>
                <c:pt idx="13">
                  <c:v>5.4166666666666669E-2</c:v>
                </c:pt>
                <c:pt idx="14">
                  <c:v>5.8333333333333327E-2</c:v>
                </c:pt>
                <c:pt idx="15">
                  <c:v>6.25E-2</c:v>
                </c:pt>
                <c:pt idx="16">
                  <c:v>6.6666666666666666E-2</c:v>
                </c:pt>
                <c:pt idx="17">
                  <c:v>7.0833333333333331E-2</c:v>
                </c:pt>
                <c:pt idx="18">
                  <c:v>7.4999999999999997E-2</c:v>
                </c:pt>
                <c:pt idx="19">
                  <c:v>7.9166666666666663E-2</c:v>
                </c:pt>
                <c:pt idx="20">
                  <c:v>8.3333333333333329E-2</c:v>
                </c:pt>
                <c:pt idx="21">
                  <c:v>8.7500000000000008E-2</c:v>
                </c:pt>
                <c:pt idx="22">
                  <c:v>9.1666666666666674E-2</c:v>
                </c:pt>
                <c:pt idx="23">
                  <c:v>9.5833333333333326E-2</c:v>
                </c:pt>
                <c:pt idx="24">
                  <c:v>9.9999999999999992E-2</c:v>
                </c:pt>
                <c:pt idx="25">
                  <c:v>0.10416666666666667</c:v>
                </c:pt>
                <c:pt idx="26">
                  <c:v>0.10833333333333334</c:v>
                </c:pt>
                <c:pt idx="27">
                  <c:v>0.1125</c:v>
                </c:pt>
                <c:pt idx="28">
                  <c:v>0.11666666666666665</c:v>
                </c:pt>
                <c:pt idx="29">
                  <c:v>0.12083333333333333</c:v>
                </c:pt>
                <c:pt idx="30">
                  <c:v>0.125</c:v>
                </c:pt>
                <c:pt idx="31">
                  <c:v>0.12916666666666668</c:v>
                </c:pt>
                <c:pt idx="32">
                  <c:v>0.13333333333333333</c:v>
                </c:pt>
                <c:pt idx="33">
                  <c:v>0.13749999999999998</c:v>
                </c:pt>
                <c:pt idx="34">
                  <c:v>0.14166666666666666</c:v>
                </c:pt>
                <c:pt idx="35">
                  <c:v>0.14583333333333334</c:v>
                </c:pt>
                <c:pt idx="36">
                  <c:v>0.15</c:v>
                </c:pt>
                <c:pt idx="37">
                  <c:v>0.15416666666666667</c:v>
                </c:pt>
                <c:pt idx="38">
                  <c:v>0.15833333333333333</c:v>
                </c:pt>
                <c:pt idx="39">
                  <c:v>0.16250000000000001</c:v>
                </c:pt>
                <c:pt idx="40">
                  <c:v>0.16666666666666666</c:v>
                </c:pt>
                <c:pt idx="41">
                  <c:v>0.17083333333333331</c:v>
                </c:pt>
                <c:pt idx="42">
                  <c:v>0.17500000000000002</c:v>
                </c:pt>
                <c:pt idx="43">
                  <c:v>0.17916666666666667</c:v>
                </c:pt>
                <c:pt idx="44">
                  <c:v>0.18333333333333335</c:v>
                </c:pt>
                <c:pt idx="45">
                  <c:v>0.1875</c:v>
                </c:pt>
                <c:pt idx="46">
                  <c:v>0.19166666666666665</c:v>
                </c:pt>
                <c:pt idx="47">
                  <c:v>0.19583333333333333</c:v>
                </c:pt>
                <c:pt idx="48">
                  <c:v>0.19999999999999998</c:v>
                </c:pt>
                <c:pt idx="49">
                  <c:v>0.20416666666666669</c:v>
                </c:pt>
                <c:pt idx="50">
                  <c:v>0.20833333333333334</c:v>
                </c:pt>
                <c:pt idx="51">
                  <c:v>0.21249999999999999</c:v>
                </c:pt>
                <c:pt idx="52">
                  <c:v>0.21666666666666667</c:v>
                </c:pt>
                <c:pt idx="53">
                  <c:v>0.22083333333333333</c:v>
                </c:pt>
                <c:pt idx="54">
                  <c:v>0.22500000000000001</c:v>
                </c:pt>
                <c:pt idx="55">
                  <c:v>0.22916666666666666</c:v>
                </c:pt>
                <c:pt idx="56">
                  <c:v>0.23333333333333331</c:v>
                </c:pt>
                <c:pt idx="57">
                  <c:v>0.23750000000000002</c:v>
                </c:pt>
                <c:pt idx="58">
                  <c:v>0.24166666666666667</c:v>
                </c:pt>
                <c:pt idx="59">
                  <c:v>0.24583333333333335</c:v>
                </c:pt>
                <c:pt idx="60">
                  <c:v>0.25</c:v>
                </c:pt>
                <c:pt idx="61">
                  <c:v>0.25416666666666665</c:v>
                </c:pt>
                <c:pt idx="62">
                  <c:v>0.25833333333333336</c:v>
                </c:pt>
                <c:pt idx="63">
                  <c:v>0.26250000000000001</c:v>
                </c:pt>
                <c:pt idx="64">
                  <c:v>0.26666666666666666</c:v>
                </c:pt>
                <c:pt idx="65">
                  <c:v>0.27083333333333331</c:v>
                </c:pt>
                <c:pt idx="66">
                  <c:v>0.27499999999999997</c:v>
                </c:pt>
                <c:pt idx="67">
                  <c:v>0.27916666666666667</c:v>
                </c:pt>
                <c:pt idx="68">
                  <c:v>0.28333333333333333</c:v>
                </c:pt>
                <c:pt idx="69">
                  <c:v>0.28750000000000003</c:v>
                </c:pt>
                <c:pt idx="70">
                  <c:v>0.29166666666666669</c:v>
                </c:pt>
                <c:pt idx="71">
                  <c:v>0.29583333333333334</c:v>
                </c:pt>
                <c:pt idx="72">
                  <c:v>0.3</c:v>
                </c:pt>
                <c:pt idx="73">
                  <c:v>0.30416666666666664</c:v>
                </c:pt>
                <c:pt idx="74">
                  <c:v>0.30833333333333335</c:v>
                </c:pt>
                <c:pt idx="75">
                  <c:v>0.3125</c:v>
                </c:pt>
                <c:pt idx="76">
                  <c:v>0.31666666666666665</c:v>
                </c:pt>
                <c:pt idx="77">
                  <c:v>0.32083333333333336</c:v>
                </c:pt>
                <c:pt idx="78">
                  <c:v>0.32500000000000001</c:v>
                </c:pt>
                <c:pt idx="79">
                  <c:v>0.32916666666666666</c:v>
                </c:pt>
                <c:pt idx="80">
                  <c:v>0.33333333333333331</c:v>
                </c:pt>
                <c:pt idx="81">
                  <c:v>0.33749999999999997</c:v>
                </c:pt>
                <c:pt idx="82">
                  <c:v>0.34166666666666662</c:v>
                </c:pt>
                <c:pt idx="83">
                  <c:v>0.34583333333333338</c:v>
                </c:pt>
                <c:pt idx="84">
                  <c:v>0.35000000000000003</c:v>
                </c:pt>
                <c:pt idx="85">
                  <c:v>0.35416666666666669</c:v>
                </c:pt>
                <c:pt idx="86">
                  <c:v>0.35833333333333334</c:v>
                </c:pt>
                <c:pt idx="87">
                  <c:v>0.36249999999999999</c:v>
                </c:pt>
                <c:pt idx="88">
                  <c:v>0.3666666666666667</c:v>
                </c:pt>
                <c:pt idx="89">
                  <c:v>0.37083333333333335</c:v>
                </c:pt>
                <c:pt idx="90">
                  <c:v>0.375</c:v>
                </c:pt>
                <c:pt idx="91">
                  <c:v>0.37916666666666665</c:v>
                </c:pt>
                <c:pt idx="92">
                  <c:v>0.3833333333333333</c:v>
                </c:pt>
                <c:pt idx="93">
                  <c:v>0.38750000000000001</c:v>
                </c:pt>
                <c:pt idx="94">
                  <c:v>0.39166666666666666</c:v>
                </c:pt>
                <c:pt idx="95">
                  <c:v>0.39583333333333331</c:v>
                </c:pt>
                <c:pt idx="96">
                  <c:v>0.39999999999999997</c:v>
                </c:pt>
                <c:pt idx="97">
                  <c:v>0.40416666666666662</c:v>
                </c:pt>
                <c:pt idx="98">
                  <c:v>0.40833333333333338</c:v>
                </c:pt>
                <c:pt idx="99">
                  <c:v>0.41250000000000003</c:v>
                </c:pt>
                <c:pt idx="100">
                  <c:v>0.41666666666666669</c:v>
                </c:pt>
                <c:pt idx="101">
                  <c:v>0.42083333333333334</c:v>
                </c:pt>
                <c:pt idx="102">
                  <c:v>0.42499999999999999</c:v>
                </c:pt>
                <c:pt idx="103">
                  <c:v>0.4291666666666667</c:v>
                </c:pt>
                <c:pt idx="104">
                  <c:v>0.43333333333333335</c:v>
                </c:pt>
                <c:pt idx="105">
                  <c:v>0.4375</c:v>
                </c:pt>
                <c:pt idx="106">
                  <c:v>0.44166666666666665</c:v>
                </c:pt>
                <c:pt idx="107">
                  <c:v>0.4458333333333333</c:v>
                </c:pt>
                <c:pt idx="108">
                  <c:v>0.45</c:v>
                </c:pt>
                <c:pt idx="109">
                  <c:v>0.45416666666666666</c:v>
                </c:pt>
                <c:pt idx="110">
                  <c:v>0.45833333333333331</c:v>
                </c:pt>
                <c:pt idx="111">
                  <c:v>0.46249999999999997</c:v>
                </c:pt>
                <c:pt idx="112">
                  <c:v>0.46666666666666662</c:v>
                </c:pt>
                <c:pt idx="113">
                  <c:v>0.47083333333333338</c:v>
                </c:pt>
                <c:pt idx="114">
                  <c:v>0.47500000000000003</c:v>
                </c:pt>
                <c:pt idx="115">
                  <c:v>0.47916666666666669</c:v>
                </c:pt>
                <c:pt idx="116">
                  <c:v>0.48333333333333334</c:v>
                </c:pt>
                <c:pt idx="117">
                  <c:v>0.48749999999999999</c:v>
                </c:pt>
                <c:pt idx="118">
                  <c:v>0.4916666666666667</c:v>
                </c:pt>
                <c:pt idx="119">
                  <c:v>0.49583333333333335</c:v>
                </c:pt>
                <c:pt idx="120">
                  <c:v>0.5</c:v>
                </c:pt>
                <c:pt idx="121">
                  <c:v>0.50416666666666665</c:v>
                </c:pt>
                <c:pt idx="122">
                  <c:v>0.5083333333333333</c:v>
                </c:pt>
                <c:pt idx="123">
                  <c:v>0.51250000000000007</c:v>
                </c:pt>
                <c:pt idx="124">
                  <c:v>0.51666666666666672</c:v>
                </c:pt>
                <c:pt idx="125">
                  <c:v>0.52083333333333337</c:v>
                </c:pt>
                <c:pt idx="126">
                  <c:v>0.52500000000000002</c:v>
                </c:pt>
                <c:pt idx="127">
                  <c:v>0.52916666666666667</c:v>
                </c:pt>
                <c:pt idx="128">
                  <c:v>0.53333333333333333</c:v>
                </c:pt>
                <c:pt idx="129">
                  <c:v>0.53749999999999998</c:v>
                </c:pt>
                <c:pt idx="130">
                  <c:v>0.54166666666666663</c:v>
                </c:pt>
                <c:pt idx="131">
                  <c:v>0.54583333333333328</c:v>
                </c:pt>
                <c:pt idx="132">
                  <c:v>0.54999999999999993</c:v>
                </c:pt>
                <c:pt idx="133">
                  <c:v>0.5541666666666667</c:v>
                </c:pt>
                <c:pt idx="134">
                  <c:v>0.55833333333333335</c:v>
                </c:pt>
                <c:pt idx="135">
                  <c:v>0.5625</c:v>
                </c:pt>
                <c:pt idx="136">
                  <c:v>0.56666666666666665</c:v>
                </c:pt>
                <c:pt idx="137">
                  <c:v>0.5708333333333333</c:v>
                </c:pt>
                <c:pt idx="138">
                  <c:v>0.57500000000000007</c:v>
                </c:pt>
                <c:pt idx="139">
                  <c:v>0.57916666666666672</c:v>
                </c:pt>
                <c:pt idx="140">
                  <c:v>0.58333333333333337</c:v>
                </c:pt>
                <c:pt idx="141">
                  <c:v>0.58750000000000002</c:v>
                </c:pt>
                <c:pt idx="142">
                  <c:v>0.59166666666666667</c:v>
                </c:pt>
                <c:pt idx="143">
                  <c:v>0.59583333333333333</c:v>
                </c:pt>
                <c:pt idx="144">
                  <c:v>0.6</c:v>
                </c:pt>
                <c:pt idx="145">
                  <c:v>0.60416666666666663</c:v>
                </c:pt>
                <c:pt idx="146">
                  <c:v>0.60833333333333328</c:v>
                </c:pt>
                <c:pt idx="147">
                  <c:v>0.61249999999999993</c:v>
                </c:pt>
                <c:pt idx="148">
                  <c:v>0.6166666666666667</c:v>
                </c:pt>
                <c:pt idx="149">
                  <c:v>0.62083333333333335</c:v>
                </c:pt>
                <c:pt idx="150">
                  <c:v>0.625</c:v>
                </c:pt>
                <c:pt idx="151">
                  <c:v>0.62916666666666665</c:v>
                </c:pt>
                <c:pt idx="152">
                  <c:v>0.6333333333333333</c:v>
                </c:pt>
                <c:pt idx="153">
                  <c:v>0.63750000000000007</c:v>
                </c:pt>
                <c:pt idx="154">
                  <c:v>0.64166666666666672</c:v>
                </c:pt>
                <c:pt idx="155">
                  <c:v>0.64583333333333337</c:v>
                </c:pt>
                <c:pt idx="156">
                  <c:v>0.65</c:v>
                </c:pt>
                <c:pt idx="157">
                  <c:v>0.65416666666666667</c:v>
                </c:pt>
                <c:pt idx="158">
                  <c:v>0.65833333333333333</c:v>
                </c:pt>
                <c:pt idx="159">
                  <c:v>0.66249999999999998</c:v>
                </c:pt>
                <c:pt idx="160">
                  <c:v>0.66666666666666663</c:v>
                </c:pt>
                <c:pt idx="161">
                  <c:v>0.67083333333333339</c:v>
                </c:pt>
                <c:pt idx="162">
                  <c:v>0.67499999999999993</c:v>
                </c:pt>
                <c:pt idx="163">
                  <c:v>0.6791666666666667</c:v>
                </c:pt>
                <c:pt idx="164">
                  <c:v>0.68333333333333324</c:v>
                </c:pt>
                <c:pt idx="165">
                  <c:v>0.6875</c:v>
                </c:pt>
                <c:pt idx="166">
                  <c:v>0.69166666666666676</c:v>
                </c:pt>
                <c:pt idx="167">
                  <c:v>0.6958333333333333</c:v>
                </c:pt>
                <c:pt idx="168">
                  <c:v>0.70000000000000007</c:v>
                </c:pt>
                <c:pt idx="169">
                  <c:v>0.70416666666666661</c:v>
                </c:pt>
                <c:pt idx="170">
                  <c:v>0.70833333333333337</c:v>
                </c:pt>
                <c:pt idx="171">
                  <c:v>0.71250000000000002</c:v>
                </c:pt>
                <c:pt idx="172">
                  <c:v>0.71666666666666667</c:v>
                </c:pt>
                <c:pt idx="173">
                  <c:v>0.72083333333333333</c:v>
                </c:pt>
                <c:pt idx="174">
                  <c:v>0.72499999999999998</c:v>
                </c:pt>
                <c:pt idx="175">
                  <c:v>0.72916666666666663</c:v>
                </c:pt>
                <c:pt idx="176">
                  <c:v>0.73333333333333339</c:v>
                </c:pt>
                <c:pt idx="177">
                  <c:v>0.73749999999999993</c:v>
                </c:pt>
                <c:pt idx="178">
                  <c:v>0.7416666666666667</c:v>
                </c:pt>
                <c:pt idx="179">
                  <c:v>0.74583333333333324</c:v>
                </c:pt>
                <c:pt idx="180">
                  <c:v>0.75</c:v>
                </c:pt>
                <c:pt idx="181">
                  <c:v>0.75416666666666676</c:v>
                </c:pt>
                <c:pt idx="182">
                  <c:v>0.7583333333333333</c:v>
                </c:pt>
                <c:pt idx="183">
                  <c:v>0.76250000000000007</c:v>
                </c:pt>
                <c:pt idx="184">
                  <c:v>0.76666666666666661</c:v>
                </c:pt>
                <c:pt idx="185">
                  <c:v>0.77083333333333337</c:v>
                </c:pt>
                <c:pt idx="186">
                  <c:v>0.77500000000000002</c:v>
                </c:pt>
                <c:pt idx="187">
                  <c:v>0.77916666666666667</c:v>
                </c:pt>
                <c:pt idx="188">
                  <c:v>0.78333333333333333</c:v>
                </c:pt>
                <c:pt idx="189">
                  <c:v>0.78749999999999998</c:v>
                </c:pt>
                <c:pt idx="190">
                  <c:v>0.79166666666666663</c:v>
                </c:pt>
                <c:pt idx="191">
                  <c:v>0.79583333333333339</c:v>
                </c:pt>
                <c:pt idx="192">
                  <c:v>0.79999999999999993</c:v>
                </c:pt>
                <c:pt idx="193">
                  <c:v>0.8041666666666667</c:v>
                </c:pt>
                <c:pt idx="194">
                  <c:v>0.80833333333333324</c:v>
                </c:pt>
                <c:pt idx="195">
                  <c:v>0.8125</c:v>
                </c:pt>
                <c:pt idx="196">
                  <c:v>0.81666666666666676</c:v>
                </c:pt>
                <c:pt idx="197">
                  <c:v>0.8208333333333333</c:v>
                </c:pt>
                <c:pt idx="198">
                  <c:v>0.82500000000000007</c:v>
                </c:pt>
                <c:pt idx="199">
                  <c:v>0.82916666666666661</c:v>
                </c:pt>
                <c:pt idx="200">
                  <c:v>0.83333333333333337</c:v>
                </c:pt>
                <c:pt idx="201">
                  <c:v>0.83750000000000002</c:v>
                </c:pt>
                <c:pt idx="202">
                  <c:v>0.84166666666666667</c:v>
                </c:pt>
                <c:pt idx="203">
                  <c:v>0.84583333333333333</c:v>
                </c:pt>
                <c:pt idx="204">
                  <c:v>0.85</c:v>
                </c:pt>
                <c:pt idx="205">
                  <c:v>0.85416666666666663</c:v>
                </c:pt>
                <c:pt idx="206">
                  <c:v>0.85833333333333339</c:v>
                </c:pt>
                <c:pt idx="207">
                  <c:v>0.86249999999999993</c:v>
                </c:pt>
                <c:pt idx="208">
                  <c:v>0.8666666666666667</c:v>
                </c:pt>
                <c:pt idx="209">
                  <c:v>0.87083333333333324</c:v>
                </c:pt>
                <c:pt idx="210">
                  <c:v>0.875</c:v>
                </c:pt>
                <c:pt idx="211">
                  <c:v>0.87916666666666676</c:v>
                </c:pt>
                <c:pt idx="212">
                  <c:v>0.8833333333333333</c:v>
                </c:pt>
                <c:pt idx="213">
                  <c:v>0.88750000000000007</c:v>
                </c:pt>
                <c:pt idx="214">
                  <c:v>0.89166666666666661</c:v>
                </c:pt>
                <c:pt idx="215">
                  <c:v>0.89583333333333337</c:v>
                </c:pt>
                <c:pt idx="216">
                  <c:v>0.9</c:v>
                </c:pt>
                <c:pt idx="217">
                  <c:v>0.90416666666666667</c:v>
                </c:pt>
                <c:pt idx="218">
                  <c:v>0.90833333333333333</c:v>
                </c:pt>
                <c:pt idx="219">
                  <c:v>0.91249999999999998</c:v>
                </c:pt>
                <c:pt idx="220">
                  <c:v>0.91666666666666663</c:v>
                </c:pt>
                <c:pt idx="221">
                  <c:v>0.92083333333333339</c:v>
                </c:pt>
                <c:pt idx="222">
                  <c:v>0.92499999999999993</c:v>
                </c:pt>
                <c:pt idx="223">
                  <c:v>0.9291666666666667</c:v>
                </c:pt>
                <c:pt idx="224">
                  <c:v>0.93333333333333324</c:v>
                </c:pt>
                <c:pt idx="225">
                  <c:v>0.9375</c:v>
                </c:pt>
                <c:pt idx="226">
                  <c:v>0.94166666666666676</c:v>
                </c:pt>
                <c:pt idx="227">
                  <c:v>0.9458333333333333</c:v>
                </c:pt>
                <c:pt idx="228">
                  <c:v>0.95000000000000007</c:v>
                </c:pt>
                <c:pt idx="229">
                  <c:v>0.95416666666666661</c:v>
                </c:pt>
                <c:pt idx="230">
                  <c:v>0.95833333333333337</c:v>
                </c:pt>
                <c:pt idx="231">
                  <c:v>0.96250000000000002</c:v>
                </c:pt>
                <c:pt idx="232">
                  <c:v>0.96666666666666667</c:v>
                </c:pt>
                <c:pt idx="233">
                  <c:v>0.97083333333333333</c:v>
                </c:pt>
                <c:pt idx="234">
                  <c:v>0.97499999999999998</c:v>
                </c:pt>
                <c:pt idx="235">
                  <c:v>0.97916666666666663</c:v>
                </c:pt>
                <c:pt idx="236">
                  <c:v>0.98333333333333339</c:v>
                </c:pt>
                <c:pt idx="237">
                  <c:v>0.98749999999999993</c:v>
                </c:pt>
                <c:pt idx="238">
                  <c:v>0.9916666666666667</c:v>
                </c:pt>
                <c:pt idx="239">
                  <c:v>0.99583333333333324</c:v>
                </c:pt>
                <c:pt idx="240">
                  <c:v>1</c:v>
                </c:pt>
              </c:numCache>
            </c:numRef>
          </c:xVal>
          <c:yVal>
            <c:numRef>
              <c:f>Precip_YHD3!$B$3:$B$243</c:f>
              <c:numCache>
                <c:formatCode>General</c:formatCode>
                <c:ptCount val="241"/>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c:v>
                </c:pt>
                <c:pt idx="76">
                  <c:v>0</c:v>
                </c:pt>
                <c:pt idx="77">
                  <c:v>0</c:v>
                </c:pt>
                <c:pt idx="78">
                  <c:v>0</c:v>
                </c:pt>
                <c:pt idx="79">
                  <c:v>0</c:v>
                </c:pt>
                <c:pt idx="80">
                  <c:v>0</c:v>
                </c:pt>
                <c:pt idx="81">
                  <c:v>0</c:v>
                </c:pt>
                <c:pt idx="82">
                  <c:v>0</c:v>
                </c:pt>
                <c:pt idx="83">
                  <c:v>0</c:v>
                </c:pt>
                <c:pt idx="84">
                  <c:v>0</c:v>
                </c:pt>
                <c:pt idx="85">
                  <c:v>0</c:v>
                </c:pt>
                <c:pt idx="86">
                  <c:v>0</c:v>
                </c:pt>
                <c:pt idx="87">
                  <c:v>0</c:v>
                </c:pt>
                <c:pt idx="88">
                  <c:v>0</c:v>
                </c:pt>
                <c:pt idx="89">
                  <c:v>0</c:v>
                </c:pt>
                <c:pt idx="90">
                  <c:v>0</c:v>
                </c:pt>
                <c:pt idx="91">
                  <c:v>0</c:v>
                </c:pt>
                <c:pt idx="92">
                  <c:v>0</c:v>
                </c:pt>
                <c:pt idx="93">
                  <c:v>0</c:v>
                </c:pt>
                <c:pt idx="94">
                  <c:v>0</c:v>
                </c:pt>
                <c:pt idx="95">
                  <c:v>0</c:v>
                </c:pt>
                <c:pt idx="96">
                  <c:v>0</c:v>
                </c:pt>
                <c:pt idx="97">
                  <c:v>0</c:v>
                </c:pt>
                <c:pt idx="98">
                  <c:v>0</c:v>
                </c:pt>
                <c:pt idx="99">
                  <c:v>0</c:v>
                </c:pt>
                <c:pt idx="100">
                  <c:v>0</c:v>
                </c:pt>
                <c:pt idx="101">
                  <c:v>0</c:v>
                </c:pt>
                <c:pt idx="102">
                  <c:v>0</c:v>
                </c:pt>
                <c:pt idx="103">
                  <c:v>0</c:v>
                </c:pt>
                <c:pt idx="104">
                  <c:v>0</c:v>
                </c:pt>
                <c:pt idx="105">
                  <c:v>0</c:v>
                </c:pt>
                <c:pt idx="106">
                  <c:v>0.01</c:v>
                </c:pt>
                <c:pt idx="107">
                  <c:v>0.01</c:v>
                </c:pt>
                <c:pt idx="108">
                  <c:v>0.01</c:v>
                </c:pt>
                <c:pt idx="109">
                  <c:v>0.01</c:v>
                </c:pt>
                <c:pt idx="110">
                  <c:v>0.01</c:v>
                </c:pt>
                <c:pt idx="111">
                  <c:v>0.01</c:v>
                </c:pt>
                <c:pt idx="112">
                  <c:v>0.01</c:v>
                </c:pt>
                <c:pt idx="113">
                  <c:v>0.01</c:v>
                </c:pt>
                <c:pt idx="114">
                  <c:v>0.02</c:v>
                </c:pt>
                <c:pt idx="115">
                  <c:v>0.02</c:v>
                </c:pt>
                <c:pt idx="116">
                  <c:v>0.04</c:v>
                </c:pt>
                <c:pt idx="117">
                  <c:v>0.04</c:v>
                </c:pt>
                <c:pt idx="118">
                  <c:v>0.05</c:v>
                </c:pt>
                <c:pt idx="119">
                  <c:v>0.04</c:v>
                </c:pt>
                <c:pt idx="120">
                  <c:v>0.11</c:v>
                </c:pt>
                <c:pt idx="121">
                  <c:v>0.23</c:v>
                </c:pt>
                <c:pt idx="122">
                  <c:v>0.08</c:v>
                </c:pt>
                <c:pt idx="123">
                  <c:v>0.05</c:v>
                </c:pt>
                <c:pt idx="124">
                  <c:v>7.0000000000000007E-2</c:v>
                </c:pt>
                <c:pt idx="125">
                  <c:v>7.0000000000000007E-2</c:v>
                </c:pt>
                <c:pt idx="126">
                  <c:v>0.04</c:v>
                </c:pt>
                <c:pt idx="127">
                  <c:v>0.04</c:v>
                </c:pt>
                <c:pt idx="128">
                  <c:v>0.03</c:v>
                </c:pt>
                <c:pt idx="129">
                  <c:v>0.03</c:v>
                </c:pt>
                <c:pt idx="130">
                  <c:v>0.03</c:v>
                </c:pt>
                <c:pt idx="131">
                  <c:v>0.02</c:v>
                </c:pt>
                <c:pt idx="132">
                  <c:v>0.02</c:v>
                </c:pt>
                <c:pt idx="133">
                  <c:v>0.02</c:v>
                </c:pt>
                <c:pt idx="134">
                  <c:v>0.02</c:v>
                </c:pt>
                <c:pt idx="135">
                  <c:v>0.02</c:v>
                </c:pt>
                <c:pt idx="136">
                  <c:v>0.01</c:v>
                </c:pt>
                <c:pt idx="137">
                  <c:v>0.01</c:v>
                </c:pt>
                <c:pt idx="138">
                  <c:v>0.01</c:v>
                </c:pt>
                <c:pt idx="139">
                  <c:v>0.01</c:v>
                </c:pt>
                <c:pt idx="140">
                  <c:v>0.01</c:v>
                </c:pt>
                <c:pt idx="141">
                  <c:v>0.01</c:v>
                </c:pt>
                <c:pt idx="142">
                  <c:v>0.01</c:v>
                </c:pt>
                <c:pt idx="143">
                  <c:v>0.01</c:v>
                </c:pt>
                <c:pt idx="144">
                  <c:v>0.01</c:v>
                </c:pt>
                <c:pt idx="145">
                  <c:v>0.01</c:v>
                </c:pt>
                <c:pt idx="146">
                  <c:v>0.01</c:v>
                </c:pt>
                <c:pt idx="147">
                  <c:v>0.01</c:v>
                </c:pt>
                <c:pt idx="148">
                  <c:v>0.01</c:v>
                </c:pt>
                <c:pt idx="149">
                  <c:v>0.01</c:v>
                </c:pt>
                <c:pt idx="150">
                  <c:v>0.01</c:v>
                </c:pt>
                <c:pt idx="151">
                  <c:v>0.01</c:v>
                </c:pt>
                <c:pt idx="152">
                  <c:v>0.01</c:v>
                </c:pt>
                <c:pt idx="153">
                  <c:v>0.01</c:v>
                </c:pt>
                <c:pt idx="154">
                  <c:v>0.01</c:v>
                </c:pt>
                <c:pt idx="155">
                  <c:v>0.01</c:v>
                </c:pt>
                <c:pt idx="156">
                  <c:v>0.01</c:v>
                </c:pt>
                <c:pt idx="157">
                  <c:v>0.01</c:v>
                </c:pt>
                <c:pt idx="158">
                  <c:v>0.01</c:v>
                </c:pt>
                <c:pt idx="159">
                  <c:v>0.01</c:v>
                </c:pt>
                <c:pt idx="160">
                  <c:v>0.01</c:v>
                </c:pt>
                <c:pt idx="161">
                  <c:v>0.01</c:v>
                </c:pt>
                <c:pt idx="162">
                  <c:v>0.01</c:v>
                </c:pt>
                <c:pt idx="163">
                  <c:v>0.01</c:v>
                </c:pt>
                <c:pt idx="164">
                  <c:v>0.01</c:v>
                </c:pt>
                <c:pt idx="165">
                  <c:v>0.01</c:v>
                </c:pt>
                <c:pt idx="166">
                  <c:v>0.01</c:v>
                </c:pt>
                <c:pt idx="167">
                  <c:v>0.01</c:v>
                </c:pt>
                <c:pt idx="168">
                  <c:v>0.01</c:v>
                </c:pt>
                <c:pt idx="169">
                  <c:v>0.01</c:v>
                </c:pt>
                <c:pt idx="170">
                  <c:v>0.01</c:v>
                </c:pt>
                <c:pt idx="171">
                  <c:v>0.01</c:v>
                </c:pt>
                <c:pt idx="172">
                  <c:v>0.01</c:v>
                </c:pt>
                <c:pt idx="173">
                  <c:v>0.01</c:v>
                </c:pt>
                <c:pt idx="174">
                  <c:v>0.01</c:v>
                </c:pt>
                <c:pt idx="175">
                  <c:v>0.01</c:v>
                </c:pt>
                <c:pt idx="176">
                  <c:v>0.01</c:v>
                </c:pt>
                <c:pt idx="177">
                  <c:v>0.01</c:v>
                </c:pt>
                <c:pt idx="178">
                  <c:v>0.01</c:v>
                </c:pt>
                <c:pt idx="179">
                  <c:v>0.01</c:v>
                </c:pt>
                <c:pt idx="180">
                  <c:v>0.01</c:v>
                </c:pt>
                <c:pt idx="181">
                  <c:v>0</c:v>
                </c:pt>
                <c:pt idx="182">
                  <c:v>0</c:v>
                </c:pt>
                <c:pt idx="183">
                  <c:v>0</c:v>
                </c:pt>
                <c:pt idx="184">
                  <c:v>0</c:v>
                </c:pt>
                <c:pt idx="185">
                  <c:v>0</c:v>
                </c:pt>
                <c:pt idx="186">
                  <c:v>0</c:v>
                </c:pt>
                <c:pt idx="187">
                  <c:v>0</c:v>
                </c:pt>
                <c:pt idx="188">
                  <c:v>0</c:v>
                </c:pt>
                <c:pt idx="189">
                  <c:v>0</c:v>
                </c:pt>
                <c:pt idx="190">
                  <c:v>0</c:v>
                </c:pt>
                <c:pt idx="191">
                  <c:v>0</c:v>
                </c:pt>
                <c:pt idx="192">
                  <c:v>0</c:v>
                </c:pt>
                <c:pt idx="193">
                  <c:v>0</c:v>
                </c:pt>
                <c:pt idx="194">
                  <c:v>0</c:v>
                </c:pt>
                <c:pt idx="195">
                  <c:v>0</c:v>
                </c:pt>
                <c:pt idx="196">
                  <c:v>0</c:v>
                </c:pt>
                <c:pt idx="197">
                  <c:v>0</c:v>
                </c:pt>
                <c:pt idx="198">
                  <c:v>0</c:v>
                </c:pt>
                <c:pt idx="199">
                  <c:v>0</c:v>
                </c:pt>
                <c:pt idx="200">
                  <c:v>0</c:v>
                </c:pt>
                <c:pt idx="201">
                  <c:v>0</c:v>
                </c:pt>
                <c:pt idx="202">
                  <c:v>0</c:v>
                </c:pt>
                <c:pt idx="203">
                  <c:v>0</c:v>
                </c:pt>
                <c:pt idx="204">
                  <c:v>0</c:v>
                </c:pt>
                <c:pt idx="205">
                  <c:v>0</c:v>
                </c:pt>
                <c:pt idx="206">
                  <c:v>0</c:v>
                </c:pt>
                <c:pt idx="207">
                  <c:v>0</c:v>
                </c:pt>
                <c:pt idx="208">
                  <c:v>0</c:v>
                </c:pt>
                <c:pt idx="209">
                  <c:v>0</c:v>
                </c:pt>
                <c:pt idx="210">
                  <c:v>0</c:v>
                </c:pt>
                <c:pt idx="211">
                  <c:v>0</c:v>
                </c:pt>
                <c:pt idx="212">
                  <c:v>0</c:v>
                </c:pt>
                <c:pt idx="213">
                  <c:v>0</c:v>
                </c:pt>
                <c:pt idx="214">
                  <c:v>0</c:v>
                </c:pt>
                <c:pt idx="215">
                  <c:v>0</c:v>
                </c:pt>
                <c:pt idx="216">
                  <c:v>0</c:v>
                </c:pt>
                <c:pt idx="217">
                  <c:v>0</c:v>
                </c:pt>
                <c:pt idx="218">
                  <c:v>0</c:v>
                </c:pt>
                <c:pt idx="219">
                  <c:v>0</c:v>
                </c:pt>
                <c:pt idx="220">
                  <c:v>0</c:v>
                </c:pt>
                <c:pt idx="221">
                  <c:v>0</c:v>
                </c:pt>
                <c:pt idx="222">
                  <c:v>0</c:v>
                </c:pt>
                <c:pt idx="223">
                  <c:v>0</c:v>
                </c:pt>
                <c:pt idx="224">
                  <c:v>0</c:v>
                </c:pt>
                <c:pt idx="225">
                  <c:v>0</c:v>
                </c:pt>
                <c:pt idx="226">
                  <c:v>0</c:v>
                </c:pt>
                <c:pt idx="227">
                  <c:v>0</c:v>
                </c:pt>
                <c:pt idx="228">
                  <c:v>0</c:v>
                </c:pt>
                <c:pt idx="229">
                  <c:v>0</c:v>
                </c:pt>
                <c:pt idx="230">
                  <c:v>0</c:v>
                </c:pt>
                <c:pt idx="231">
                  <c:v>0</c:v>
                </c:pt>
                <c:pt idx="232">
                  <c:v>0</c:v>
                </c:pt>
                <c:pt idx="233">
                  <c:v>0</c:v>
                </c:pt>
                <c:pt idx="234">
                  <c:v>0</c:v>
                </c:pt>
                <c:pt idx="235">
                  <c:v>0</c:v>
                </c:pt>
                <c:pt idx="236">
                  <c:v>0</c:v>
                </c:pt>
                <c:pt idx="237">
                  <c:v>0</c:v>
                </c:pt>
                <c:pt idx="238">
                  <c:v>0</c:v>
                </c:pt>
                <c:pt idx="239">
                  <c:v>0</c:v>
                </c:pt>
                <c:pt idx="240">
                  <c:v>0</c:v>
                </c:pt>
              </c:numCache>
            </c:numRef>
          </c:yVal>
          <c:smooth val="1"/>
          <c:extLst xmlns:c16r2="http://schemas.microsoft.com/office/drawing/2015/06/chart">
            <c:ext xmlns:c16="http://schemas.microsoft.com/office/drawing/2014/chart" uri="{C3380CC4-5D6E-409C-BE32-E72D297353CC}">
              <c16:uniqueId val="{00000004-CCEA-4C07-A470-965A6609C101}"/>
            </c:ext>
          </c:extLst>
        </c:ser>
        <c:ser>
          <c:idx val="6"/>
          <c:order val="6"/>
          <c:tx>
            <c:v>1 Percent Minus Annual Chance</c:v>
          </c:tx>
          <c:marker>
            <c:symbol val="none"/>
          </c:marker>
          <c:xVal>
            <c:strRef>
              <c:f>Precip_YHD3!$B$3:$B$243</c:f>
              <c:strCache>
                <c:ptCount val="241"/>
                <c:pt idx="0">
                  <c:v> </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c:v>
                </c:pt>
                <c:pt idx="76">
                  <c:v>0</c:v>
                </c:pt>
                <c:pt idx="77">
                  <c:v>0</c:v>
                </c:pt>
                <c:pt idx="78">
                  <c:v>0</c:v>
                </c:pt>
                <c:pt idx="79">
                  <c:v>0</c:v>
                </c:pt>
                <c:pt idx="80">
                  <c:v>0</c:v>
                </c:pt>
                <c:pt idx="81">
                  <c:v>0</c:v>
                </c:pt>
                <c:pt idx="82">
                  <c:v>0</c:v>
                </c:pt>
                <c:pt idx="83">
                  <c:v>0</c:v>
                </c:pt>
                <c:pt idx="84">
                  <c:v>0</c:v>
                </c:pt>
                <c:pt idx="85">
                  <c:v>0</c:v>
                </c:pt>
                <c:pt idx="86">
                  <c:v>0</c:v>
                </c:pt>
                <c:pt idx="87">
                  <c:v>0</c:v>
                </c:pt>
                <c:pt idx="88">
                  <c:v>0</c:v>
                </c:pt>
                <c:pt idx="89">
                  <c:v>0</c:v>
                </c:pt>
                <c:pt idx="90">
                  <c:v>0</c:v>
                </c:pt>
                <c:pt idx="91">
                  <c:v>0</c:v>
                </c:pt>
                <c:pt idx="92">
                  <c:v>0</c:v>
                </c:pt>
                <c:pt idx="93">
                  <c:v>0</c:v>
                </c:pt>
                <c:pt idx="94">
                  <c:v>0</c:v>
                </c:pt>
                <c:pt idx="95">
                  <c:v>0</c:v>
                </c:pt>
                <c:pt idx="96">
                  <c:v>0</c:v>
                </c:pt>
                <c:pt idx="97">
                  <c:v>0</c:v>
                </c:pt>
                <c:pt idx="98">
                  <c:v>0</c:v>
                </c:pt>
                <c:pt idx="99">
                  <c:v>0</c:v>
                </c:pt>
                <c:pt idx="100">
                  <c:v>0</c:v>
                </c:pt>
                <c:pt idx="101">
                  <c:v>0</c:v>
                </c:pt>
                <c:pt idx="102">
                  <c:v>0</c:v>
                </c:pt>
                <c:pt idx="103">
                  <c:v>0</c:v>
                </c:pt>
                <c:pt idx="104">
                  <c:v>0</c:v>
                </c:pt>
                <c:pt idx="105">
                  <c:v>0</c:v>
                </c:pt>
                <c:pt idx="106">
                  <c:v>0.01</c:v>
                </c:pt>
                <c:pt idx="107">
                  <c:v>0.01</c:v>
                </c:pt>
                <c:pt idx="108">
                  <c:v>0.01</c:v>
                </c:pt>
                <c:pt idx="109">
                  <c:v>0.01</c:v>
                </c:pt>
                <c:pt idx="110">
                  <c:v>0.01</c:v>
                </c:pt>
                <c:pt idx="111">
                  <c:v>0.01</c:v>
                </c:pt>
                <c:pt idx="112">
                  <c:v>0.01</c:v>
                </c:pt>
                <c:pt idx="113">
                  <c:v>0.01</c:v>
                </c:pt>
                <c:pt idx="114">
                  <c:v>0.02</c:v>
                </c:pt>
                <c:pt idx="115">
                  <c:v>0.02</c:v>
                </c:pt>
                <c:pt idx="116">
                  <c:v>0.04</c:v>
                </c:pt>
                <c:pt idx="117">
                  <c:v>0.04</c:v>
                </c:pt>
                <c:pt idx="118">
                  <c:v>0.05</c:v>
                </c:pt>
                <c:pt idx="119">
                  <c:v>0.04</c:v>
                </c:pt>
                <c:pt idx="120">
                  <c:v>0.11</c:v>
                </c:pt>
                <c:pt idx="121">
                  <c:v>0.23</c:v>
                </c:pt>
                <c:pt idx="122">
                  <c:v>0.08</c:v>
                </c:pt>
                <c:pt idx="123">
                  <c:v>0.05</c:v>
                </c:pt>
                <c:pt idx="124">
                  <c:v>0.07</c:v>
                </c:pt>
                <c:pt idx="125">
                  <c:v>0.07</c:v>
                </c:pt>
                <c:pt idx="126">
                  <c:v>0.04</c:v>
                </c:pt>
                <c:pt idx="127">
                  <c:v>0.04</c:v>
                </c:pt>
                <c:pt idx="128">
                  <c:v>0.03</c:v>
                </c:pt>
                <c:pt idx="129">
                  <c:v>0.03</c:v>
                </c:pt>
                <c:pt idx="130">
                  <c:v>0.03</c:v>
                </c:pt>
                <c:pt idx="131">
                  <c:v>0.02</c:v>
                </c:pt>
                <c:pt idx="132">
                  <c:v>0.02</c:v>
                </c:pt>
                <c:pt idx="133">
                  <c:v>0.02</c:v>
                </c:pt>
                <c:pt idx="134">
                  <c:v>0.02</c:v>
                </c:pt>
                <c:pt idx="135">
                  <c:v>0.02</c:v>
                </c:pt>
                <c:pt idx="136">
                  <c:v>0.01</c:v>
                </c:pt>
                <c:pt idx="137">
                  <c:v>0.01</c:v>
                </c:pt>
                <c:pt idx="138">
                  <c:v>0.01</c:v>
                </c:pt>
                <c:pt idx="139">
                  <c:v>0.01</c:v>
                </c:pt>
                <c:pt idx="140">
                  <c:v>0.01</c:v>
                </c:pt>
                <c:pt idx="141">
                  <c:v>0.01</c:v>
                </c:pt>
                <c:pt idx="142">
                  <c:v>0.01</c:v>
                </c:pt>
                <c:pt idx="143">
                  <c:v>0.01</c:v>
                </c:pt>
                <c:pt idx="144">
                  <c:v>0.01</c:v>
                </c:pt>
                <c:pt idx="145">
                  <c:v>0.01</c:v>
                </c:pt>
                <c:pt idx="146">
                  <c:v>0.01</c:v>
                </c:pt>
                <c:pt idx="147">
                  <c:v>0.01</c:v>
                </c:pt>
                <c:pt idx="148">
                  <c:v>0.01</c:v>
                </c:pt>
                <c:pt idx="149">
                  <c:v>0.01</c:v>
                </c:pt>
                <c:pt idx="150">
                  <c:v>0.01</c:v>
                </c:pt>
                <c:pt idx="151">
                  <c:v>0.01</c:v>
                </c:pt>
                <c:pt idx="152">
                  <c:v>0.01</c:v>
                </c:pt>
                <c:pt idx="153">
                  <c:v>0.01</c:v>
                </c:pt>
                <c:pt idx="154">
                  <c:v>0.01</c:v>
                </c:pt>
                <c:pt idx="155">
                  <c:v>0.01</c:v>
                </c:pt>
                <c:pt idx="156">
                  <c:v>0.01</c:v>
                </c:pt>
                <c:pt idx="157">
                  <c:v>0.01</c:v>
                </c:pt>
                <c:pt idx="158">
                  <c:v>0.01</c:v>
                </c:pt>
                <c:pt idx="159">
                  <c:v>0.01</c:v>
                </c:pt>
                <c:pt idx="160">
                  <c:v>0.01</c:v>
                </c:pt>
                <c:pt idx="161">
                  <c:v>0.01</c:v>
                </c:pt>
                <c:pt idx="162">
                  <c:v>0.01</c:v>
                </c:pt>
                <c:pt idx="163">
                  <c:v>0.01</c:v>
                </c:pt>
                <c:pt idx="164">
                  <c:v>0.01</c:v>
                </c:pt>
                <c:pt idx="165">
                  <c:v>0.01</c:v>
                </c:pt>
                <c:pt idx="166">
                  <c:v>0.01</c:v>
                </c:pt>
                <c:pt idx="167">
                  <c:v>0.01</c:v>
                </c:pt>
                <c:pt idx="168">
                  <c:v>0.01</c:v>
                </c:pt>
                <c:pt idx="169">
                  <c:v>0.01</c:v>
                </c:pt>
                <c:pt idx="170">
                  <c:v>0.01</c:v>
                </c:pt>
                <c:pt idx="171">
                  <c:v>0.01</c:v>
                </c:pt>
                <c:pt idx="172">
                  <c:v>0.01</c:v>
                </c:pt>
                <c:pt idx="173">
                  <c:v>0.01</c:v>
                </c:pt>
                <c:pt idx="174">
                  <c:v>0.01</c:v>
                </c:pt>
                <c:pt idx="175">
                  <c:v>0.01</c:v>
                </c:pt>
                <c:pt idx="176">
                  <c:v>0.01</c:v>
                </c:pt>
                <c:pt idx="177">
                  <c:v>0.01</c:v>
                </c:pt>
                <c:pt idx="178">
                  <c:v>0.01</c:v>
                </c:pt>
                <c:pt idx="179">
                  <c:v>0.01</c:v>
                </c:pt>
                <c:pt idx="180">
                  <c:v>0.01</c:v>
                </c:pt>
                <c:pt idx="181">
                  <c:v>0</c:v>
                </c:pt>
                <c:pt idx="182">
                  <c:v>0</c:v>
                </c:pt>
                <c:pt idx="183">
                  <c:v>0</c:v>
                </c:pt>
                <c:pt idx="184">
                  <c:v>0</c:v>
                </c:pt>
                <c:pt idx="185">
                  <c:v>0</c:v>
                </c:pt>
                <c:pt idx="186">
                  <c:v>0</c:v>
                </c:pt>
                <c:pt idx="187">
                  <c:v>0</c:v>
                </c:pt>
                <c:pt idx="188">
                  <c:v>0</c:v>
                </c:pt>
                <c:pt idx="189">
                  <c:v>0</c:v>
                </c:pt>
                <c:pt idx="190">
                  <c:v>0</c:v>
                </c:pt>
                <c:pt idx="191">
                  <c:v>0</c:v>
                </c:pt>
                <c:pt idx="192">
                  <c:v>0</c:v>
                </c:pt>
                <c:pt idx="193">
                  <c:v>0</c:v>
                </c:pt>
                <c:pt idx="194">
                  <c:v>0</c:v>
                </c:pt>
                <c:pt idx="195">
                  <c:v>0</c:v>
                </c:pt>
                <c:pt idx="196">
                  <c:v>0</c:v>
                </c:pt>
                <c:pt idx="197">
                  <c:v>0</c:v>
                </c:pt>
                <c:pt idx="198">
                  <c:v>0</c:v>
                </c:pt>
                <c:pt idx="199">
                  <c:v>0</c:v>
                </c:pt>
                <c:pt idx="200">
                  <c:v>0</c:v>
                </c:pt>
                <c:pt idx="201">
                  <c:v>0</c:v>
                </c:pt>
                <c:pt idx="202">
                  <c:v>0</c:v>
                </c:pt>
                <c:pt idx="203">
                  <c:v>0</c:v>
                </c:pt>
                <c:pt idx="204">
                  <c:v>0</c:v>
                </c:pt>
                <c:pt idx="205">
                  <c:v>0</c:v>
                </c:pt>
                <c:pt idx="206">
                  <c:v>0</c:v>
                </c:pt>
                <c:pt idx="207">
                  <c:v>0</c:v>
                </c:pt>
                <c:pt idx="208">
                  <c:v>0</c:v>
                </c:pt>
                <c:pt idx="209">
                  <c:v>0</c:v>
                </c:pt>
                <c:pt idx="210">
                  <c:v>0</c:v>
                </c:pt>
                <c:pt idx="211">
                  <c:v>0</c:v>
                </c:pt>
                <c:pt idx="212">
                  <c:v>0</c:v>
                </c:pt>
                <c:pt idx="213">
                  <c:v>0</c:v>
                </c:pt>
                <c:pt idx="214">
                  <c:v>0</c:v>
                </c:pt>
                <c:pt idx="215">
                  <c:v>0</c:v>
                </c:pt>
                <c:pt idx="216">
                  <c:v>0</c:v>
                </c:pt>
                <c:pt idx="217">
                  <c:v>0</c:v>
                </c:pt>
                <c:pt idx="218">
                  <c:v>0</c:v>
                </c:pt>
                <c:pt idx="219">
                  <c:v>0</c:v>
                </c:pt>
                <c:pt idx="220">
                  <c:v>0</c:v>
                </c:pt>
                <c:pt idx="221">
                  <c:v>0</c:v>
                </c:pt>
                <c:pt idx="222">
                  <c:v>0</c:v>
                </c:pt>
                <c:pt idx="223">
                  <c:v>0</c:v>
                </c:pt>
                <c:pt idx="224">
                  <c:v>0</c:v>
                </c:pt>
                <c:pt idx="225">
                  <c:v>0</c:v>
                </c:pt>
                <c:pt idx="226">
                  <c:v>0</c:v>
                </c:pt>
                <c:pt idx="227">
                  <c:v>0</c:v>
                </c:pt>
                <c:pt idx="228">
                  <c:v>0</c:v>
                </c:pt>
                <c:pt idx="229">
                  <c:v>0</c:v>
                </c:pt>
                <c:pt idx="230">
                  <c:v>0</c:v>
                </c:pt>
                <c:pt idx="231">
                  <c:v>0</c:v>
                </c:pt>
                <c:pt idx="232">
                  <c:v>0</c:v>
                </c:pt>
                <c:pt idx="233">
                  <c:v>0</c:v>
                </c:pt>
                <c:pt idx="234">
                  <c:v>0</c:v>
                </c:pt>
                <c:pt idx="235">
                  <c:v>0</c:v>
                </c:pt>
                <c:pt idx="236">
                  <c:v>0</c:v>
                </c:pt>
                <c:pt idx="237">
                  <c:v>0</c:v>
                </c:pt>
                <c:pt idx="238">
                  <c:v>0</c:v>
                </c:pt>
                <c:pt idx="239">
                  <c:v>0</c:v>
                </c:pt>
                <c:pt idx="240">
                  <c:v>0</c:v>
                </c:pt>
              </c:strCache>
            </c:strRef>
          </c:xVal>
          <c:yVal>
            <c:numRef>
              <c:f>Precip_YHD3!$H$3:$H$243</c:f>
              <c:numCache>
                <c:formatCode>General</c:formatCode>
                <c:ptCount val="241"/>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c:v>
                </c:pt>
                <c:pt idx="76">
                  <c:v>0</c:v>
                </c:pt>
                <c:pt idx="77">
                  <c:v>0</c:v>
                </c:pt>
                <c:pt idx="78">
                  <c:v>0</c:v>
                </c:pt>
                <c:pt idx="79">
                  <c:v>0</c:v>
                </c:pt>
                <c:pt idx="80">
                  <c:v>0</c:v>
                </c:pt>
                <c:pt idx="81">
                  <c:v>0</c:v>
                </c:pt>
                <c:pt idx="82">
                  <c:v>0</c:v>
                </c:pt>
                <c:pt idx="83">
                  <c:v>0</c:v>
                </c:pt>
                <c:pt idx="84">
                  <c:v>0</c:v>
                </c:pt>
                <c:pt idx="85">
                  <c:v>0</c:v>
                </c:pt>
                <c:pt idx="86">
                  <c:v>0</c:v>
                </c:pt>
                <c:pt idx="87">
                  <c:v>0</c:v>
                </c:pt>
                <c:pt idx="88">
                  <c:v>0</c:v>
                </c:pt>
                <c:pt idx="89">
                  <c:v>0</c:v>
                </c:pt>
                <c:pt idx="90">
                  <c:v>0</c:v>
                </c:pt>
                <c:pt idx="91">
                  <c:v>0</c:v>
                </c:pt>
                <c:pt idx="92">
                  <c:v>0</c:v>
                </c:pt>
                <c:pt idx="93">
                  <c:v>0</c:v>
                </c:pt>
                <c:pt idx="94">
                  <c:v>0</c:v>
                </c:pt>
                <c:pt idx="95">
                  <c:v>0</c:v>
                </c:pt>
                <c:pt idx="96">
                  <c:v>0</c:v>
                </c:pt>
                <c:pt idx="97">
                  <c:v>0</c:v>
                </c:pt>
                <c:pt idx="98">
                  <c:v>0</c:v>
                </c:pt>
                <c:pt idx="99">
                  <c:v>0</c:v>
                </c:pt>
                <c:pt idx="100">
                  <c:v>0</c:v>
                </c:pt>
                <c:pt idx="101">
                  <c:v>0</c:v>
                </c:pt>
                <c:pt idx="102">
                  <c:v>0</c:v>
                </c:pt>
                <c:pt idx="103">
                  <c:v>0</c:v>
                </c:pt>
                <c:pt idx="104">
                  <c:v>0</c:v>
                </c:pt>
                <c:pt idx="105">
                  <c:v>0</c:v>
                </c:pt>
                <c:pt idx="106">
                  <c:v>0</c:v>
                </c:pt>
                <c:pt idx="107">
                  <c:v>0</c:v>
                </c:pt>
                <c:pt idx="108">
                  <c:v>0</c:v>
                </c:pt>
                <c:pt idx="109">
                  <c:v>0</c:v>
                </c:pt>
                <c:pt idx="110">
                  <c:v>0</c:v>
                </c:pt>
                <c:pt idx="111">
                  <c:v>0</c:v>
                </c:pt>
                <c:pt idx="112">
                  <c:v>0.01</c:v>
                </c:pt>
                <c:pt idx="113">
                  <c:v>0.01</c:v>
                </c:pt>
                <c:pt idx="114">
                  <c:v>0.01</c:v>
                </c:pt>
                <c:pt idx="115">
                  <c:v>0.01</c:v>
                </c:pt>
                <c:pt idx="116">
                  <c:v>0.02</c:v>
                </c:pt>
                <c:pt idx="117">
                  <c:v>0.03</c:v>
                </c:pt>
                <c:pt idx="118">
                  <c:v>0.04</c:v>
                </c:pt>
                <c:pt idx="119">
                  <c:v>0.04</c:v>
                </c:pt>
                <c:pt idx="120">
                  <c:v>0.09</c:v>
                </c:pt>
                <c:pt idx="121">
                  <c:v>0.21</c:v>
                </c:pt>
                <c:pt idx="122">
                  <c:v>0.08</c:v>
                </c:pt>
                <c:pt idx="123">
                  <c:v>0.05</c:v>
                </c:pt>
                <c:pt idx="124">
                  <c:v>7.0000000000000007E-2</c:v>
                </c:pt>
                <c:pt idx="125">
                  <c:v>7.0000000000000007E-2</c:v>
                </c:pt>
                <c:pt idx="126">
                  <c:v>0.04</c:v>
                </c:pt>
                <c:pt idx="127">
                  <c:v>0.03</c:v>
                </c:pt>
                <c:pt idx="128">
                  <c:v>0.03</c:v>
                </c:pt>
                <c:pt idx="129">
                  <c:v>0.03</c:v>
                </c:pt>
                <c:pt idx="130">
                  <c:v>0.03</c:v>
                </c:pt>
                <c:pt idx="131">
                  <c:v>0.02</c:v>
                </c:pt>
                <c:pt idx="132">
                  <c:v>0.02</c:v>
                </c:pt>
                <c:pt idx="133">
                  <c:v>0.02</c:v>
                </c:pt>
                <c:pt idx="134">
                  <c:v>0.02</c:v>
                </c:pt>
                <c:pt idx="135">
                  <c:v>0.02</c:v>
                </c:pt>
                <c:pt idx="136">
                  <c:v>0.01</c:v>
                </c:pt>
                <c:pt idx="137">
                  <c:v>0.01</c:v>
                </c:pt>
                <c:pt idx="138">
                  <c:v>0.01</c:v>
                </c:pt>
                <c:pt idx="139">
                  <c:v>0.01</c:v>
                </c:pt>
                <c:pt idx="140">
                  <c:v>0.01</c:v>
                </c:pt>
                <c:pt idx="141">
                  <c:v>0.01</c:v>
                </c:pt>
                <c:pt idx="142">
                  <c:v>0.01</c:v>
                </c:pt>
                <c:pt idx="143">
                  <c:v>0.01</c:v>
                </c:pt>
                <c:pt idx="144">
                  <c:v>0.01</c:v>
                </c:pt>
                <c:pt idx="145">
                  <c:v>0.01</c:v>
                </c:pt>
                <c:pt idx="146">
                  <c:v>0.01</c:v>
                </c:pt>
                <c:pt idx="147">
                  <c:v>0.01</c:v>
                </c:pt>
                <c:pt idx="148">
                  <c:v>0.01</c:v>
                </c:pt>
                <c:pt idx="149">
                  <c:v>0.01</c:v>
                </c:pt>
                <c:pt idx="150">
                  <c:v>0.01</c:v>
                </c:pt>
                <c:pt idx="151">
                  <c:v>0.01</c:v>
                </c:pt>
                <c:pt idx="152">
                  <c:v>0.01</c:v>
                </c:pt>
                <c:pt idx="153">
                  <c:v>0.01</c:v>
                </c:pt>
                <c:pt idx="154">
                  <c:v>0.01</c:v>
                </c:pt>
                <c:pt idx="155">
                  <c:v>0.01</c:v>
                </c:pt>
                <c:pt idx="156">
                  <c:v>0.01</c:v>
                </c:pt>
                <c:pt idx="157">
                  <c:v>0.01</c:v>
                </c:pt>
                <c:pt idx="158">
                  <c:v>0.01</c:v>
                </c:pt>
                <c:pt idx="159">
                  <c:v>0.01</c:v>
                </c:pt>
                <c:pt idx="160">
                  <c:v>0.01</c:v>
                </c:pt>
                <c:pt idx="161">
                  <c:v>0.01</c:v>
                </c:pt>
                <c:pt idx="162">
                  <c:v>0.01</c:v>
                </c:pt>
                <c:pt idx="163">
                  <c:v>0.01</c:v>
                </c:pt>
                <c:pt idx="164">
                  <c:v>0.01</c:v>
                </c:pt>
                <c:pt idx="165">
                  <c:v>0.01</c:v>
                </c:pt>
                <c:pt idx="166">
                  <c:v>0.01</c:v>
                </c:pt>
                <c:pt idx="167">
                  <c:v>0.01</c:v>
                </c:pt>
                <c:pt idx="168">
                  <c:v>0.01</c:v>
                </c:pt>
                <c:pt idx="169">
                  <c:v>0.01</c:v>
                </c:pt>
                <c:pt idx="170">
                  <c:v>0.01</c:v>
                </c:pt>
                <c:pt idx="171">
                  <c:v>0.01</c:v>
                </c:pt>
                <c:pt idx="172">
                  <c:v>0.01</c:v>
                </c:pt>
                <c:pt idx="173">
                  <c:v>0.01</c:v>
                </c:pt>
                <c:pt idx="174">
                  <c:v>0.01</c:v>
                </c:pt>
                <c:pt idx="175">
                  <c:v>0.01</c:v>
                </c:pt>
                <c:pt idx="176">
                  <c:v>0.01</c:v>
                </c:pt>
                <c:pt idx="177">
                  <c:v>0.01</c:v>
                </c:pt>
                <c:pt idx="178">
                  <c:v>0.01</c:v>
                </c:pt>
                <c:pt idx="179">
                  <c:v>0.01</c:v>
                </c:pt>
                <c:pt idx="180">
                  <c:v>0.01</c:v>
                </c:pt>
                <c:pt idx="181">
                  <c:v>0.01</c:v>
                </c:pt>
                <c:pt idx="182">
                  <c:v>0.01</c:v>
                </c:pt>
                <c:pt idx="183">
                  <c:v>0.01</c:v>
                </c:pt>
                <c:pt idx="184">
                  <c:v>0.01</c:v>
                </c:pt>
                <c:pt idx="185">
                  <c:v>0.01</c:v>
                </c:pt>
                <c:pt idx="186">
                  <c:v>0.01</c:v>
                </c:pt>
                <c:pt idx="187">
                  <c:v>0</c:v>
                </c:pt>
                <c:pt idx="188">
                  <c:v>0</c:v>
                </c:pt>
                <c:pt idx="189">
                  <c:v>0</c:v>
                </c:pt>
                <c:pt idx="190">
                  <c:v>0</c:v>
                </c:pt>
                <c:pt idx="191">
                  <c:v>0</c:v>
                </c:pt>
                <c:pt idx="192">
                  <c:v>0</c:v>
                </c:pt>
                <c:pt idx="193">
                  <c:v>0</c:v>
                </c:pt>
                <c:pt idx="194">
                  <c:v>0</c:v>
                </c:pt>
                <c:pt idx="195">
                  <c:v>0</c:v>
                </c:pt>
                <c:pt idx="196">
                  <c:v>0</c:v>
                </c:pt>
                <c:pt idx="197">
                  <c:v>0</c:v>
                </c:pt>
                <c:pt idx="198">
                  <c:v>0</c:v>
                </c:pt>
                <c:pt idx="199">
                  <c:v>0</c:v>
                </c:pt>
                <c:pt idx="200">
                  <c:v>0</c:v>
                </c:pt>
                <c:pt idx="201">
                  <c:v>0</c:v>
                </c:pt>
                <c:pt idx="202">
                  <c:v>0</c:v>
                </c:pt>
                <c:pt idx="203">
                  <c:v>0</c:v>
                </c:pt>
                <c:pt idx="204">
                  <c:v>0</c:v>
                </c:pt>
                <c:pt idx="205">
                  <c:v>0</c:v>
                </c:pt>
                <c:pt idx="206">
                  <c:v>0</c:v>
                </c:pt>
                <c:pt idx="207">
                  <c:v>0</c:v>
                </c:pt>
                <c:pt idx="208">
                  <c:v>0</c:v>
                </c:pt>
                <c:pt idx="209">
                  <c:v>0</c:v>
                </c:pt>
                <c:pt idx="210">
                  <c:v>0</c:v>
                </c:pt>
                <c:pt idx="211">
                  <c:v>0</c:v>
                </c:pt>
                <c:pt idx="212">
                  <c:v>0</c:v>
                </c:pt>
                <c:pt idx="213">
                  <c:v>0</c:v>
                </c:pt>
                <c:pt idx="214">
                  <c:v>0</c:v>
                </c:pt>
                <c:pt idx="215">
                  <c:v>0</c:v>
                </c:pt>
                <c:pt idx="216">
                  <c:v>0</c:v>
                </c:pt>
                <c:pt idx="217">
                  <c:v>0</c:v>
                </c:pt>
                <c:pt idx="218">
                  <c:v>0</c:v>
                </c:pt>
                <c:pt idx="219">
                  <c:v>0</c:v>
                </c:pt>
                <c:pt idx="220">
                  <c:v>0</c:v>
                </c:pt>
                <c:pt idx="221">
                  <c:v>0</c:v>
                </c:pt>
                <c:pt idx="222">
                  <c:v>0</c:v>
                </c:pt>
                <c:pt idx="223">
                  <c:v>0</c:v>
                </c:pt>
                <c:pt idx="224">
                  <c:v>0</c:v>
                </c:pt>
                <c:pt idx="225">
                  <c:v>0</c:v>
                </c:pt>
                <c:pt idx="226">
                  <c:v>0</c:v>
                </c:pt>
                <c:pt idx="227">
                  <c:v>0</c:v>
                </c:pt>
                <c:pt idx="228">
                  <c:v>0</c:v>
                </c:pt>
                <c:pt idx="229">
                  <c:v>0</c:v>
                </c:pt>
                <c:pt idx="230">
                  <c:v>0</c:v>
                </c:pt>
                <c:pt idx="231">
                  <c:v>0</c:v>
                </c:pt>
                <c:pt idx="232">
                  <c:v>0</c:v>
                </c:pt>
                <c:pt idx="233">
                  <c:v>0</c:v>
                </c:pt>
                <c:pt idx="234">
                  <c:v>0</c:v>
                </c:pt>
                <c:pt idx="235">
                  <c:v>0</c:v>
                </c:pt>
                <c:pt idx="236">
                  <c:v>0</c:v>
                </c:pt>
                <c:pt idx="237">
                  <c:v>0</c:v>
                </c:pt>
                <c:pt idx="238">
                  <c:v>0</c:v>
                </c:pt>
                <c:pt idx="239">
                  <c:v>0</c:v>
                </c:pt>
                <c:pt idx="240">
                  <c:v>0</c:v>
                </c:pt>
              </c:numCache>
            </c:numRef>
          </c:yVal>
          <c:smooth val="1"/>
          <c:extLst xmlns:c16r2="http://schemas.microsoft.com/office/drawing/2015/06/chart">
            <c:ext xmlns:c16="http://schemas.microsoft.com/office/drawing/2014/chart" uri="{C3380CC4-5D6E-409C-BE32-E72D297353CC}">
              <c16:uniqueId val="{00000006-CCEA-4C07-A470-965A6609C101}"/>
            </c:ext>
          </c:extLst>
        </c:ser>
        <c:dLbls>
          <c:showLegendKey val="0"/>
          <c:showVal val="0"/>
          <c:showCatName val="0"/>
          <c:showSerName val="0"/>
          <c:showPercent val="0"/>
          <c:showBubbleSize val="0"/>
        </c:dLbls>
        <c:axId val="126241408"/>
        <c:axId val="126255872"/>
      </c:scatterChart>
      <c:valAx>
        <c:axId val="126241408"/>
        <c:scaling>
          <c:orientation val="minMax"/>
          <c:max val="1"/>
        </c:scaling>
        <c:delete val="0"/>
        <c:axPos val="b"/>
        <c:title>
          <c:tx>
            <c:rich>
              <a:bodyPr/>
              <a:lstStyle/>
              <a:p>
                <a:pPr>
                  <a:defRPr/>
                </a:pPr>
                <a:r>
                  <a:rPr lang="en-US"/>
                  <a:t>Time (hours)</a:t>
                </a:r>
              </a:p>
            </c:rich>
          </c:tx>
          <c:layout/>
          <c:overlay val="0"/>
        </c:title>
        <c:numFmt formatCode="h:mm;@" sourceLinked="0"/>
        <c:majorTickMark val="out"/>
        <c:minorTickMark val="none"/>
        <c:tickLblPos val="nextTo"/>
        <c:crossAx val="126255872"/>
        <c:crosses val="autoZero"/>
        <c:crossBetween val="midCat"/>
        <c:majorUnit val="0.1"/>
        <c:minorUnit val="2.0000000000000004E-2"/>
      </c:valAx>
      <c:valAx>
        <c:axId val="126255872"/>
        <c:scaling>
          <c:orientation val="minMax"/>
          <c:min val="0"/>
        </c:scaling>
        <c:delete val="0"/>
        <c:axPos val="l"/>
        <c:majorGridlines/>
        <c:title>
          <c:tx>
            <c:rich>
              <a:bodyPr rot="-5400000" vert="horz"/>
              <a:lstStyle/>
              <a:p>
                <a:pPr>
                  <a:defRPr/>
                </a:pPr>
                <a:r>
                  <a:rPr lang="en-US"/>
                  <a:t>Incremental Precipitation</a:t>
                </a:r>
                <a:r>
                  <a:rPr lang="en-US" baseline="0"/>
                  <a:t> (in)</a:t>
                </a:r>
                <a:endParaRPr lang="en-US"/>
              </a:p>
            </c:rich>
          </c:tx>
          <c:layout>
            <c:manualLayout>
              <c:xMode val="edge"/>
              <c:yMode val="edge"/>
              <c:x val="1.0469011725293133E-2"/>
              <c:y val="0.28479270523922046"/>
            </c:manualLayout>
          </c:layout>
          <c:overlay val="0"/>
        </c:title>
        <c:numFmt formatCode="#,##0.00" sourceLinked="0"/>
        <c:majorTickMark val="out"/>
        <c:minorTickMark val="none"/>
        <c:tickLblPos val="nextTo"/>
        <c:crossAx val="126241408"/>
        <c:crosses val="autoZero"/>
        <c:crossBetween val="midCat"/>
      </c:valAx>
      <c:spPr>
        <a:ln>
          <a:solidFill>
            <a:schemeClr val="tx1"/>
          </a:solidFill>
        </a:ln>
      </c:spPr>
    </c:plotArea>
    <c:legend>
      <c:legendPos val="r"/>
      <c:layout>
        <c:manualLayout>
          <c:xMode val="edge"/>
          <c:yMode val="edge"/>
          <c:x val="0.61333697337605275"/>
          <c:y val="4.5480901563522323E-2"/>
          <c:w val="0.33965439291186866"/>
          <c:h val="0.36062790228144559"/>
        </c:manualLayout>
      </c:layout>
      <c:overlay val="1"/>
      <c:spPr>
        <a:solidFill>
          <a:schemeClr val="bg1"/>
        </a:solidFill>
        <a:ln>
          <a:solidFill>
            <a:schemeClr val="tx1"/>
          </a:solidFill>
        </a:ln>
      </c:spPr>
    </c:legend>
    <c:plotVisOnly val="1"/>
    <c:dispBlanksAs val="gap"/>
    <c:showDLblsOverMax val="0"/>
  </c:chart>
  <c:externalData r:id="rId2">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scatterChart>
        <c:scatterStyle val="smoothMarker"/>
        <c:varyColors val="0"/>
        <c:ser>
          <c:idx val="5"/>
          <c:order val="0"/>
          <c:tx>
            <c:v>1 Percent Plus Annual Chance</c:v>
          </c:tx>
          <c:marker>
            <c:symbol val="none"/>
          </c:marker>
          <c:xVal>
            <c:numRef>
              <c:f>Precip_YHD4!$A$3:$A$243</c:f>
              <c:numCache>
                <c:formatCode>h:mm;@</c:formatCode>
                <c:ptCount val="241"/>
                <c:pt idx="0">
                  <c:v>0</c:v>
                </c:pt>
                <c:pt idx="1">
                  <c:v>4.1666666666666666E-3</c:v>
                </c:pt>
                <c:pt idx="2">
                  <c:v>8.3333333333333332E-3</c:v>
                </c:pt>
                <c:pt idx="3">
                  <c:v>1.2499999999999999E-2</c:v>
                </c:pt>
                <c:pt idx="4">
                  <c:v>1.6666666666666666E-2</c:v>
                </c:pt>
                <c:pt idx="5">
                  <c:v>2.0833333333333332E-2</c:v>
                </c:pt>
                <c:pt idx="6">
                  <c:v>2.4999999999999998E-2</c:v>
                </c:pt>
                <c:pt idx="7">
                  <c:v>2.9166666666666664E-2</c:v>
                </c:pt>
                <c:pt idx="8">
                  <c:v>3.3333333333333333E-2</c:v>
                </c:pt>
                <c:pt idx="9">
                  <c:v>3.7499999999999999E-2</c:v>
                </c:pt>
                <c:pt idx="10">
                  <c:v>4.1666666666666664E-2</c:v>
                </c:pt>
                <c:pt idx="11">
                  <c:v>4.5833333333333337E-2</c:v>
                </c:pt>
                <c:pt idx="12">
                  <c:v>4.9999999999999996E-2</c:v>
                </c:pt>
                <c:pt idx="13">
                  <c:v>5.4166666666666669E-2</c:v>
                </c:pt>
                <c:pt idx="14">
                  <c:v>5.8333333333333327E-2</c:v>
                </c:pt>
                <c:pt idx="15">
                  <c:v>6.25E-2</c:v>
                </c:pt>
                <c:pt idx="16">
                  <c:v>6.6666666666666666E-2</c:v>
                </c:pt>
                <c:pt idx="17">
                  <c:v>7.0833333333333331E-2</c:v>
                </c:pt>
                <c:pt idx="18">
                  <c:v>7.4999999999999997E-2</c:v>
                </c:pt>
                <c:pt idx="19">
                  <c:v>7.9166666666666663E-2</c:v>
                </c:pt>
                <c:pt idx="20">
                  <c:v>8.3333333333333329E-2</c:v>
                </c:pt>
                <c:pt idx="21">
                  <c:v>8.7500000000000008E-2</c:v>
                </c:pt>
                <c:pt idx="22">
                  <c:v>9.1666666666666674E-2</c:v>
                </c:pt>
                <c:pt idx="23">
                  <c:v>9.5833333333333326E-2</c:v>
                </c:pt>
                <c:pt idx="24">
                  <c:v>9.9999999999999992E-2</c:v>
                </c:pt>
                <c:pt idx="25">
                  <c:v>0.10416666666666667</c:v>
                </c:pt>
                <c:pt idx="26">
                  <c:v>0.10833333333333334</c:v>
                </c:pt>
                <c:pt idx="27">
                  <c:v>0.1125</c:v>
                </c:pt>
                <c:pt idx="28">
                  <c:v>0.11666666666666665</c:v>
                </c:pt>
                <c:pt idx="29">
                  <c:v>0.12083333333333333</c:v>
                </c:pt>
                <c:pt idx="30">
                  <c:v>0.125</c:v>
                </c:pt>
                <c:pt idx="31">
                  <c:v>0.12916666666666668</c:v>
                </c:pt>
                <c:pt idx="32">
                  <c:v>0.13333333333333333</c:v>
                </c:pt>
                <c:pt idx="33">
                  <c:v>0.13749999999999998</c:v>
                </c:pt>
                <c:pt idx="34">
                  <c:v>0.14166666666666666</c:v>
                </c:pt>
                <c:pt idx="35">
                  <c:v>0.14583333333333334</c:v>
                </c:pt>
                <c:pt idx="36">
                  <c:v>0.15</c:v>
                </c:pt>
                <c:pt idx="37">
                  <c:v>0.15416666666666667</c:v>
                </c:pt>
                <c:pt idx="38">
                  <c:v>0.15833333333333333</c:v>
                </c:pt>
                <c:pt idx="39">
                  <c:v>0.16250000000000001</c:v>
                </c:pt>
                <c:pt idx="40">
                  <c:v>0.16666666666666666</c:v>
                </c:pt>
                <c:pt idx="41">
                  <c:v>0.17083333333333331</c:v>
                </c:pt>
                <c:pt idx="42">
                  <c:v>0.17500000000000002</c:v>
                </c:pt>
                <c:pt idx="43">
                  <c:v>0.17916666666666667</c:v>
                </c:pt>
                <c:pt idx="44">
                  <c:v>0.18333333333333335</c:v>
                </c:pt>
                <c:pt idx="45">
                  <c:v>0.1875</c:v>
                </c:pt>
                <c:pt idx="46">
                  <c:v>0.19166666666666665</c:v>
                </c:pt>
                <c:pt idx="47">
                  <c:v>0.19583333333333333</c:v>
                </c:pt>
                <c:pt idx="48">
                  <c:v>0.19999999999999998</c:v>
                </c:pt>
                <c:pt idx="49">
                  <c:v>0.20416666666666669</c:v>
                </c:pt>
                <c:pt idx="50">
                  <c:v>0.20833333333333334</c:v>
                </c:pt>
                <c:pt idx="51">
                  <c:v>0.21249999999999999</c:v>
                </c:pt>
                <c:pt idx="52">
                  <c:v>0.21666666666666667</c:v>
                </c:pt>
                <c:pt idx="53">
                  <c:v>0.22083333333333333</c:v>
                </c:pt>
                <c:pt idx="54">
                  <c:v>0.22500000000000001</c:v>
                </c:pt>
                <c:pt idx="55">
                  <c:v>0.22916666666666666</c:v>
                </c:pt>
                <c:pt idx="56">
                  <c:v>0.23333333333333331</c:v>
                </c:pt>
                <c:pt idx="57">
                  <c:v>0.23750000000000002</c:v>
                </c:pt>
                <c:pt idx="58">
                  <c:v>0.24166666666666667</c:v>
                </c:pt>
                <c:pt idx="59">
                  <c:v>0.24583333333333335</c:v>
                </c:pt>
                <c:pt idx="60">
                  <c:v>0.25</c:v>
                </c:pt>
                <c:pt idx="61">
                  <c:v>0.25416666666666665</c:v>
                </c:pt>
                <c:pt idx="62">
                  <c:v>0.25833333333333336</c:v>
                </c:pt>
                <c:pt idx="63">
                  <c:v>0.26250000000000001</c:v>
                </c:pt>
                <c:pt idx="64">
                  <c:v>0.26666666666666666</c:v>
                </c:pt>
                <c:pt idx="65">
                  <c:v>0.27083333333333331</c:v>
                </c:pt>
                <c:pt idx="66">
                  <c:v>0.27499999999999997</c:v>
                </c:pt>
                <c:pt idx="67">
                  <c:v>0.27916666666666667</c:v>
                </c:pt>
                <c:pt idx="68">
                  <c:v>0.28333333333333333</c:v>
                </c:pt>
                <c:pt idx="69">
                  <c:v>0.28750000000000003</c:v>
                </c:pt>
                <c:pt idx="70">
                  <c:v>0.29166666666666669</c:v>
                </c:pt>
                <c:pt idx="71">
                  <c:v>0.29583333333333334</c:v>
                </c:pt>
                <c:pt idx="72">
                  <c:v>0.3</c:v>
                </c:pt>
                <c:pt idx="73">
                  <c:v>0.30416666666666664</c:v>
                </c:pt>
                <c:pt idx="74">
                  <c:v>0.30833333333333335</c:v>
                </c:pt>
                <c:pt idx="75">
                  <c:v>0.3125</c:v>
                </c:pt>
                <c:pt idx="76">
                  <c:v>0.31666666666666665</c:v>
                </c:pt>
                <c:pt idx="77">
                  <c:v>0.32083333333333336</c:v>
                </c:pt>
                <c:pt idx="78">
                  <c:v>0.32500000000000001</c:v>
                </c:pt>
                <c:pt idx="79">
                  <c:v>0.32916666666666666</c:v>
                </c:pt>
                <c:pt idx="80">
                  <c:v>0.33333333333333331</c:v>
                </c:pt>
                <c:pt idx="81">
                  <c:v>0.33749999999999997</c:v>
                </c:pt>
                <c:pt idx="82">
                  <c:v>0.34166666666666662</c:v>
                </c:pt>
                <c:pt idx="83">
                  <c:v>0.34583333333333338</c:v>
                </c:pt>
                <c:pt idx="84">
                  <c:v>0.35000000000000003</c:v>
                </c:pt>
                <c:pt idx="85">
                  <c:v>0.35416666666666669</c:v>
                </c:pt>
                <c:pt idx="86">
                  <c:v>0.35833333333333334</c:v>
                </c:pt>
                <c:pt idx="87">
                  <c:v>0.36249999999999999</c:v>
                </c:pt>
                <c:pt idx="88">
                  <c:v>0.3666666666666667</c:v>
                </c:pt>
                <c:pt idx="89">
                  <c:v>0.37083333333333335</c:v>
                </c:pt>
                <c:pt idx="90">
                  <c:v>0.375</c:v>
                </c:pt>
                <c:pt idx="91">
                  <c:v>0.37916666666666665</c:v>
                </c:pt>
                <c:pt idx="92">
                  <c:v>0.3833333333333333</c:v>
                </c:pt>
                <c:pt idx="93">
                  <c:v>0.38750000000000001</c:v>
                </c:pt>
                <c:pt idx="94">
                  <c:v>0.39166666666666666</c:v>
                </c:pt>
                <c:pt idx="95">
                  <c:v>0.39583333333333331</c:v>
                </c:pt>
                <c:pt idx="96">
                  <c:v>0.39999999999999997</c:v>
                </c:pt>
                <c:pt idx="97">
                  <c:v>0.40416666666666662</c:v>
                </c:pt>
                <c:pt idx="98">
                  <c:v>0.40833333333333338</c:v>
                </c:pt>
                <c:pt idx="99">
                  <c:v>0.41250000000000003</c:v>
                </c:pt>
                <c:pt idx="100">
                  <c:v>0.41666666666666669</c:v>
                </c:pt>
                <c:pt idx="101">
                  <c:v>0.42083333333333334</c:v>
                </c:pt>
                <c:pt idx="102">
                  <c:v>0.42499999999999999</c:v>
                </c:pt>
                <c:pt idx="103">
                  <c:v>0.4291666666666667</c:v>
                </c:pt>
                <c:pt idx="104">
                  <c:v>0.43333333333333335</c:v>
                </c:pt>
                <c:pt idx="105">
                  <c:v>0.4375</c:v>
                </c:pt>
                <c:pt idx="106">
                  <c:v>0.44166666666666665</c:v>
                </c:pt>
                <c:pt idx="107">
                  <c:v>0.4458333333333333</c:v>
                </c:pt>
                <c:pt idx="108">
                  <c:v>0.45</c:v>
                </c:pt>
                <c:pt idx="109">
                  <c:v>0.45416666666666666</c:v>
                </c:pt>
                <c:pt idx="110">
                  <c:v>0.45833333333333331</c:v>
                </c:pt>
                <c:pt idx="111">
                  <c:v>0.46249999999999997</c:v>
                </c:pt>
                <c:pt idx="112">
                  <c:v>0.46666666666666662</c:v>
                </c:pt>
                <c:pt idx="113">
                  <c:v>0.47083333333333338</c:v>
                </c:pt>
                <c:pt idx="114">
                  <c:v>0.47500000000000003</c:v>
                </c:pt>
                <c:pt idx="115">
                  <c:v>0.47916666666666669</c:v>
                </c:pt>
                <c:pt idx="116">
                  <c:v>0.48333333333333334</c:v>
                </c:pt>
                <c:pt idx="117">
                  <c:v>0.48749999999999999</c:v>
                </c:pt>
                <c:pt idx="118">
                  <c:v>0.4916666666666667</c:v>
                </c:pt>
                <c:pt idx="119">
                  <c:v>0.49583333333333335</c:v>
                </c:pt>
                <c:pt idx="120">
                  <c:v>0.5</c:v>
                </c:pt>
                <c:pt idx="121">
                  <c:v>0.50416666666666665</c:v>
                </c:pt>
                <c:pt idx="122">
                  <c:v>0.5083333333333333</c:v>
                </c:pt>
                <c:pt idx="123">
                  <c:v>0.51250000000000007</c:v>
                </c:pt>
                <c:pt idx="124">
                  <c:v>0.51666666666666672</c:v>
                </c:pt>
                <c:pt idx="125">
                  <c:v>0.52083333333333337</c:v>
                </c:pt>
                <c:pt idx="126">
                  <c:v>0.52500000000000002</c:v>
                </c:pt>
                <c:pt idx="127">
                  <c:v>0.52916666666666667</c:v>
                </c:pt>
                <c:pt idx="128">
                  <c:v>0.53333333333333333</c:v>
                </c:pt>
                <c:pt idx="129">
                  <c:v>0.53749999999999998</c:v>
                </c:pt>
                <c:pt idx="130">
                  <c:v>0.54166666666666663</c:v>
                </c:pt>
                <c:pt idx="131">
                  <c:v>0.54583333333333328</c:v>
                </c:pt>
                <c:pt idx="132">
                  <c:v>0.54999999999999993</c:v>
                </c:pt>
                <c:pt idx="133">
                  <c:v>0.5541666666666667</c:v>
                </c:pt>
                <c:pt idx="134">
                  <c:v>0.55833333333333335</c:v>
                </c:pt>
                <c:pt idx="135">
                  <c:v>0.5625</c:v>
                </c:pt>
                <c:pt idx="136">
                  <c:v>0.56666666666666665</c:v>
                </c:pt>
                <c:pt idx="137">
                  <c:v>0.5708333333333333</c:v>
                </c:pt>
                <c:pt idx="138">
                  <c:v>0.57500000000000007</c:v>
                </c:pt>
                <c:pt idx="139">
                  <c:v>0.57916666666666672</c:v>
                </c:pt>
                <c:pt idx="140">
                  <c:v>0.58333333333333337</c:v>
                </c:pt>
                <c:pt idx="141">
                  <c:v>0.58750000000000002</c:v>
                </c:pt>
                <c:pt idx="142">
                  <c:v>0.59166666666666667</c:v>
                </c:pt>
                <c:pt idx="143">
                  <c:v>0.59583333333333333</c:v>
                </c:pt>
                <c:pt idx="144">
                  <c:v>0.6</c:v>
                </c:pt>
                <c:pt idx="145">
                  <c:v>0.60416666666666663</c:v>
                </c:pt>
                <c:pt idx="146">
                  <c:v>0.60833333333333328</c:v>
                </c:pt>
                <c:pt idx="147">
                  <c:v>0.61249999999999993</c:v>
                </c:pt>
                <c:pt idx="148">
                  <c:v>0.6166666666666667</c:v>
                </c:pt>
                <c:pt idx="149">
                  <c:v>0.62083333333333335</c:v>
                </c:pt>
                <c:pt idx="150">
                  <c:v>0.625</c:v>
                </c:pt>
                <c:pt idx="151">
                  <c:v>0.62916666666666665</c:v>
                </c:pt>
                <c:pt idx="152">
                  <c:v>0.6333333333333333</c:v>
                </c:pt>
                <c:pt idx="153">
                  <c:v>0.63750000000000007</c:v>
                </c:pt>
                <c:pt idx="154">
                  <c:v>0.64166666666666672</c:v>
                </c:pt>
                <c:pt idx="155">
                  <c:v>0.64583333333333337</c:v>
                </c:pt>
                <c:pt idx="156">
                  <c:v>0.65</c:v>
                </c:pt>
                <c:pt idx="157">
                  <c:v>0.65416666666666667</c:v>
                </c:pt>
                <c:pt idx="158">
                  <c:v>0.65833333333333333</c:v>
                </c:pt>
                <c:pt idx="159">
                  <c:v>0.66249999999999998</c:v>
                </c:pt>
                <c:pt idx="160">
                  <c:v>0.66666666666666663</c:v>
                </c:pt>
                <c:pt idx="161">
                  <c:v>0.67083333333333339</c:v>
                </c:pt>
                <c:pt idx="162">
                  <c:v>0.67499999999999993</c:v>
                </c:pt>
                <c:pt idx="163">
                  <c:v>0.6791666666666667</c:v>
                </c:pt>
                <c:pt idx="164">
                  <c:v>0.68333333333333324</c:v>
                </c:pt>
                <c:pt idx="165">
                  <c:v>0.6875</c:v>
                </c:pt>
                <c:pt idx="166">
                  <c:v>0.69166666666666676</c:v>
                </c:pt>
                <c:pt idx="167">
                  <c:v>0.6958333333333333</c:v>
                </c:pt>
                <c:pt idx="168">
                  <c:v>0.70000000000000007</c:v>
                </c:pt>
                <c:pt idx="169">
                  <c:v>0.70416666666666661</c:v>
                </c:pt>
                <c:pt idx="170">
                  <c:v>0.70833333333333337</c:v>
                </c:pt>
                <c:pt idx="171">
                  <c:v>0.71250000000000002</c:v>
                </c:pt>
                <c:pt idx="172">
                  <c:v>0.71666666666666667</c:v>
                </c:pt>
                <c:pt idx="173">
                  <c:v>0.72083333333333333</c:v>
                </c:pt>
                <c:pt idx="174">
                  <c:v>0.72499999999999998</c:v>
                </c:pt>
                <c:pt idx="175">
                  <c:v>0.72916666666666663</c:v>
                </c:pt>
                <c:pt idx="176">
                  <c:v>0.73333333333333339</c:v>
                </c:pt>
                <c:pt idx="177">
                  <c:v>0.73749999999999993</c:v>
                </c:pt>
                <c:pt idx="178">
                  <c:v>0.7416666666666667</c:v>
                </c:pt>
                <c:pt idx="179">
                  <c:v>0.74583333333333324</c:v>
                </c:pt>
                <c:pt idx="180">
                  <c:v>0.75</c:v>
                </c:pt>
                <c:pt idx="181">
                  <c:v>0.75416666666666676</c:v>
                </c:pt>
                <c:pt idx="182">
                  <c:v>0.7583333333333333</c:v>
                </c:pt>
                <c:pt idx="183">
                  <c:v>0.76250000000000007</c:v>
                </c:pt>
                <c:pt idx="184">
                  <c:v>0.76666666666666661</c:v>
                </c:pt>
                <c:pt idx="185">
                  <c:v>0.77083333333333337</c:v>
                </c:pt>
                <c:pt idx="186">
                  <c:v>0.77500000000000002</c:v>
                </c:pt>
                <c:pt idx="187">
                  <c:v>0.77916666666666667</c:v>
                </c:pt>
                <c:pt idx="188">
                  <c:v>0.78333333333333333</c:v>
                </c:pt>
                <c:pt idx="189">
                  <c:v>0.78749999999999998</c:v>
                </c:pt>
                <c:pt idx="190">
                  <c:v>0.79166666666666663</c:v>
                </c:pt>
                <c:pt idx="191">
                  <c:v>0.79583333333333339</c:v>
                </c:pt>
                <c:pt idx="192">
                  <c:v>0.79999999999999993</c:v>
                </c:pt>
                <c:pt idx="193">
                  <c:v>0.8041666666666667</c:v>
                </c:pt>
                <c:pt idx="194">
                  <c:v>0.80833333333333324</c:v>
                </c:pt>
                <c:pt idx="195">
                  <c:v>0.8125</c:v>
                </c:pt>
                <c:pt idx="196">
                  <c:v>0.81666666666666676</c:v>
                </c:pt>
                <c:pt idx="197">
                  <c:v>0.8208333333333333</c:v>
                </c:pt>
                <c:pt idx="198">
                  <c:v>0.82500000000000007</c:v>
                </c:pt>
                <c:pt idx="199">
                  <c:v>0.82916666666666661</c:v>
                </c:pt>
                <c:pt idx="200">
                  <c:v>0.83333333333333337</c:v>
                </c:pt>
                <c:pt idx="201">
                  <c:v>0.83750000000000002</c:v>
                </c:pt>
                <c:pt idx="202">
                  <c:v>0.84166666666666667</c:v>
                </c:pt>
                <c:pt idx="203">
                  <c:v>0.84583333333333333</c:v>
                </c:pt>
                <c:pt idx="204">
                  <c:v>0.85</c:v>
                </c:pt>
                <c:pt idx="205">
                  <c:v>0.85416666666666663</c:v>
                </c:pt>
                <c:pt idx="206">
                  <c:v>0.85833333333333339</c:v>
                </c:pt>
                <c:pt idx="207">
                  <c:v>0.86249999999999993</c:v>
                </c:pt>
                <c:pt idx="208">
                  <c:v>0.8666666666666667</c:v>
                </c:pt>
                <c:pt idx="209">
                  <c:v>0.87083333333333324</c:v>
                </c:pt>
                <c:pt idx="210">
                  <c:v>0.875</c:v>
                </c:pt>
                <c:pt idx="211">
                  <c:v>0.87916666666666676</c:v>
                </c:pt>
                <c:pt idx="212">
                  <c:v>0.8833333333333333</c:v>
                </c:pt>
                <c:pt idx="213">
                  <c:v>0.88750000000000007</c:v>
                </c:pt>
                <c:pt idx="214">
                  <c:v>0.89166666666666661</c:v>
                </c:pt>
                <c:pt idx="215">
                  <c:v>0.89583333333333337</c:v>
                </c:pt>
                <c:pt idx="216">
                  <c:v>0.9</c:v>
                </c:pt>
                <c:pt idx="217">
                  <c:v>0.90416666666666667</c:v>
                </c:pt>
                <c:pt idx="218">
                  <c:v>0.90833333333333333</c:v>
                </c:pt>
                <c:pt idx="219">
                  <c:v>0.91249999999999998</c:v>
                </c:pt>
                <c:pt idx="220">
                  <c:v>0.91666666666666663</c:v>
                </c:pt>
                <c:pt idx="221">
                  <c:v>0.92083333333333339</c:v>
                </c:pt>
                <c:pt idx="222">
                  <c:v>0.92499999999999993</c:v>
                </c:pt>
                <c:pt idx="223">
                  <c:v>0.9291666666666667</c:v>
                </c:pt>
                <c:pt idx="224">
                  <c:v>0.93333333333333324</c:v>
                </c:pt>
                <c:pt idx="225">
                  <c:v>0.9375</c:v>
                </c:pt>
                <c:pt idx="226">
                  <c:v>0.94166666666666676</c:v>
                </c:pt>
                <c:pt idx="227">
                  <c:v>0.9458333333333333</c:v>
                </c:pt>
                <c:pt idx="228">
                  <c:v>0.95000000000000007</c:v>
                </c:pt>
                <c:pt idx="229">
                  <c:v>0.95416666666666661</c:v>
                </c:pt>
                <c:pt idx="230">
                  <c:v>0.95833333333333337</c:v>
                </c:pt>
                <c:pt idx="231">
                  <c:v>0.96250000000000002</c:v>
                </c:pt>
                <c:pt idx="232">
                  <c:v>0.96666666666666667</c:v>
                </c:pt>
                <c:pt idx="233">
                  <c:v>0.97083333333333333</c:v>
                </c:pt>
                <c:pt idx="234">
                  <c:v>0.97499999999999998</c:v>
                </c:pt>
                <c:pt idx="235">
                  <c:v>0.97916666666666663</c:v>
                </c:pt>
                <c:pt idx="236">
                  <c:v>0.98333333333333339</c:v>
                </c:pt>
                <c:pt idx="237">
                  <c:v>0.98749999999999993</c:v>
                </c:pt>
                <c:pt idx="238">
                  <c:v>0.9916666666666667</c:v>
                </c:pt>
                <c:pt idx="239">
                  <c:v>0.99583333333333324</c:v>
                </c:pt>
                <c:pt idx="240">
                  <c:v>1</c:v>
                </c:pt>
              </c:numCache>
            </c:numRef>
          </c:xVal>
          <c:yVal>
            <c:numRef>
              <c:f>Precip_YHD4!$G$3:$G$243</c:f>
              <c:numCache>
                <c:formatCode>General</c:formatCode>
                <c:ptCount val="241"/>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c:v>
                </c:pt>
                <c:pt idx="76">
                  <c:v>0</c:v>
                </c:pt>
                <c:pt idx="77">
                  <c:v>0</c:v>
                </c:pt>
                <c:pt idx="78">
                  <c:v>0</c:v>
                </c:pt>
                <c:pt idx="79">
                  <c:v>0</c:v>
                </c:pt>
                <c:pt idx="80">
                  <c:v>0</c:v>
                </c:pt>
                <c:pt idx="81">
                  <c:v>0</c:v>
                </c:pt>
                <c:pt idx="82">
                  <c:v>0</c:v>
                </c:pt>
                <c:pt idx="83">
                  <c:v>0</c:v>
                </c:pt>
                <c:pt idx="84">
                  <c:v>0.01</c:v>
                </c:pt>
                <c:pt idx="85">
                  <c:v>0.01</c:v>
                </c:pt>
                <c:pt idx="86">
                  <c:v>0.01</c:v>
                </c:pt>
                <c:pt idx="87">
                  <c:v>0.01</c:v>
                </c:pt>
                <c:pt idx="88">
                  <c:v>0.01</c:v>
                </c:pt>
                <c:pt idx="89">
                  <c:v>0.01</c:v>
                </c:pt>
                <c:pt idx="90">
                  <c:v>0.01</c:v>
                </c:pt>
                <c:pt idx="91">
                  <c:v>0.01</c:v>
                </c:pt>
                <c:pt idx="92">
                  <c:v>0.01</c:v>
                </c:pt>
                <c:pt idx="93">
                  <c:v>0.01</c:v>
                </c:pt>
                <c:pt idx="94">
                  <c:v>0.01</c:v>
                </c:pt>
                <c:pt idx="95">
                  <c:v>0.01</c:v>
                </c:pt>
                <c:pt idx="96">
                  <c:v>0.01</c:v>
                </c:pt>
                <c:pt idx="97">
                  <c:v>0.01</c:v>
                </c:pt>
                <c:pt idx="98">
                  <c:v>0.01</c:v>
                </c:pt>
                <c:pt idx="99">
                  <c:v>0.01</c:v>
                </c:pt>
                <c:pt idx="100">
                  <c:v>0.02</c:v>
                </c:pt>
                <c:pt idx="101">
                  <c:v>0.02</c:v>
                </c:pt>
                <c:pt idx="102">
                  <c:v>0.02</c:v>
                </c:pt>
                <c:pt idx="103">
                  <c:v>0.02</c:v>
                </c:pt>
                <c:pt idx="104">
                  <c:v>0.02</c:v>
                </c:pt>
                <c:pt idx="105">
                  <c:v>0.02</c:v>
                </c:pt>
                <c:pt idx="106">
                  <c:v>0.02</c:v>
                </c:pt>
                <c:pt idx="107">
                  <c:v>0.02</c:v>
                </c:pt>
                <c:pt idx="108">
                  <c:v>0.03</c:v>
                </c:pt>
                <c:pt idx="109">
                  <c:v>0.03</c:v>
                </c:pt>
                <c:pt idx="110">
                  <c:v>0.03</c:v>
                </c:pt>
                <c:pt idx="111">
                  <c:v>0.05</c:v>
                </c:pt>
                <c:pt idx="112">
                  <c:v>0.06</c:v>
                </c:pt>
                <c:pt idx="113">
                  <c:v>7.0000000000000007E-2</c:v>
                </c:pt>
                <c:pt idx="114">
                  <c:v>7.0000000000000007E-2</c:v>
                </c:pt>
                <c:pt idx="115">
                  <c:v>0.08</c:v>
                </c:pt>
                <c:pt idx="116">
                  <c:v>0.13</c:v>
                </c:pt>
                <c:pt idx="117">
                  <c:v>0.14000000000000001</c:v>
                </c:pt>
                <c:pt idx="118">
                  <c:v>0.16</c:v>
                </c:pt>
                <c:pt idx="119">
                  <c:v>0.13</c:v>
                </c:pt>
                <c:pt idx="120">
                  <c:v>0.3</c:v>
                </c:pt>
                <c:pt idx="121">
                  <c:v>0.62</c:v>
                </c:pt>
                <c:pt idx="122">
                  <c:v>0.2</c:v>
                </c:pt>
                <c:pt idx="123">
                  <c:v>0.12</c:v>
                </c:pt>
                <c:pt idx="124">
                  <c:v>0.17</c:v>
                </c:pt>
                <c:pt idx="125">
                  <c:v>0.15</c:v>
                </c:pt>
                <c:pt idx="126">
                  <c:v>0.1</c:v>
                </c:pt>
                <c:pt idx="127">
                  <c:v>0.09</c:v>
                </c:pt>
                <c:pt idx="128">
                  <c:v>0.09</c:v>
                </c:pt>
                <c:pt idx="129">
                  <c:v>0.08</c:v>
                </c:pt>
                <c:pt idx="130">
                  <c:v>7.0000000000000007E-2</c:v>
                </c:pt>
                <c:pt idx="131">
                  <c:v>0.04</c:v>
                </c:pt>
                <c:pt idx="132">
                  <c:v>0.04</c:v>
                </c:pt>
                <c:pt idx="133">
                  <c:v>0.04</c:v>
                </c:pt>
                <c:pt idx="134">
                  <c:v>0.04</c:v>
                </c:pt>
                <c:pt idx="135">
                  <c:v>0.03</c:v>
                </c:pt>
                <c:pt idx="136">
                  <c:v>0.03</c:v>
                </c:pt>
                <c:pt idx="137">
                  <c:v>0.03</c:v>
                </c:pt>
                <c:pt idx="138">
                  <c:v>0.03</c:v>
                </c:pt>
                <c:pt idx="139">
                  <c:v>0.03</c:v>
                </c:pt>
                <c:pt idx="140">
                  <c:v>0.03</c:v>
                </c:pt>
                <c:pt idx="141">
                  <c:v>0.03</c:v>
                </c:pt>
                <c:pt idx="142">
                  <c:v>0.03</c:v>
                </c:pt>
                <c:pt idx="143">
                  <c:v>0.02</c:v>
                </c:pt>
                <c:pt idx="144">
                  <c:v>0.02</c:v>
                </c:pt>
                <c:pt idx="145">
                  <c:v>0.02</c:v>
                </c:pt>
                <c:pt idx="146">
                  <c:v>0.02</c:v>
                </c:pt>
                <c:pt idx="147">
                  <c:v>0.02</c:v>
                </c:pt>
                <c:pt idx="148">
                  <c:v>0.02</c:v>
                </c:pt>
                <c:pt idx="149">
                  <c:v>0.02</c:v>
                </c:pt>
                <c:pt idx="150">
                  <c:v>0.02</c:v>
                </c:pt>
                <c:pt idx="151">
                  <c:v>0.02</c:v>
                </c:pt>
                <c:pt idx="152">
                  <c:v>0.02</c:v>
                </c:pt>
                <c:pt idx="153">
                  <c:v>0.01</c:v>
                </c:pt>
                <c:pt idx="154">
                  <c:v>0.01</c:v>
                </c:pt>
                <c:pt idx="155">
                  <c:v>0.01</c:v>
                </c:pt>
                <c:pt idx="156">
                  <c:v>0.01</c:v>
                </c:pt>
                <c:pt idx="157">
                  <c:v>0.01</c:v>
                </c:pt>
                <c:pt idx="158">
                  <c:v>0.01</c:v>
                </c:pt>
                <c:pt idx="159">
                  <c:v>0.01</c:v>
                </c:pt>
                <c:pt idx="160">
                  <c:v>0.01</c:v>
                </c:pt>
                <c:pt idx="161">
                  <c:v>0.01</c:v>
                </c:pt>
                <c:pt idx="162">
                  <c:v>0.01</c:v>
                </c:pt>
                <c:pt idx="163">
                  <c:v>0.01</c:v>
                </c:pt>
                <c:pt idx="164">
                  <c:v>0.01</c:v>
                </c:pt>
                <c:pt idx="165">
                  <c:v>0.01</c:v>
                </c:pt>
                <c:pt idx="166">
                  <c:v>0.01</c:v>
                </c:pt>
                <c:pt idx="167">
                  <c:v>0.01</c:v>
                </c:pt>
                <c:pt idx="168">
                  <c:v>0.01</c:v>
                </c:pt>
                <c:pt idx="169">
                  <c:v>0.01</c:v>
                </c:pt>
                <c:pt idx="170">
                  <c:v>0.01</c:v>
                </c:pt>
                <c:pt idx="171">
                  <c:v>0.01</c:v>
                </c:pt>
                <c:pt idx="172">
                  <c:v>0.01</c:v>
                </c:pt>
                <c:pt idx="173">
                  <c:v>0.01</c:v>
                </c:pt>
                <c:pt idx="174">
                  <c:v>0.01</c:v>
                </c:pt>
                <c:pt idx="175">
                  <c:v>0.01</c:v>
                </c:pt>
                <c:pt idx="176">
                  <c:v>0.01</c:v>
                </c:pt>
                <c:pt idx="177">
                  <c:v>0.01</c:v>
                </c:pt>
                <c:pt idx="178">
                  <c:v>0.01</c:v>
                </c:pt>
                <c:pt idx="179">
                  <c:v>0.01</c:v>
                </c:pt>
                <c:pt idx="180">
                  <c:v>0.01</c:v>
                </c:pt>
                <c:pt idx="181">
                  <c:v>0.01</c:v>
                </c:pt>
                <c:pt idx="182">
                  <c:v>0.01</c:v>
                </c:pt>
                <c:pt idx="183">
                  <c:v>0.01</c:v>
                </c:pt>
                <c:pt idx="184">
                  <c:v>0.01</c:v>
                </c:pt>
                <c:pt idx="185">
                  <c:v>0.01</c:v>
                </c:pt>
                <c:pt idx="186">
                  <c:v>0.01</c:v>
                </c:pt>
                <c:pt idx="187">
                  <c:v>0.01</c:v>
                </c:pt>
                <c:pt idx="188">
                  <c:v>0.01</c:v>
                </c:pt>
                <c:pt idx="189">
                  <c:v>0.01</c:v>
                </c:pt>
                <c:pt idx="190">
                  <c:v>0</c:v>
                </c:pt>
                <c:pt idx="191">
                  <c:v>0</c:v>
                </c:pt>
                <c:pt idx="192">
                  <c:v>0</c:v>
                </c:pt>
                <c:pt idx="193">
                  <c:v>0</c:v>
                </c:pt>
                <c:pt idx="194">
                  <c:v>0</c:v>
                </c:pt>
                <c:pt idx="195">
                  <c:v>0</c:v>
                </c:pt>
                <c:pt idx="196">
                  <c:v>0</c:v>
                </c:pt>
                <c:pt idx="197">
                  <c:v>0</c:v>
                </c:pt>
                <c:pt idx="198">
                  <c:v>0</c:v>
                </c:pt>
                <c:pt idx="199">
                  <c:v>0</c:v>
                </c:pt>
                <c:pt idx="200">
                  <c:v>0</c:v>
                </c:pt>
                <c:pt idx="201">
                  <c:v>0</c:v>
                </c:pt>
                <c:pt idx="202">
                  <c:v>0</c:v>
                </c:pt>
                <c:pt idx="203">
                  <c:v>0</c:v>
                </c:pt>
                <c:pt idx="204">
                  <c:v>0</c:v>
                </c:pt>
                <c:pt idx="205">
                  <c:v>0</c:v>
                </c:pt>
                <c:pt idx="206">
                  <c:v>0</c:v>
                </c:pt>
                <c:pt idx="207">
                  <c:v>0</c:v>
                </c:pt>
                <c:pt idx="208">
                  <c:v>0</c:v>
                </c:pt>
                <c:pt idx="209">
                  <c:v>0</c:v>
                </c:pt>
                <c:pt idx="210">
                  <c:v>0</c:v>
                </c:pt>
                <c:pt idx="211">
                  <c:v>0</c:v>
                </c:pt>
                <c:pt idx="212">
                  <c:v>0</c:v>
                </c:pt>
                <c:pt idx="213">
                  <c:v>0</c:v>
                </c:pt>
                <c:pt idx="214">
                  <c:v>0</c:v>
                </c:pt>
                <c:pt idx="215">
                  <c:v>0</c:v>
                </c:pt>
                <c:pt idx="216">
                  <c:v>0</c:v>
                </c:pt>
                <c:pt idx="217">
                  <c:v>0</c:v>
                </c:pt>
                <c:pt idx="218">
                  <c:v>0</c:v>
                </c:pt>
                <c:pt idx="219">
                  <c:v>0</c:v>
                </c:pt>
                <c:pt idx="220">
                  <c:v>0</c:v>
                </c:pt>
                <c:pt idx="221">
                  <c:v>0</c:v>
                </c:pt>
                <c:pt idx="222">
                  <c:v>0</c:v>
                </c:pt>
                <c:pt idx="223">
                  <c:v>0</c:v>
                </c:pt>
                <c:pt idx="224">
                  <c:v>0</c:v>
                </c:pt>
                <c:pt idx="225">
                  <c:v>0</c:v>
                </c:pt>
                <c:pt idx="226">
                  <c:v>0</c:v>
                </c:pt>
                <c:pt idx="227">
                  <c:v>0</c:v>
                </c:pt>
                <c:pt idx="228">
                  <c:v>0</c:v>
                </c:pt>
                <c:pt idx="229">
                  <c:v>0</c:v>
                </c:pt>
                <c:pt idx="230">
                  <c:v>0</c:v>
                </c:pt>
                <c:pt idx="231">
                  <c:v>0</c:v>
                </c:pt>
                <c:pt idx="232">
                  <c:v>0</c:v>
                </c:pt>
                <c:pt idx="233">
                  <c:v>0</c:v>
                </c:pt>
                <c:pt idx="234">
                  <c:v>0</c:v>
                </c:pt>
                <c:pt idx="235">
                  <c:v>0</c:v>
                </c:pt>
                <c:pt idx="236">
                  <c:v>0</c:v>
                </c:pt>
                <c:pt idx="237">
                  <c:v>0</c:v>
                </c:pt>
                <c:pt idx="238">
                  <c:v>0</c:v>
                </c:pt>
                <c:pt idx="239">
                  <c:v>0</c:v>
                </c:pt>
                <c:pt idx="240">
                  <c:v>0</c:v>
                </c:pt>
              </c:numCache>
            </c:numRef>
          </c:yVal>
          <c:smooth val="1"/>
          <c:extLst xmlns:c16r2="http://schemas.microsoft.com/office/drawing/2015/06/chart">
            <c:ext xmlns:c16="http://schemas.microsoft.com/office/drawing/2014/chart" uri="{C3380CC4-5D6E-409C-BE32-E72D297353CC}">
              <c16:uniqueId val="{00000000-F9AC-43A0-825A-84DB6A834CE7}"/>
            </c:ext>
          </c:extLst>
        </c:ser>
        <c:ser>
          <c:idx val="4"/>
          <c:order val="1"/>
          <c:tx>
            <c:v>0.2 Percent Annual Chance</c:v>
          </c:tx>
          <c:spPr>
            <a:ln>
              <a:solidFill>
                <a:schemeClr val="accent2"/>
              </a:solidFill>
            </a:ln>
          </c:spPr>
          <c:marker>
            <c:symbol val="none"/>
          </c:marker>
          <c:xVal>
            <c:numRef>
              <c:f>Precip_YHD4!$A$3:$A$243</c:f>
              <c:numCache>
                <c:formatCode>h:mm;@</c:formatCode>
                <c:ptCount val="241"/>
                <c:pt idx="0">
                  <c:v>0</c:v>
                </c:pt>
                <c:pt idx="1">
                  <c:v>4.1666666666666666E-3</c:v>
                </c:pt>
                <c:pt idx="2">
                  <c:v>8.3333333333333332E-3</c:v>
                </c:pt>
                <c:pt idx="3">
                  <c:v>1.2499999999999999E-2</c:v>
                </c:pt>
                <c:pt idx="4">
                  <c:v>1.6666666666666666E-2</c:v>
                </c:pt>
                <c:pt idx="5">
                  <c:v>2.0833333333333332E-2</c:v>
                </c:pt>
                <c:pt idx="6">
                  <c:v>2.4999999999999998E-2</c:v>
                </c:pt>
                <c:pt idx="7">
                  <c:v>2.9166666666666664E-2</c:v>
                </c:pt>
                <c:pt idx="8">
                  <c:v>3.3333333333333333E-2</c:v>
                </c:pt>
                <c:pt idx="9">
                  <c:v>3.7499999999999999E-2</c:v>
                </c:pt>
                <c:pt idx="10">
                  <c:v>4.1666666666666664E-2</c:v>
                </c:pt>
                <c:pt idx="11">
                  <c:v>4.5833333333333337E-2</c:v>
                </c:pt>
                <c:pt idx="12">
                  <c:v>4.9999999999999996E-2</c:v>
                </c:pt>
                <c:pt idx="13">
                  <c:v>5.4166666666666669E-2</c:v>
                </c:pt>
                <c:pt idx="14">
                  <c:v>5.8333333333333327E-2</c:v>
                </c:pt>
                <c:pt idx="15">
                  <c:v>6.25E-2</c:v>
                </c:pt>
                <c:pt idx="16">
                  <c:v>6.6666666666666666E-2</c:v>
                </c:pt>
                <c:pt idx="17">
                  <c:v>7.0833333333333331E-2</c:v>
                </c:pt>
                <c:pt idx="18">
                  <c:v>7.4999999999999997E-2</c:v>
                </c:pt>
                <c:pt idx="19">
                  <c:v>7.9166666666666663E-2</c:v>
                </c:pt>
                <c:pt idx="20">
                  <c:v>8.3333333333333329E-2</c:v>
                </c:pt>
                <c:pt idx="21">
                  <c:v>8.7500000000000008E-2</c:v>
                </c:pt>
                <c:pt idx="22">
                  <c:v>9.1666666666666674E-2</c:v>
                </c:pt>
                <c:pt idx="23">
                  <c:v>9.5833333333333326E-2</c:v>
                </c:pt>
                <c:pt idx="24">
                  <c:v>9.9999999999999992E-2</c:v>
                </c:pt>
                <c:pt idx="25">
                  <c:v>0.10416666666666667</c:v>
                </c:pt>
                <c:pt idx="26">
                  <c:v>0.10833333333333334</c:v>
                </c:pt>
                <c:pt idx="27">
                  <c:v>0.1125</c:v>
                </c:pt>
                <c:pt idx="28">
                  <c:v>0.11666666666666665</c:v>
                </c:pt>
                <c:pt idx="29">
                  <c:v>0.12083333333333333</c:v>
                </c:pt>
                <c:pt idx="30">
                  <c:v>0.125</c:v>
                </c:pt>
                <c:pt idx="31">
                  <c:v>0.12916666666666668</c:v>
                </c:pt>
                <c:pt idx="32">
                  <c:v>0.13333333333333333</c:v>
                </c:pt>
                <c:pt idx="33">
                  <c:v>0.13749999999999998</c:v>
                </c:pt>
                <c:pt idx="34">
                  <c:v>0.14166666666666666</c:v>
                </c:pt>
                <c:pt idx="35">
                  <c:v>0.14583333333333334</c:v>
                </c:pt>
                <c:pt idx="36">
                  <c:v>0.15</c:v>
                </c:pt>
                <c:pt idx="37">
                  <c:v>0.15416666666666667</c:v>
                </c:pt>
                <c:pt idx="38">
                  <c:v>0.15833333333333333</c:v>
                </c:pt>
                <c:pt idx="39">
                  <c:v>0.16250000000000001</c:v>
                </c:pt>
                <c:pt idx="40">
                  <c:v>0.16666666666666666</c:v>
                </c:pt>
                <c:pt idx="41">
                  <c:v>0.17083333333333331</c:v>
                </c:pt>
                <c:pt idx="42">
                  <c:v>0.17500000000000002</c:v>
                </c:pt>
                <c:pt idx="43">
                  <c:v>0.17916666666666667</c:v>
                </c:pt>
                <c:pt idx="44">
                  <c:v>0.18333333333333335</c:v>
                </c:pt>
                <c:pt idx="45">
                  <c:v>0.1875</c:v>
                </c:pt>
                <c:pt idx="46">
                  <c:v>0.19166666666666665</c:v>
                </c:pt>
                <c:pt idx="47">
                  <c:v>0.19583333333333333</c:v>
                </c:pt>
                <c:pt idx="48">
                  <c:v>0.19999999999999998</c:v>
                </c:pt>
                <c:pt idx="49">
                  <c:v>0.20416666666666669</c:v>
                </c:pt>
                <c:pt idx="50">
                  <c:v>0.20833333333333334</c:v>
                </c:pt>
                <c:pt idx="51">
                  <c:v>0.21249999999999999</c:v>
                </c:pt>
                <c:pt idx="52">
                  <c:v>0.21666666666666667</c:v>
                </c:pt>
                <c:pt idx="53">
                  <c:v>0.22083333333333333</c:v>
                </c:pt>
                <c:pt idx="54">
                  <c:v>0.22500000000000001</c:v>
                </c:pt>
                <c:pt idx="55">
                  <c:v>0.22916666666666666</c:v>
                </c:pt>
                <c:pt idx="56">
                  <c:v>0.23333333333333331</c:v>
                </c:pt>
                <c:pt idx="57">
                  <c:v>0.23750000000000002</c:v>
                </c:pt>
                <c:pt idx="58">
                  <c:v>0.24166666666666667</c:v>
                </c:pt>
                <c:pt idx="59">
                  <c:v>0.24583333333333335</c:v>
                </c:pt>
                <c:pt idx="60">
                  <c:v>0.25</c:v>
                </c:pt>
                <c:pt idx="61">
                  <c:v>0.25416666666666665</c:v>
                </c:pt>
                <c:pt idx="62">
                  <c:v>0.25833333333333336</c:v>
                </c:pt>
                <c:pt idx="63">
                  <c:v>0.26250000000000001</c:v>
                </c:pt>
                <c:pt idx="64">
                  <c:v>0.26666666666666666</c:v>
                </c:pt>
                <c:pt idx="65">
                  <c:v>0.27083333333333331</c:v>
                </c:pt>
                <c:pt idx="66">
                  <c:v>0.27499999999999997</c:v>
                </c:pt>
                <c:pt idx="67">
                  <c:v>0.27916666666666667</c:v>
                </c:pt>
                <c:pt idx="68">
                  <c:v>0.28333333333333333</c:v>
                </c:pt>
                <c:pt idx="69">
                  <c:v>0.28750000000000003</c:v>
                </c:pt>
                <c:pt idx="70">
                  <c:v>0.29166666666666669</c:v>
                </c:pt>
                <c:pt idx="71">
                  <c:v>0.29583333333333334</c:v>
                </c:pt>
                <c:pt idx="72">
                  <c:v>0.3</c:v>
                </c:pt>
                <c:pt idx="73">
                  <c:v>0.30416666666666664</c:v>
                </c:pt>
                <c:pt idx="74">
                  <c:v>0.30833333333333335</c:v>
                </c:pt>
                <c:pt idx="75">
                  <c:v>0.3125</c:v>
                </c:pt>
                <c:pt idx="76">
                  <c:v>0.31666666666666665</c:v>
                </c:pt>
                <c:pt idx="77">
                  <c:v>0.32083333333333336</c:v>
                </c:pt>
                <c:pt idx="78">
                  <c:v>0.32500000000000001</c:v>
                </c:pt>
                <c:pt idx="79">
                  <c:v>0.32916666666666666</c:v>
                </c:pt>
                <c:pt idx="80">
                  <c:v>0.33333333333333331</c:v>
                </c:pt>
                <c:pt idx="81">
                  <c:v>0.33749999999999997</c:v>
                </c:pt>
                <c:pt idx="82">
                  <c:v>0.34166666666666662</c:v>
                </c:pt>
                <c:pt idx="83">
                  <c:v>0.34583333333333338</c:v>
                </c:pt>
                <c:pt idx="84">
                  <c:v>0.35000000000000003</c:v>
                </c:pt>
                <c:pt idx="85">
                  <c:v>0.35416666666666669</c:v>
                </c:pt>
                <c:pt idx="86">
                  <c:v>0.35833333333333334</c:v>
                </c:pt>
                <c:pt idx="87">
                  <c:v>0.36249999999999999</c:v>
                </c:pt>
                <c:pt idx="88">
                  <c:v>0.3666666666666667</c:v>
                </c:pt>
                <c:pt idx="89">
                  <c:v>0.37083333333333335</c:v>
                </c:pt>
                <c:pt idx="90">
                  <c:v>0.375</c:v>
                </c:pt>
                <c:pt idx="91">
                  <c:v>0.37916666666666665</c:v>
                </c:pt>
                <c:pt idx="92">
                  <c:v>0.3833333333333333</c:v>
                </c:pt>
                <c:pt idx="93">
                  <c:v>0.38750000000000001</c:v>
                </c:pt>
                <c:pt idx="94">
                  <c:v>0.39166666666666666</c:v>
                </c:pt>
                <c:pt idx="95">
                  <c:v>0.39583333333333331</c:v>
                </c:pt>
                <c:pt idx="96">
                  <c:v>0.39999999999999997</c:v>
                </c:pt>
                <c:pt idx="97">
                  <c:v>0.40416666666666662</c:v>
                </c:pt>
                <c:pt idx="98">
                  <c:v>0.40833333333333338</c:v>
                </c:pt>
                <c:pt idx="99">
                  <c:v>0.41250000000000003</c:v>
                </c:pt>
                <c:pt idx="100">
                  <c:v>0.41666666666666669</c:v>
                </c:pt>
                <c:pt idx="101">
                  <c:v>0.42083333333333334</c:v>
                </c:pt>
                <c:pt idx="102">
                  <c:v>0.42499999999999999</c:v>
                </c:pt>
                <c:pt idx="103">
                  <c:v>0.4291666666666667</c:v>
                </c:pt>
                <c:pt idx="104">
                  <c:v>0.43333333333333335</c:v>
                </c:pt>
                <c:pt idx="105">
                  <c:v>0.4375</c:v>
                </c:pt>
                <c:pt idx="106">
                  <c:v>0.44166666666666665</c:v>
                </c:pt>
                <c:pt idx="107">
                  <c:v>0.4458333333333333</c:v>
                </c:pt>
                <c:pt idx="108">
                  <c:v>0.45</c:v>
                </c:pt>
                <c:pt idx="109">
                  <c:v>0.45416666666666666</c:v>
                </c:pt>
                <c:pt idx="110">
                  <c:v>0.45833333333333331</c:v>
                </c:pt>
                <c:pt idx="111">
                  <c:v>0.46249999999999997</c:v>
                </c:pt>
                <c:pt idx="112">
                  <c:v>0.46666666666666662</c:v>
                </c:pt>
                <c:pt idx="113">
                  <c:v>0.47083333333333338</c:v>
                </c:pt>
                <c:pt idx="114">
                  <c:v>0.47500000000000003</c:v>
                </c:pt>
                <c:pt idx="115">
                  <c:v>0.47916666666666669</c:v>
                </c:pt>
                <c:pt idx="116">
                  <c:v>0.48333333333333334</c:v>
                </c:pt>
                <c:pt idx="117">
                  <c:v>0.48749999999999999</c:v>
                </c:pt>
                <c:pt idx="118">
                  <c:v>0.4916666666666667</c:v>
                </c:pt>
                <c:pt idx="119">
                  <c:v>0.49583333333333335</c:v>
                </c:pt>
                <c:pt idx="120">
                  <c:v>0.5</c:v>
                </c:pt>
                <c:pt idx="121">
                  <c:v>0.50416666666666665</c:v>
                </c:pt>
                <c:pt idx="122">
                  <c:v>0.5083333333333333</c:v>
                </c:pt>
                <c:pt idx="123">
                  <c:v>0.51250000000000007</c:v>
                </c:pt>
                <c:pt idx="124">
                  <c:v>0.51666666666666672</c:v>
                </c:pt>
                <c:pt idx="125">
                  <c:v>0.52083333333333337</c:v>
                </c:pt>
                <c:pt idx="126">
                  <c:v>0.52500000000000002</c:v>
                </c:pt>
                <c:pt idx="127">
                  <c:v>0.52916666666666667</c:v>
                </c:pt>
                <c:pt idx="128">
                  <c:v>0.53333333333333333</c:v>
                </c:pt>
                <c:pt idx="129">
                  <c:v>0.53749999999999998</c:v>
                </c:pt>
                <c:pt idx="130">
                  <c:v>0.54166666666666663</c:v>
                </c:pt>
                <c:pt idx="131">
                  <c:v>0.54583333333333328</c:v>
                </c:pt>
                <c:pt idx="132">
                  <c:v>0.54999999999999993</c:v>
                </c:pt>
                <c:pt idx="133">
                  <c:v>0.5541666666666667</c:v>
                </c:pt>
                <c:pt idx="134">
                  <c:v>0.55833333333333335</c:v>
                </c:pt>
                <c:pt idx="135">
                  <c:v>0.5625</c:v>
                </c:pt>
                <c:pt idx="136">
                  <c:v>0.56666666666666665</c:v>
                </c:pt>
                <c:pt idx="137">
                  <c:v>0.5708333333333333</c:v>
                </c:pt>
                <c:pt idx="138">
                  <c:v>0.57500000000000007</c:v>
                </c:pt>
                <c:pt idx="139">
                  <c:v>0.57916666666666672</c:v>
                </c:pt>
                <c:pt idx="140">
                  <c:v>0.58333333333333337</c:v>
                </c:pt>
                <c:pt idx="141">
                  <c:v>0.58750000000000002</c:v>
                </c:pt>
                <c:pt idx="142">
                  <c:v>0.59166666666666667</c:v>
                </c:pt>
                <c:pt idx="143">
                  <c:v>0.59583333333333333</c:v>
                </c:pt>
                <c:pt idx="144">
                  <c:v>0.6</c:v>
                </c:pt>
                <c:pt idx="145">
                  <c:v>0.60416666666666663</c:v>
                </c:pt>
                <c:pt idx="146">
                  <c:v>0.60833333333333328</c:v>
                </c:pt>
                <c:pt idx="147">
                  <c:v>0.61249999999999993</c:v>
                </c:pt>
                <c:pt idx="148">
                  <c:v>0.6166666666666667</c:v>
                </c:pt>
                <c:pt idx="149">
                  <c:v>0.62083333333333335</c:v>
                </c:pt>
                <c:pt idx="150">
                  <c:v>0.625</c:v>
                </c:pt>
                <c:pt idx="151">
                  <c:v>0.62916666666666665</c:v>
                </c:pt>
                <c:pt idx="152">
                  <c:v>0.6333333333333333</c:v>
                </c:pt>
                <c:pt idx="153">
                  <c:v>0.63750000000000007</c:v>
                </c:pt>
                <c:pt idx="154">
                  <c:v>0.64166666666666672</c:v>
                </c:pt>
                <c:pt idx="155">
                  <c:v>0.64583333333333337</c:v>
                </c:pt>
                <c:pt idx="156">
                  <c:v>0.65</c:v>
                </c:pt>
                <c:pt idx="157">
                  <c:v>0.65416666666666667</c:v>
                </c:pt>
                <c:pt idx="158">
                  <c:v>0.65833333333333333</c:v>
                </c:pt>
                <c:pt idx="159">
                  <c:v>0.66249999999999998</c:v>
                </c:pt>
                <c:pt idx="160">
                  <c:v>0.66666666666666663</c:v>
                </c:pt>
                <c:pt idx="161">
                  <c:v>0.67083333333333339</c:v>
                </c:pt>
                <c:pt idx="162">
                  <c:v>0.67499999999999993</c:v>
                </c:pt>
                <c:pt idx="163">
                  <c:v>0.6791666666666667</c:v>
                </c:pt>
                <c:pt idx="164">
                  <c:v>0.68333333333333324</c:v>
                </c:pt>
                <c:pt idx="165">
                  <c:v>0.6875</c:v>
                </c:pt>
                <c:pt idx="166">
                  <c:v>0.69166666666666676</c:v>
                </c:pt>
                <c:pt idx="167">
                  <c:v>0.6958333333333333</c:v>
                </c:pt>
                <c:pt idx="168">
                  <c:v>0.70000000000000007</c:v>
                </c:pt>
                <c:pt idx="169">
                  <c:v>0.70416666666666661</c:v>
                </c:pt>
                <c:pt idx="170">
                  <c:v>0.70833333333333337</c:v>
                </c:pt>
                <c:pt idx="171">
                  <c:v>0.71250000000000002</c:v>
                </c:pt>
                <c:pt idx="172">
                  <c:v>0.71666666666666667</c:v>
                </c:pt>
                <c:pt idx="173">
                  <c:v>0.72083333333333333</c:v>
                </c:pt>
                <c:pt idx="174">
                  <c:v>0.72499999999999998</c:v>
                </c:pt>
                <c:pt idx="175">
                  <c:v>0.72916666666666663</c:v>
                </c:pt>
                <c:pt idx="176">
                  <c:v>0.73333333333333339</c:v>
                </c:pt>
                <c:pt idx="177">
                  <c:v>0.73749999999999993</c:v>
                </c:pt>
                <c:pt idx="178">
                  <c:v>0.7416666666666667</c:v>
                </c:pt>
                <c:pt idx="179">
                  <c:v>0.74583333333333324</c:v>
                </c:pt>
                <c:pt idx="180">
                  <c:v>0.75</c:v>
                </c:pt>
                <c:pt idx="181">
                  <c:v>0.75416666666666676</c:v>
                </c:pt>
                <c:pt idx="182">
                  <c:v>0.7583333333333333</c:v>
                </c:pt>
                <c:pt idx="183">
                  <c:v>0.76250000000000007</c:v>
                </c:pt>
                <c:pt idx="184">
                  <c:v>0.76666666666666661</c:v>
                </c:pt>
                <c:pt idx="185">
                  <c:v>0.77083333333333337</c:v>
                </c:pt>
                <c:pt idx="186">
                  <c:v>0.77500000000000002</c:v>
                </c:pt>
                <c:pt idx="187">
                  <c:v>0.77916666666666667</c:v>
                </c:pt>
                <c:pt idx="188">
                  <c:v>0.78333333333333333</c:v>
                </c:pt>
                <c:pt idx="189">
                  <c:v>0.78749999999999998</c:v>
                </c:pt>
                <c:pt idx="190">
                  <c:v>0.79166666666666663</c:v>
                </c:pt>
                <c:pt idx="191">
                  <c:v>0.79583333333333339</c:v>
                </c:pt>
                <c:pt idx="192">
                  <c:v>0.79999999999999993</c:v>
                </c:pt>
                <c:pt idx="193">
                  <c:v>0.8041666666666667</c:v>
                </c:pt>
                <c:pt idx="194">
                  <c:v>0.80833333333333324</c:v>
                </c:pt>
                <c:pt idx="195">
                  <c:v>0.8125</c:v>
                </c:pt>
                <c:pt idx="196">
                  <c:v>0.81666666666666676</c:v>
                </c:pt>
                <c:pt idx="197">
                  <c:v>0.8208333333333333</c:v>
                </c:pt>
                <c:pt idx="198">
                  <c:v>0.82500000000000007</c:v>
                </c:pt>
                <c:pt idx="199">
                  <c:v>0.82916666666666661</c:v>
                </c:pt>
                <c:pt idx="200">
                  <c:v>0.83333333333333337</c:v>
                </c:pt>
                <c:pt idx="201">
                  <c:v>0.83750000000000002</c:v>
                </c:pt>
                <c:pt idx="202">
                  <c:v>0.84166666666666667</c:v>
                </c:pt>
                <c:pt idx="203">
                  <c:v>0.84583333333333333</c:v>
                </c:pt>
                <c:pt idx="204">
                  <c:v>0.85</c:v>
                </c:pt>
                <c:pt idx="205">
                  <c:v>0.85416666666666663</c:v>
                </c:pt>
                <c:pt idx="206">
                  <c:v>0.85833333333333339</c:v>
                </c:pt>
                <c:pt idx="207">
                  <c:v>0.86249999999999993</c:v>
                </c:pt>
                <c:pt idx="208">
                  <c:v>0.8666666666666667</c:v>
                </c:pt>
                <c:pt idx="209">
                  <c:v>0.87083333333333324</c:v>
                </c:pt>
                <c:pt idx="210">
                  <c:v>0.875</c:v>
                </c:pt>
                <c:pt idx="211">
                  <c:v>0.87916666666666676</c:v>
                </c:pt>
                <c:pt idx="212">
                  <c:v>0.8833333333333333</c:v>
                </c:pt>
                <c:pt idx="213">
                  <c:v>0.88750000000000007</c:v>
                </c:pt>
                <c:pt idx="214">
                  <c:v>0.89166666666666661</c:v>
                </c:pt>
                <c:pt idx="215">
                  <c:v>0.89583333333333337</c:v>
                </c:pt>
                <c:pt idx="216">
                  <c:v>0.9</c:v>
                </c:pt>
                <c:pt idx="217">
                  <c:v>0.90416666666666667</c:v>
                </c:pt>
                <c:pt idx="218">
                  <c:v>0.90833333333333333</c:v>
                </c:pt>
                <c:pt idx="219">
                  <c:v>0.91249999999999998</c:v>
                </c:pt>
                <c:pt idx="220">
                  <c:v>0.91666666666666663</c:v>
                </c:pt>
                <c:pt idx="221">
                  <c:v>0.92083333333333339</c:v>
                </c:pt>
                <c:pt idx="222">
                  <c:v>0.92499999999999993</c:v>
                </c:pt>
                <c:pt idx="223">
                  <c:v>0.9291666666666667</c:v>
                </c:pt>
                <c:pt idx="224">
                  <c:v>0.93333333333333324</c:v>
                </c:pt>
                <c:pt idx="225">
                  <c:v>0.9375</c:v>
                </c:pt>
                <c:pt idx="226">
                  <c:v>0.94166666666666676</c:v>
                </c:pt>
                <c:pt idx="227">
                  <c:v>0.9458333333333333</c:v>
                </c:pt>
                <c:pt idx="228">
                  <c:v>0.95000000000000007</c:v>
                </c:pt>
                <c:pt idx="229">
                  <c:v>0.95416666666666661</c:v>
                </c:pt>
                <c:pt idx="230">
                  <c:v>0.95833333333333337</c:v>
                </c:pt>
                <c:pt idx="231">
                  <c:v>0.96250000000000002</c:v>
                </c:pt>
                <c:pt idx="232">
                  <c:v>0.96666666666666667</c:v>
                </c:pt>
                <c:pt idx="233">
                  <c:v>0.97083333333333333</c:v>
                </c:pt>
                <c:pt idx="234">
                  <c:v>0.97499999999999998</c:v>
                </c:pt>
                <c:pt idx="235">
                  <c:v>0.97916666666666663</c:v>
                </c:pt>
                <c:pt idx="236">
                  <c:v>0.98333333333333339</c:v>
                </c:pt>
                <c:pt idx="237">
                  <c:v>0.98749999999999993</c:v>
                </c:pt>
                <c:pt idx="238">
                  <c:v>0.9916666666666667</c:v>
                </c:pt>
                <c:pt idx="239">
                  <c:v>0.99583333333333324</c:v>
                </c:pt>
                <c:pt idx="240">
                  <c:v>1</c:v>
                </c:pt>
              </c:numCache>
            </c:numRef>
          </c:xVal>
          <c:yVal>
            <c:numRef>
              <c:f>Precip_YHD4!$F$3:$F$243</c:f>
              <c:numCache>
                <c:formatCode>General</c:formatCode>
                <c:ptCount val="241"/>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c:v>
                </c:pt>
                <c:pt idx="76">
                  <c:v>0</c:v>
                </c:pt>
                <c:pt idx="77">
                  <c:v>0.01</c:v>
                </c:pt>
                <c:pt idx="78">
                  <c:v>0.01</c:v>
                </c:pt>
                <c:pt idx="79">
                  <c:v>0.01</c:v>
                </c:pt>
                <c:pt idx="80">
                  <c:v>0.01</c:v>
                </c:pt>
                <c:pt idx="81">
                  <c:v>0.01</c:v>
                </c:pt>
                <c:pt idx="82">
                  <c:v>0.01</c:v>
                </c:pt>
                <c:pt idx="83">
                  <c:v>0.01</c:v>
                </c:pt>
                <c:pt idx="84">
                  <c:v>0.01</c:v>
                </c:pt>
                <c:pt idx="85">
                  <c:v>0.01</c:v>
                </c:pt>
                <c:pt idx="86">
                  <c:v>0.01</c:v>
                </c:pt>
                <c:pt idx="87">
                  <c:v>0.01</c:v>
                </c:pt>
                <c:pt idx="88">
                  <c:v>0.01</c:v>
                </c:pt>
                <c:pt idx="89">
                  <c:v>0.01</c:v>
                </c:pt>
                <c:pt idx="90">
                  <c:v>0.01</c:v>
                </c:pt>
                <c:pt idx="91">
                  <c:v>0.01</c:v>
                </c:pt>
                <c:pt idx="92">
                  <c:v>0.01</c:v>
                </c:pt>
                <c:pt idx="93">
                  <c:v>0.01</c:v>
                </c:pt>
                <c:pt idx="94">
                  <c:v>0.01</c:v>
                </c:pt>
                <c:pt idx="95">
                  <c:v>0.01</c:v>
                </c:pt>
                <c:pt idx="96">
                  <c:v>0.01</c:v>
                </c:pt>
                <c:pt idx="97">
                  <c:v>0.01</c:v>
                </c:pt>
                <c:pt idx="98">
                  <c:v>0.01</c:v>
                </c:pt>
                <c:pt idx="99">
                  <c:v>0.01</c:v>
                </c:pt>
                <c:pt idx="100">
                  <c:v>0.01</c:v>
                </c:pt>
                <c:pt idx="101">
                  <c:v>0.02</c:v>
                </c:pt>
                <c:pt idx="102">
                  <c:v>0.02</c:v>
                </c:pt>
                <c:pt idx="103">
                  <c:v>0.02</c:v>
                </c:pt>
                <c:pt idx="104">
                  <c:v>0.02</c:v>
                </c:pt>
                <c:pt idx="105">
                  <c:v>0.02</c:v>
                </c:pt>
                <c:pt idx="106">
                  <c:v>0.02</c:v>
                </c:pt>
                <c:pt idx="107">
                  <c:v>0.03</c:v>
                </c:pt>
                <c:pt idx="108">
                  <c:v>0.03</c:v>
                </c:pt>
                <c:pt idx="109">
                  <c:v>0.03</c:v>
                </c:pt>
                <c:pt idx="110">
                  <c:v>0.03</c:v>
                </c:pt>
                <c:pt idx="111">
                  <c:v>0.05</c:v>
                </c:pt>
                <c:pt idx="112">
                  <c:v>0.05</c:v>
                </c:pt>
                <c:pt idx="113">
                  <c:v>0.06</c:v>
                </c:pt>
                <c:pt idx="114">
                  <c:v>0.06</c:v>
                </c:pt>
                <c:pt idx="115">
                  <c:v>7.0000000000000007E-2</c:v>
                </c:pt>
                <c:pt idx="116">
                  <c:v>0.13</c:v>
                </c:pt>
                <c:pt idx="117">
                  <c:v>0.15</c:v>
                </c:pt>
                <c:pt idx="118">
                  <c:v>0.18</c:v>
                </c:pt>
                <c:pt idx="119">
                  <c:v>0.14000000000000001</c:v>
                </c:pt>
                <c:pt idx="120">
                  <c:v>0.35</c:v>
                </c:pt>
                <c:pt idx="121">
                  <c:v>0.67</c:v>
                </c:pt>
                <c:pt idx="122">
                  <c:v>0.24</c:v>
                </c:pt>
                <c:pt idx="123">
                  <c:v>0.14000000000000001</c:v>
                </c:pt>
                <c:pt idx="124">
                  <c:v>0.19</c:v>
                </c:pt>
                <c:pt idx="125">
                  <c:v>0.18</c:v>
                </c:pt>
                <c:pt idx="126">
                  <c:v>0.1</c:v>
                </c:pt>
                <c:pt idx="127">
                  <c:v>0.09</c:v>
                </c:pt>
                <c:pt idx="128">
                  <c:v>0.08</c:v>
                </c:pt>
                <c:pt idx="129">
                  <c:v>7.0000000000000007E-2</c:v>
                </c:pt>
                <c:pt idx="130">
                  <c:v>7.0000000000000007E-2</c:v>
                </c:pt>
                <c:pt idx="131">
                  <c:v>0.05</c:v>
                </c:pt>
                <c:pt idx="132">
                  <c:v>0.05</c:v>
                </c:pt>
                <c:pt idx="133">
                  <c:v>0.04</c:v>
                </c:pt>
                <c:pt idx="134">
                  <c:v>0.04</c:v>
                </c:pt>
                <c:pt idx="135">
                  <c:v>0.04</c:v>
                </c:pt>
                <c:pt idx="136">
                  <c:v>0.03</c:v>
                </c:pt>
                <c:pt idx="137">
                  <c:v>0.03</c:v>
                </c:pt>
                <c:pt idx="138">
                  <c:v>0.03</c:v>
                </c:pt>
                <c:pt idx="139">
                  <c:v>0.03</c:v>
                </c:pt>
                <c:pt idx="140">
                  <c:v>0.03</c:v>
                </c:pt>
                <c:pt idx="141">
                  <c:v>0.03</c:v>
                </c:pt>
                <c:pt idx="142">
                  <c:v>0.03</c:v>
                </c:pt>
                <c:pt idx="143">
                  <c:v>0.02</c:v>
                </c:pt>
                <c:pt idx="144">
                  <c:v>0.02</c:v>
                </c:pt>
                <c:pt idx="145">
                  <c:v>0.02</c:v>
                </c:pt>
                <c:pt idx="146">
                  <c:v>0.02</c:v>
                </c:pt>
                <c:pt idx="147">
                  <c:v>0.02</c:v>
                </c:pt>
                <c:pt idx="148">
                  <c:v>0.02</c:v>
                </c:pt>
                <c:pt idx="149">
                  <c:v>0.02</c:v>
                </c:pt>
                <c:pt idx="150">
                  <c:v>0.02</c:v>
                </c:pt>
                <c:pt idx="151">
                  <c:v>0.02</c:v>
                </c:pt>
                <c:pt idx="152">
                  <c:v>0.02</c:v>
                </c:pt>
                <c:pt idx="153">
                  <c:v>0.02</c:v>
                </c:pt>
                <c:pt idx="154">
                  <c:v>0.02</c:v>
                </c:pt>
                <c:pt idx="155">
                  <c:v>0.02</c:v>
                </c:pt>
                <c:pt idx="156">
                  <c:v>0.02</c:v>
                </c:pt>
                <c:pt idx="157">
                  <c:v>0.02</c:v>
                </c:pt>
                <c:pt idx="158">
                  <c:v>0.02</c:v>
                </c:pt>
                <c:pt idx="159">
                  <c:v>0.02</c:v>
                </c:pt>
                <c:pt idx="160">
                  <c:v>0.02</c:v>
                </c:pt>
                <c:pt idx="161">
                  <c:v>0.02</c:v>
                </c:pt>
                <c:pt idx="162">
                  <c:v>0.02</c:v>
                </c:pt>
                <c:pt idx="163">
                  <c:v>0.02</c:v>
                </c:pt>
                <c:pt idx="164">
                  <c:v>0.02</c:v>
                </c:pt>
                <c:pt idx="165">
                  <c:v>0.02</c:v>
                </c:pt>
                <c:pt idx="166">
                  <c:v>0.02</c:v>
                </c:pt>
                <c:pt idx="167">
                  <c:v>0.02</c:v>
                </c:pt>
                <c:pt idx="168">
                  <c:v>0.02</c:v>
                </c:pt>
                <c:pt idx="169">
                  <c:v>0.01</c:v>
                </c:pt>
                <c:pt idx="170">
                  <c:v>0.01</c:v>
                </c:pt>
                <c:pt idx="171">
                  <c:v>0.01</c:v>
                </c:pt>
                <c:pt idx="172">
                  <c:v>0.01</c:v>
                </c:pt>
                <c:pt idx="173">
                  <c:v>0.01</c:v>
                </c:pt>
                <c:pt idx="174">
                  <c:v>0.01</c:v>
                </c:pt>
                <c:pt idx="175">
                  <c:v>0.01</c:v>
                </c:pt>
                <c:pt idx="176">
                  <c:v>0.01</c:v>
                </c:pt>
                <c:pt idx="177">
                  <c:v>0.01</c:v>
                </c:pt>
                <c:pt idx="178">
                  <c:v>0.01</c:v>
                </c:pt>
                <c:pt idx="179">
                  <c:v>0.01</c:v>
                </c:pt>
                <c:pt idx="180">
                  <c:v>0.01</c:v>
                </c:pt>
                <c:pt idx="181">
                  <c:v>0.01</c:v>
                </c:pt>
                <c:pt idx="182">
                  <c:v>0.01</c:v>
                </c:pt>
                <c:pt idx="183">
                  <c:v>0.01</c:v>
                </c:pt>
                <c:pt idx="184">
                  <c:v>0.01</c:v>
                </c:pt>
                <c:pt idx="185">
                  <c:v>0.01</c:v>
                </c:pt>
                <c:pt idx="186">
                  <c:v>0.01</c:v>
                </c:pt>
                <c:pt idx="187">
                  <c:v>0.01</c:v>
                </c:pt>
                <c:pt idx="188">
                  <c:v>0.01</c:v>
                </c:pt>
                <c:pt idx="189">
                  <c:v>0.01</c:v>
                </c:pt>
                <c:pt idx="190">
                  <c:v>0.01</c:v>
                </c:pt>
                <c:pt idx="191">
                  <c:v>0.01</c:v>
                </c:pt>
                <c:pt idx="192">
                  <c:v>0.01</c:v>
                </c:pt>
                <c:pt idx="193">
                  <c:v>0.01</c:v>
                </c:pt>
                <c:pt idx="194">
                  <c:v>0.01</c:v>
                </c:pt>
                <c:pt idx="195">
                  <c:v>0.01</c:v>
                </c:pt>
                <c:pt idx="196">
                  <c:v>0.01</c:v>
                </c:pt>
                <c:pt idx="197">
                  <c:v>0.01</c:v>
                </c:pt>
                <c:pt idx="198">
                  <c:v>0.01</c:v>
                </c:pt>
                <c:pt idx="199">
                  <c:v>0.01</c:v>
                </c:pt>
                <c:pt idx="200">
                  <c:v>0.01</c:v>
                </c:pt>
                <c:pt idx="201">
                  <c:v>0.01</c:v>
                </c:pt>
                <c:pt idx="202">
                  <c:v>0.01</c:v>
                </c:pt>
                <c:pt idx="203">
                  <c:v>0.01</c:v>
                </c:pt>
                <c:pt idx="204">
                  <c:v>0.01</c:v>
                </c:pt>
                <c:pt idx="205">
                  <c:v>0.01</c:v>
                </c:pt>
                <c:pt idx="206">
                  <c:v>0.01</c:v>
                </c:pt>
                <c:pt idx="207">
                  <c:v>0.01</c:v>
                </c:pt>
                <c:pt idx="208">
                  <c:v>0.01</c:v>
                </c:pt>
                <c:pt idx="209">
                  <c:v>0.01</c:v>
                </c:pt>
                <c:pt idx="210">
                  <c:v>0.01</c:v>
                </c:pt>
                <c:pt idx="211">
                  <c:v>0.01</c:v>
                </c:pt>
                <c:pt idx="212">
                  <c:v>0.01</c:v>
                </c:pt>
                <c:pt idx="213">
                  <c:v>0.01</c:v>
                </c:pt>
                <c:pt idx="214">
                  <c:v>0.01</c:v>
                </c:pt>
                <c:pt idx="215">
                  <c:v>0.01</c:v>
                </c:pt>
                <c:pt idx="216">
                  <c:v>0.01</c:v>
                </c:pt>
                <c:pt idx="217">
                  <c:v>0.01</c:v>
                </c:pt>
                <c:pt idx="218">
                  <c:v>0.01</c:v>
                </c:pt>
                <c:pt idx="219">
                  <c:v>0.01</c:v>
                </c:pt>
                <c:pt idx="220">
                  <c:v>0.01</c:v>
                </c:pt>
                <c:pt idx="221">
                  <c:v>0.01</c:v>
                </c:pt>
                <c:pt idx="222">
                  <c:v>0.01</c:v>
                </c:pt>
                <c:pt idx="223">
                  <c:v>0.01</c:v>
                </c:pt>
                <c:pt idx="224">
                  <c:v>0.01</c:v>
                </c:pt>
                <c:pt idx="225">
                  <c:v>0.01</c:v>
                </c:pt>
                <c:pt idx="226">
                  <c:v>0.01</c:v>
                </c:pt>
                <c:pt idx="227">
                  <c:v>0.01</c:v>
                </c:pt>
                <c:pt idx="228">
                  <c:v>0.01</c:v>
                </c:pt>
                <c:pt idx="229">
                  <c:v>0.01</c:v>
                </c:pt>
                <c:pt idx="230">
                  <c:v>0.01</c:v>
                </c:pt>
                <c:pt idx="231">
                  <c:v>0.01</c:v>
                </c:pt>
                <c:pt idx="232">
                  <c:v>0.01</c:v>
                </c:pt>
                <c:pt idx="233">
                  <c:v>0.01</c:v>
                </c:pt>
                <c:pt idx="234">
                  <c:v>0.01</c:v>
                </c:pt>
                <c:pt idx="235">
                  <c:v>0.01</c:v>
                </c:pt>
                <c:pt idx="236">
                  <c:v>0.01</c:v>
                </c:pt>
                <c:pt idx="237">
                  <c:v>0.01</c:v>
                </c:pt>
                <c:pt idx="238">
                  <c:v>0.01</c:v>
                </c:pt>
                <c:pt idx="239">
                  <c:v>0.01</c:v>
                </c:pt>
                <c:pt idx="240">
                  <c:v>0.01</c:v>
                </c:pt>
              </c:numCache>
            </c:numRef>
          </c:yVal>
          <c:smooth val="1"/>
          <c:extLst xmlns:c16r2="http://schemas.microsoft.com/office/drawing/2015/06/chart">
            <c:ext xmlns:c16="http://schemas.microsoft.com/office/drawing/2014/chart" uri="{C3380CC4-5D6E-409C-BE32-E72D297353CC}">
              <c16:uniqueId val="{00000001-F9AC-43A0-825A-84DB6A834CE7}"/>
            </c:ext>
          </c:extLst>
        </c:ser>
        <c:ser>
          <c:idx val="3"/>
          <c:order val="2"/>
          <c:tx>
            <c:v>1 Percent Annual Chance</c:v>
          </c:tx>
          <c:spPr>
            <a:ln>
              <a:solidFill>
                <a:schemeClr val="tx1"/>
              </a:solidFill>
            </a:ln>
          </c:spPr>
          <c:marker>
            <c:symbol val="none"/>
          </c:marker>
          <c:xVal>
            <c:numRef>
              <c:f>Precip_YHD4!$A$3:$A$243</c:f>
              <c:numCache>
                <c:formatCode>h:mm;@</c:formatCode>
                <c:ptCount val="241"/>
                <c:pt idx="0">
                  <c:v>0</c:v>
                </c:pt>
                <c:pt idx="1">
                  <c:v>4.1666666666666666E-3</c:v>
                </c:pt>
                <c:pt idx="2">
                  <c:v>8.3333333333333332E-3</c:v>
                </c:pt>
                <c:pt idx="3">
                  <c:v>1.2499999999999999E-2</c:v>
                </c:pt>
                <c:pt idx="4">
                  <c:v>1.6666666666666666E-2</c:v>
                </c:pt>
                <c:pt idx="5">
                  <c:v>2.0833333333333332E-2</c:v>
                </c:pt>
                <c:pt idx="6">
                  <c:v>2.4999999999999998E-2</c:v>
                </c:pt>
                <c:pt idx="7">
                  <c:v>2.9166666666666664E-2</c:v>
                </c:pt>
                <c:pt idx="8">
                  <c:v>3.3333333333333333E-2</c:v>
                </c:pt>
                <c:pt idx="9">
                  <c:v>3.7499999999999999E-2</c:v>
                </c:pt>
                <c:pt idx="10">
                  <c:v>4.1666666666666664E-2</c:v>
                </c:pt>
                <c:pt idx="11">
                  <c:v>4.5833333333333337E-2</c:v>
                </c:pt>
                <c:pt idx="12">
                  <c:v>4.9999999999999996E-2</c:v>
                </c:pt>
                <c:pt idx="13">
                  <c:v>5.4166666666666669E-2</c:v>
                </c:pt>
                <c:pt idx="14">
                  <c:v>5.8333333333333327E-2</c:v>
                </c:pt>
                <c:pt idx="15">
                  <c:v>6.25E-2</c:v>
                </c:pt>
                <c:pt idx="16">
                  <c:v>6.6666666666666666E-2</c:v>
                </c:pt>
                <c:pt idx="17">
                  <c:v>7.0833333333333331E-2</c:v>
                </c:pt>
                <c:pt idx="18">
                  <c:v>7.4999999999999997E-2</c:v>
                </c:pt>
                <c:pt idx="19">
                  <c:v>7.9166666666666663E-2</c:v>
                </c:pt>
                <c:pt idx="20">
                  <c:v>8.3333333333333329E-2</c:v>
                </c:pt>
                <c:pt idx="21">
                  <c:v>8.7500000000000008E-2</c:v>
                </c:pt>
                <c:pt idx="22">
                  <c:v>9.1666666666666674E-2</c:v>
                </c:pt>
                <c:pt idx="23">
                  <c:v>9.5833333333333326E-2</c:v>
                </c:pt>
                <c:pt idx="24">
                  <c:v>9.9999999999999992E-2</c:v>
                </c:pt>
                <c:pt idx="25">
                  <c:v>0.10416666666666667</c:v>
                </c:pt>
                <c:pt idx="26">
                  <c:v>0.10833333333333334</c:v>
                </c:pt>
                <c:pt idx="27">
                  <c:v>0.1125</c:v>
                </c:pt>
                <c:pt idx="28">
                  <c:v>0.11666666666666665</c:v>
                </c:pt>
                <c:pt idx="29">
                  <c:v>0.12083333333333333</c:v>
                </c:pt>
                <c:pt idx="30">
                  <c:v>0.125</c:v>
                </c:pt>
                <c:pt idx="31">
                  <c:v>0.12916666666666668</c:v>
                </c:pt>
                <c:pt idx="32">
                  <c:v>0.13333333333333333</c:v>
                </c:pt>
                <c:pt idx="33">
                  <c:v>0.13749999999999998</c:v>
                </c:pt>
                <c:pt idx="34">
                  <c:v>0.14166666666666666</c:v>
                </c:pt>
                <c:pt idx="35">
                  <c:v>0.14583333333333334</c:v>
                </c:pt>
                <c:pt idx="36">
                  <c:v>0.15</c:v>
                </c:pt>
                <c:pt idx="37">
                  <c:v>0.15416666666666667</c:v>
                </c:pt>
                <c:pt idx="38">
                  <c:v>0.15833333333333333</c:v>
                </c:pt>
                <c:pt idx="39">
                  <c:v>0.16250000000000001</c:v>
                </c:pt>
                <c:pt idx="40">
                  <c:v>0.16666666666666666</c:v>
                </c:pt>
                <c:pt idx="41">
                  <c:v>0.17083333333333331</c:v>
                </c:pt>
                <c:pt idx="42">
                  <c:v>0.17500000000000002</c:v>
                </c:pt>
                <c:pt idx="43">
                  <c:v>0.17916666666666667</c:v>
                </c:pt>
                <c:pt idx="44">
                  <c:v>0.18333333333333335</c:v>
                </c:pt>
                <c:pt idx="45">
                  <c:v>0.1875</c:v>
                </c:pt>
                <c:pt idx="46">
                  <c:v>0.19166666666666665</c:v>
                </c:pt>
                <c:pt idx="47">
                  <c:v>0.19583333333333333</c:v>
                </c:pt>
                <c:pt idx="48">
                  <c:v>0.19999999999999998</c:v>
                </c:pt>
                <c:pt idx="49">
                  <c:v>0.20416666666666669</c:v>
                </c:pt>
                <c:pt idx="50">
                  <c:v>0.20833333333333334</c:v>
                </c:pt>
                <c:pt idx="51">
                  <c:v>0.21249999999999999</c:v>
                </c:pt>
                <c:pt idx="52">
                  <c:v>0.21666666666666667</c:v>
                </c:pt>
                <c:pt idx="53">
                  <c:v>0.22083333333333333</c:v>
                </c:pt>
                <c:pt idx="54">
                  <c:v>0.22500000000000001</c:v>
                </c:pt>
                <c:pt idx="55">
                  <c:v>0.22916666666666666</c:v>
                </c:pt>
                <c:pt idx="56">
                  <c:v>0.23333333333333331</c:v>
                </c:pt>
                <c:pt idx="57">
                  <c:v>0.23750000000000002</c:v>
                </c:pt>
                <c:pt idx="58">
                  <c:v>0.24166666666666667</c:v>
                </c:pt>
                <c:pt idx="59">
                  <c:v>0.24583333333333335</c:v>
                </c:pt>
                <c:pt idx="60">
                  <c:v>0.25</c:v>
                </c:pt>
                <c:pt idx="61">
                  <c:v>0.25416666666666665</c:v>
                </c:pt>
                <c:pt idx="62">
                  <c:v>0.25833333333333336</c:v>
                </c:pt>
                <c:pt idx="63">
                  <c:v>0.26250000000000001</c:v>
                </c:pt>
                <c:pt idx="64">
                  <c:v>0.26666666666666666</c:v>
                </c:pt>
                <c:pt idx="65">
                  <c:v>0.27083333333333331</c:v>
                </c:pt>
                <c:pt idx="66">
                  <c:v>0.27499999999999997</c:v>
                </c:pt>
                <c:pt idx="67">
                  <c:v>0.27916666666666667</c:v>
                </c:pt>
                <c:pt idx="68">
                  <c:v>0.28333333333333333</c:v>
                </c:pt>
                <c:pt idx="69">
                  <c:v>0.28750000000000003</c:v>
                </c:pt>
                <c:pt idx="70">
                  <c:v>0.29166666666666669</c:v>
                </c:pt>
                <c:pt idx="71">
                  <c:v>0.29583333333333334</c:v>
                </c:pt>
                <c:pt idx="72">
                  <c:v>0.3</c:v>
                </c:pt>
                <c:pt idx="73">
                  <c:v>0.30416666666666664</c:v>
                </c:pt>
                <c:pt idx="74">
                  <c:v>0.30833333333333335</c:v>
                </c:pt>
                <c:pt idx="75">
                  <c:v>0.3125</c:v>
                </c:pt>
                <c:pt idx="76">
                  <c:v>0.31666666666666665</c:v>
                </c:pt>
                <c:pt idx="77">
                  <c:v>0.32083333333333336</c:v>
                </c:pt>
                <c:pt idx="78">
                  <c:v>0.32500000000000001</c:v>
                </c:pt>
                <c:pt idx="79">
                  <c:v>0.32916666666666666</c:v>
                </c:pt>
                <c:pt idx="80">
                  <c:v>0.33333333333333331</c:v>
                </c:pt>
                <c:pt idx="81">
                  <c:v>0.33749999999999997</c:v>
                </c:pt>
                <c:pt idx="82">
                  <c:v>0.34166666666666662</c:v>
                </c:pt>
                <c:pt idx="83">
                  <c:v>0.34583333333333338</c:v>
                </c:pt>
                <c:pt idx="84">
                  <c:v>0.35000000000000003</c:v>
                </c:pt>
                <c:pt idx="85">
                  <c:v>0.35416666666666669</c:v>
                </c:pt>
                <c:pt idx="86">
                  <c:v>0.35833333333333334</c:v>
                </c:pt>
                <c:pt idx="87">
                  <c:v>0.36249999999999999</c:v>
                </c:pt>
                <c:pt idx="88">
                  <c:v>0.3666666666666667</c:v>
                </c:pt>
                <c:pt idx="89">
                  <c:v>0.37083333333333335</c:v>
                </c:pt>
                <c:pt idx="90">
                  <c:v>0.375</c:v>
                </c:pt>
                <c:pt idx="91">
                  <c:v>0.37916666666666665</c:v>
                </c:pt>
                <c:pt idx="92">
                  <c:v>0.3833333333333333</c:v>
                </c:pt>
                <c:pt idx="93">
                  <c:v>0.38750000000000001</c:v>
                </c:pt>
                <c:pt idx="94">
                  <c:v>0.39166666666666666</c:v>
                </c:pt>
                <c:pt idx="95">
                  <c:v>0.39583333333333331</c:v>
                </c:pt>
                <c:pt idx="96">
                  <c:v>0.39999999999999997</c:v>
                </c:pt>
                <c:pt idx="97">
                  <c:v>0.40416666666666662</c:v>
                </c:pt>
                <c:pt idx="98">
                  <c:v>0.40833333333333338</c:v>
                </c:pt>
                <c:pt idx="99">
                  <c:v>0.41250000000000003</c:v>
                </c:pt>
                <c:pt idx="100">
                  <c:v>0.41666666666666669</c:v>
                </c:pt>
                <c:pt idx="101">
                  <c:v>0.42083333333333334</c:v>
                </c:pt>
                <c:pt idx="102">
                  <c:v>0.42499999999999999</c:v>
                </c:pt>
                <c:pt idx="103">
                  <c:v>0.4291666666666667</c:v>
                </c:pt>
                <c:pt idx="104">
                  <c:v>0.43333333333333335</c:v>
                </c:pt>
                <c:pt idx="105">
                  <c:v>0.4375</c:v>
                </c:pt>
                <c:pt idx="106">
                  <c:v>0.44166666666666665</c:v>
                </c:pt>
                <c:pt idx="107">
                  <c:v>0.4458333333333333</c:v>
                </c:pt>
                <c:pt idx="108">
                  <c:v>0.45</c:v>
                </c:pt>
                <c:pt idx="109">
                  <c:v>0.45416666666666666</c:v>
                </c:pt>
                <c:pt idx="110">
                  <c:v>0.45833333333333331</c:v>
                </c:pt>
                <c:pt idx="111">
                  <c:v>0.46249999999999997</c:v>
                </c:pt>
                <c:pt idx="112">
                  <c:v>0.46666666666666662</c:v>
                </c:pt>
                <c:pt idx="113">
                  <c:v>0.47083333333333338</c:v>
                </c:pt>
                <c:pt idx="114">
                  <c:v>0.47500000000000003</c:v>
                </c:pt>
                <c:pt idx="115">
                  <c:v>0.47916666666666669</c:v>
                </c:pt>
                <c:pt idx="116">
                  <c:v>0.48333333333333334</c:v>
                </c:pt>
                <c:pt idx="117">
                  <c:v>0.48749999999999999</c:v>
                </c:pt>
                <c:pt idx="118">
                  <c:v>0.4916666666666667</c:v>
                </c:pt>
                <c:pt idx="119">
                  <c:v>0.49583333333333335</c:v>
                </c:pt>
                <c:pt idx="120">
                  <c:v>0.5</c:v>
                </c:pt>
                <c:pt idx="121">
                  <c:v>0.50416666666666665</c:v>
                </c:pt>
                <c:pt idx="122">
                  <c:v>0.5083333333333333</c:v>
                </c:pt>
                <c:pt idx="123">
                  <c:v>0.51250000000000007</c:v>
                </c:pt>
                <c:pt idx="124">
                  <c:v>0.51666666666666672</c:v>
                </c:pt>
                <c:pt idx="125">
                  <c:v>0.52083333333333337</c:v>
                </c:pt>
                <c:pt idx="126">
                  <c:v>0.52500000000000002</c:v>
                </c:pt>
                <c:pt idx="127">
                  <c:v>0.52916666666666667</c:v>
                </c:pt>
                <c:pt idx="128">
                  <c:v>0.53333333333333333</c:v>
                </c:pt>
                <c:pt idx="129">
                  <c:v>0.53749999999999998</c:v>
                </c:pt>
                <c:pt idx="130">
                  <c:v>0.54166666666666663</c:v>
                </c:pt>
                <c:pt idx="131">
                  <c:v>0.54583333333333328</c:v>
                </c:pt>
                <c:pt idx="132">
                  <c:v>0.54999999999999993</c:v>
                </c:pt>
                <c:pt idx="133">
                  <c:v>0.5541666666666667</c:v>
                </c:pt>
                <c:pt idx="134">
                  <c:v>0.55833333333333335</c:v>
                </c:pt>
                <c:pt idx="135">
                  <c:v>0.5625</c:v>
                </c:pt>
                <c:pt idx="136">
                  <c:v>0.56666666666666665</c:v>
                </c:pt>
                <c:pt idx="137">
                  <c:v>0.5708333333333333</c:v>
                </c:pt>
                <c:pt idx="138">
                  <c:v>0.57500000000000007</c:v>
                </c:pt>
                <c:pt idx="139">
                  <c:v>0.57916666666666672</c:v>
                </c:pt>
                <c:pt idx="140">
                  <c:v>0.58333333333333337</c:v>
                </c:pt>
                <c:pt idx="141">
                  <c:v>0.58750000000000002</c:v>
                </c:pt>
                <c:pt idx="142">
                  <c:v>0.59166666666666667</c:v>
                </c:pt>
                <c:pt idx="143">
                  <c:v>0.59583333333333333</c:v>
                </c:pt>
                <c:pt idx="144">
                  <c:v>0.6</c:v>
                </c:pt>
                <c:pt idx="145">
                  <c:v>0.60416666666666663</c:v>
                </c:pt>
                <c:pt idx="146">
                  <c:v>0.60833333333333328</c:v>
                </c:pt>
                <c:pt idx="147">
                  <c:v>0.61249999999999993</c:v>
                </c:pt>
                <c:pt idx="148">
                  <c:v>0.6166666666666667</c:v>
                </c:pt>
                <c:pt idx="149">
                  <c:v>0.62083333333333335</c:v>
                </c:pt>
                <c:pt idx="150">
                  <c:v>0.625</c:v>
                </c:pt>
                <c:pt idx="151">
                  <c:v>0.62916666666666665</c:v>
                </c:pt>
                <c:pt idx="152">
                  <c:v>0.6333333333333333</c:v>
                </c:pt>
                <c:pt idx="153">
                  <c:v>0.63750000000000007</c:v>
                </c:pt>
                <c:pt idx="154">
                  <c:v>0.64166666666666672</c:v>
                </c:pt>
                <c:pt idx="155">
                  <c:v>0.64583333333333337</c:v>
                </c:pt>
                <c:pt idx="156">
                  <c:v>0.65</c:v>
                </c:pt>
                <c:pt idx="157">
                  <c:v>0.65416666666666667</c:v>
                </c:pt>
                <c:pt idx="158">
                  <c:v>0.65833333333333333</c:v>
                </c:pt>
                <c:pt idx="159">
                  <c:v>0.66249999999999998</c:v>
                </c:pt>
                <c:pt idx="160">
                  <c:v>0.66666666666666663</c:v>
                </c:pt>
                <c:pt idx="161">
                  <c:v>0.67083333333333339</c:v>
                </c:pt>
                <c:pt idx="162">
                  <c:v>0.67499999999999993</c:v>
                </c:pt>
                <c:pt idx="163">
                  <c:v>0.6791666666666667</c:v>
                </c:pt>
                <c:pt idx="164">
                  <c:v>0.68333333333333324</c:v>
                </c:pt>
                <c:pt idx="165">
                  <c:v>0.6875</c:v>
                </c:pt>
                <c:pt idx="166">
                  <c:v>0.69166666666666676</c:v>
                </c:pt>
                <c:pt idx="167">
                  <c:v>0.6958333333333333</c:v>
                </c:pt>
                <c:pt idx="168">
                  <c:v>0.70000000000000007</c:v>
                </c:pt>
                <c:pt idx="169">
                  <c:v>0.70416666666666661</c:v>
                </c:pt>
                <c:pt idx="170">
                  <c:v>0.70833333333333337</c:v>
                </c:pt>
                <c:pt idx="171">
                  <c:v>0.71250000000000002</c:v>
                </c:pt>
                <c:pt idx="172">
                  <c:v>0.71666666666666667</c:v>
                </c:pt>
                <c:pt idx="173">
                  <c:v>0.72083333333333333</c:v>
                </c:pt>
                <c:pt idx="174">
                  <c:v>0.72499999999999998</c:v>
                </c:pt>
                <c:pt idx="175">
                  <c:v>0.72916666666666663</c:v>
                </c:pt>
                <c:pt idx="176">
                  <c:v>0.73333333333333339</c:v>
                </c:pt>
                <c:pt idx="177">
                  <c:v>0.73749999999999993</c:v>
                </c:pt>
                <c:pt idx="178">
                  <c:v>0.7416666666666667</c:v>
                </c:pt>
                <c:pt idx="179">
                  <c:v>0.74583333333333324</c:v>
                </c:pt>
                <c:pt idx="180">
                  <c:v>0.75</c:v>
                </c:pt>
                <c:pt idx="181">
                  <c:v>0.75416666666666676</c:v>
                </c:pt>
                <c:pt idx="182">
                  <c:v>0.7583333333333333</c:v>
                </c:pt>
                <c:pt idx="183">
                  <c:v>0.76250000000000007</c:v>
                </c:pt>
                <c:pt idx="184">
                  <c:v>0.76666666666666661</c:v>
                </c:pt>
                <c:pt idx="185">
                  <c:v>0.77083333333333337</c:v>
                </c:pt>
                <c:pt idx="186">
                  <c:v>0.77500000000000002</c:v>
                </c:pt>
                <c:pt idx="187">
                  <c:v>0.77916666666666667</c:v>
                </c:pt>
                <c:pt idx="188">
                  <c:v>0.78333333333333333</c:v>
                </c:pt>
                <c:pt idx="189">
                  <c:v>0.78749999999999998</c:v>
                </c:pt>
                <c:pt idx="190">
                  <c:v>0.79166666666666663</c:v>
                </c:pt>
                <c:pt idx="191">
                  <c:v>0.79583333333333339</c:v>
                </c:pt>
                <c:pt idx="192">
                  <c:v>0.79999999999999993</c:v>
                </c:pt>
                <c:pt idx="193">
                  <c:v>0.8041666666666667</c:v>
                </c:pt>
                <c:pt idx="194">
                  <c:v>0.80833333333333324</c:v>
                </c:pt>
                <c:pt idx="195">
                  <c:v>0.8125</c:v>
                </c:pt>
                <c:pt idx="196">
                  <c:v>0.81666666666666676</c:v>
                </c:pt>
                <c:pt idx="197">
                  <c:v>0.8208333333333333</c:v>
                </c:pt>
                <c:pt idx="198">
                  <c:v>0.82500000000000007</c:v>
                </c:pt>
                <c:pt idx="199">
                  <c:v>0.82916666666666661</c:v>
                </c:pt>
                <c:pt idx="200">
                  <c:v>0.83333333333333337</c:v>
                </c:pt>
                <c:pt idx="201">
                  <c:v>0.83750000000000002</c:v>
                </c:pt>
                <c:pt idx="202">
                  <c:v>0.84166666666666667</c:v>
                </c:pt>
                <c:pt idx="203">
                  <c:v>0.84583333333333333</c:v>
                </c:pt>
                <c:pt idx="204">
                  <c:v>0.85</c:v>
                </c:pt>
                <c:pt idx="205">
                  <c:v>0.85416666666666663</c:v>
                </c:pt>
                <c:pt idx="206">
                  <c:v>0.85833333333333339</c:v>
                </c:pt>
                <c:pt idx="207">
                  <c:v>0.86249999999999993</c:v>
                </c:pt>
                <c:pt idx="208">
                  <c:v>0.8666666666666667</c:v>
                </c:pt>
                <c:pt idx="209">
                  <c:v>0.87083333333333324</c:v>
                </c:pt>
                <c:pt idx="210">
                  <c:v>0.875</c:v>
                </c:pt>
                <c:pt idx="211">
                  <c:v>0.87916666666666676</c:v>
                </c:pt>
                <c:pt idx="212">
                  <c:v>0.8833333333333333</c:v>
                </c:pt>
                <c:pt idx="213">
                  <c:v>0.88750000000000007</c:v>
                </c:pt>
                <c:pt idx="214">
                  <c:v>0.89166666666666661</c:v>
                </c:pt>
                <c:pt idx="215">
                  <c:v>0.89583333333333337</c:v>
                </c:pt>
                <c:pt idx="216">
                  <c:v>0.9</c:v>
                </c:pt>
                <c:pt idx="217">
                  <c:v>0.90416666666666667</c:v>
                </c:pt>
                <c:pt idx="218">
                  <c:v>0.90833333333333333</c:v>
                </c:pt>
                <c:pt idx="219">
                  <c:v>0.91249999999999998</c:v>
                </c:pt>
                <c:pt idx="220">
                  <c:v>0.91666666666666663</c:v>
                </c:pt>
                <c:pt idx="221">
                  <c:v>0.92083333333333339</c:v>
                </c:pt>
                <c:pt idx="222">
                  <c:v>0.92499999999999993</c:v>
                </c:pt>
                <c:pt idx="223">
                  <c:v>0.9291666666666667</c:v>
                </c:pt>
                <c:pt idx="224">
                  <c:v>0.93333333333333324</c:v>
                </c:pt>
                <c:pt idx="225">
                  <c:v>0.9375</c:v>
                </c:pt>
                <c:pt idx="226">
                  <c:v>0.94166666666666676</c:v>
                </c:pt>
                <c:pt idx="227">
                  <c:v>0.9458333333333333</c:v>
                </c:pt>
                <c:pt idx="228">
                  <c:v>0.95000000000000007</c:v>
                </c:pt>
                <c:pt idx="229">
                  <c:v>0.95416666666666661</c:v>
                </c:pt>
                <c:pt idx="230">
                  <c:v>0.95833333333333337</c:v>
                </c:pt>
                <c:pt idx="231">
                  <c:v>0.96250000000000002</c:v>
                </c:pt>
                <c:pt idx="232">
                  <c:v>0.96666666666666667</c:v>
                </c:pt>
                <c:pt idx="233">
                  <c:v>0.97083333333333333</c:v>
                </c:pt>
                <c:pt idx="234">
                  <c:v>0.97499999999999998</c:v>
                </c:pt>
                <c:pt idx="235">
                  <c:v>0.97916666666666663</c:v>
                </c:pt>
                <c:pt idx="236">
                  <c:v>0.98333333333333339</c:v>
                </c:pt>
                <c:pt idx="237">
                  <c:v>0.98749999999999993</c:v>
                </c:pt>
                <c:pt idx="238">
                  <c:v>0.9916666666666667</c:v>
                </c:pt>
                <c:pt idx="239">
                  <c:v>0.99583333333333324</c:v>
                </c:pt>
                <c:pt idx="240">
                  <c:v>1</c:v>
                </c:pt>
              </c:numCache>
            </c:numRef>
          </c:xVal>
          <c:yVal>
            <c:numRef>
              <c:f>Precip_YHD4!$E$3:$E$243</c:f>
              <c:numCache>
                <c:formatCode>General</c:formatCode>
                <c:ptCount val="241"/>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c:v>
                </c:pt>
                <c:pt idx="76">
                  <c:v>0</c:v>
                </c:pt>
                <c:pt idx="77">
                  <c:v>0</c:v>
                </c:pt>
                <c:pt idx="78">
                  <c:v>0</c:v>
                </c:pt>
                <c:pt idx="79">
                  <c:v>0</c:v>
                </c:pt>
                <c:pt idx="80">
                  <c:v>0</c:v>
                </c:pt>
                <c:pt idx="81">
                  <c:v>0</c:v>
                </c:pt>
                <c:pt idx="82">
                  <c:v>0</c:v>
                </c:pt>
                <c:pt idx="83">
                  <c:v>0</c:v>
                </c:pt>
                <c:pt idx="84">
                  <c:v>0</c:v>
                </c:pt>
                <c:pt idx="85">
                  <c:v>0</c:v>
                </c:pt>
                <c:pt idx="86">
                  <c:v>0</c:v>
                </c:pt>
                <c:pt idx="87">
                  <c:v>0</c:v>
                </c:pt>
                <c:pt idx="88">
                  <c:v>0</c:v>
                </c:pt>
                <c:pt idx="89">
                  <c:v>0</c:v>
                </c:pt>
                <c:pt idx="90">
                  <c:v>0</c:v>
                </c:pt>
                <c:pt idx="91">
                  <c:v>0</c:v>
                </c:pt>
                <c:pt idx="92">
                  <c:v>0</c:v>
                </c:pt>
                <c:pt idx="93">
                  <c:v>0.01</c:v>
                </c:pt>
                <c:pt idx="94">
                  <c:v>0.01</c:v>
                </c:pt>
                <c:pt idx="95">
                  <c:v>0.01</c:v>
                </c:pt>
                <c:pt idx="96">
                  <c:v>0.01</c:v>
                </c:pt>
                <c:pt idx="97">
                  <c:v>0.01</c:v>
                </c:pt>
                <c:pt idx="98">
                  <c:v>0.01</c:v>
                </c:pt>
                <c:pt idx="99">
                  <c:v>0.01</c:v>
                </c:pt>
                <c:pt idx="100">
                  <c:v>0.01</c:v>
                </c:pt>
                <c:pt idx="101">
                  <c:v>0.01</c:v>
                </c:pt>
                <c:pt idx="102">
                  <c:v>0.01</c:v>
                </c:pt>
                <c:pt idx="103">
                  <c:v>0.01</c:v>
                </c:pt>
                <c:pt idx="104">
                  <c:v>0.01</c:v>
                </c:pt>
                <c:pt idx="105">
                  <c:v>0.01</c:v>
                </c:pt>
                <c:pt idx="106">
                  <c:v>0.01</c:v>
                </c:pt>
                <c:pt idx="107">
                  <c:v>0.02</c:v>
                </c:pt>
                <c:pt idx="108">
                  <c:v>0.02</c:v>
                </c:pt>
                <c:pt idx="109">
                  <c:v>0.02</c:v>
                </c:pt>
                <c:pt idx="110">
                  <c:v>0.02</c:v>
                </c:pt>
                <c:pt idx="111">
                  <c:v>0.03</c:v>
                </c:pt>
                <c:pt idx="112">
                  <c:v>0.03</c:v>
                </c:pt>
                <c:pt idx="113">
                  <c:v>0.03</c:v>
                </c:pt>
                <c:pt idx="114">
                  <c:v>0.04</c:v>
                </c:pt>
                <c:pt idx="115">
                  <c:v>0.04</c:v>
                </c:pt>
                <c:pt idx="116">
                  <c:v>0.09</c:v>
                </c:pt>
                <c:pt idx="117">
                  <c:v>0.1</c:v>
                </c:pt>
                <c:pt idx="118">
                  <c:v>0.12</c:v>
                </c:pt>
                <c:pt idx="119">
                  <c:v>0.1</c:v>
                </c:pt>
                <c:pt idx="120">
                  <c:v>0.24</c:v>
                </c:pt>
                <c:pt idx="121">
                  <c:v>0.47</c:v>
                </c:pt>
                <c:pt idx="122">
                  <c:v>0.17</c:v>
                </c:pt>
                <c:pt idx="123">
                  <c:v>0.1</c:v>
                </c:pt>
                <c:pt idx="124">
                  <c:v>0.14000000000000001</c:v>
                </c:pt>
                <c:pt idx="125">
                  <c:v>0.13</c:v>
                </c:pt>
                <c:pt idx="126">
                  <c:v>7.0000000000000007E-2</c:v>
                </c:pt>
                <c:pt idx="127">
                  <c:v>0.06</c:v>
                </c:pt>
                <c:pt idx="128">
                  <c:v>0.06</c:v>
                </c:pt>
                <c:pt idx="129">
                  <c:v>0.05</c:v>
                </c:pt>
                <c:pt idx="130">
                  <c:v>0.05</c:v>
                </c:pt>
                <c:pt idx="131">
                  <c:v>0.04</c:v>
                </c:pt>
                <c:pt idx="132">
                  <c:v>0.03</c:v>
                </c:pt>
                <c:pt idx="133">
                  <c:v>0.03</c:v>
                </c:pt>
                <c:pt idx="134">
                  <c:v>0.03</c:v>
                </c:pt>
                <c:pt idx="135">
                  <c:v>0.03</c:v>
                </c:pt>
                <c:pt idx="136">
                  <c:v>0.02</c:v>
                </c:pt>
                <c:pt idx="137">
                  <c:v>0.02</c:v>
                </c:pt>
                <c:pt idx="138">
                  <c:v>0.02</c:v>
                </c:pt>
                <c:pt idx="139">
                  <c:v>0.02</c:v>
                </c:pt>
                <c:pt idx="140">
                  <c:v>0.02</c:v>
                </c:pt>
                <c:pt idx="141">
                  <c:v>0.02</c:v>
                </c:pt>
                <c:pt idx="142">
                  <c:v>0.02</c:v>
                </c:pt>
                <c:pt idx="143">
                  <c:v>0.02</c:v>
                </c:pt>
                <c:pt idx="144">
                  <c:v>0.02</c:v>
                </c:pt>
                <c:pt idx="145">
                  <c:v>0.02</c:v>
                </c:pt>
                <c:pt idx="146">
                  <c:v>0.02</c:v>
                </c:pt>
                <c:pt idx="147">
                  <c:v>0.02</c:v>
                </c:pt>
                <c:pt idx="148">
                  <c:v>0.02</c:v>
                </c:pt>
                <c:pt idx="149">
                  <c:v>0.02</c:v>
                </c:pt>
                <c:pt idx="150">
                  <c:v>0.01</c:v>
                </c:pt>
                <c:pt idx="151">
                  <c:v>0.01</c:v>
                </c:pt>
                <c:pt idx="152">
                  <c:v>0.01</c:v>
                </c:pt>
                <c:pt idx="153">
                  <c:v>0.01</c:v>
                </c:pt>
                <c:pt idx="154">
                  <c:v>0.01</c:v>
                </c:pt>
                <c:pt idx="155">
                  <c:v>0.01</c:v>
                </c:pt>
                <c:pt idx="156">
                  <c:v>0.01</c:v>
                </c:pt>
                <c:pt idx="157">
                  <c:v>0.01</c:v>
                </c:pt>
                <c:pt idx="158">
                  <c:v>0.01</c:v>
                </c:pt>
                <c:pt idx="159">
                  <c:v>0.01</c:v>
                </c:pt>
                <c:pt idx="160">
                  <c:v>0.01</c:v>
                </c:pt>
                <c:pt idx="161">
                  <c:v>0.01</c:v>
                </c:pt>
                <c:pt idx="162">
                  <c:v>0.01</c:v>
                </c:pt>
                <c:pt idx="163">
                  <c:v>0.01</c:v>
                </c:pt>
                <c:pt idx="164">
                  <c:v>0.01</c:v>
                </c:pt>
                <c:pt idx="165">
                  <c:v>0.01</c:v>
                </c:pt>
                <c:pt idx="166">
                  <c:v>0.01</c:v>
                </c:pt>
                <c:pt idx="167">
                  <c:v>0.01</c:v>
                </c:pt>
                <c:pt idx="168">
                  <c:v>0.01</c:v>
                </c:pt>
                <c:pt idx="169">
                  <c:v>0.01</c:v>
                </c:pt>
                <c:pt idx="170">
                  <c:v>0.01</c:v>
                </c:pt>
                <c:pt idx="171">
                  <c:v>0.01</c:v>
                </c:pt>
                <c:pt idx="172">
                  <c:v>0.01</c:v>
                </c:pt>
                <c:pt idx="173">
                  <c:v>0.01</c:v>
                </c:pt>
                <c:pt idx="174">
                  <c:v>0.01</c:v>
                </c:pt>
                <c:pt idx="175">
                  <c:v>0.01</c:v>
                </c:pt>
                <c:pt idx="176">
                  <c:v>0.01</c:v>
                </c:pt>
                <c:pt idx="177">
                  <c:v>0.01</c:v>
                </c:pt>
                <c:pt idx="178">
                  <c:v>0.01</c:v>
                </c:pt>
                <c:pt idx="179">
                  <c:v>0.01</c:v>
                </c:pt>
                <c:pt idx="180">
                  <c:v>0.01</c:v>
                </c:pt>
                <c:pt idx="181">
                  <c:v>0.01</c:v>
                </c:pt>
                <c:pt idx="182">
                  <c:v>0.01</c:v>
                </c:pt>
                <c:pt idx="183">
                  <c:v>0.01</c:v>
                </c:pt>
                <c:pt idx="184">
                  <c:v>0.01</c:v>
                </c:pt>
                <c:pt idx="185">
                  <c:v>0.01</c:v>
                </c:pt>
                <c:pt idx="186">
                  <c:v>0.01</c:v>
                </c:pt>
                <c:pt idx="187">
                  <c:v>0.01</c:v>
                </c:pt>
                <c:pt idx="188">
                  <c:v>0.01</c:v>
                </c:pt>
                <c:pt idx="189">
                  <c:v>0.01</c:v>
                </c:pt>
                <c:pt idx="190">
                  <c:v>0.01</c:v>
                </c:pt>
                <c:pt idx="191">
                  <c:v>0.01</c:v>
                </c:pt>
                <c:pt idx="192">
                  <c:v>0.01</c:v>
                </c:pt>
                <c:pt idx="193">
                  <c:v>0.01</c:v>
                </c:pt>
                <c:pt idx="194">
                  <c:v>0.01</c:v>
                </c:pt>
                <c:pt idx="195">
                  <c:v>0.01</c:v>
                </c:pt>
                <c:pt idx="196">
                  <c:v>0.01</c:v>
                </c:pt>
                <c:pt idx="197">
                  <c:v>0.01</c:v>
                </c:pt>
                <c:pt idx="198">
                  <c:v>0.01</c:v>
                </c:pt>
                <c:pt idx="199">
                  <c:v>0.01</c:v>
                </c:pt>
                <c:pt idx="200">
                  <c:v>0.01</c:v>
                </c:pt>
                <c:pt idx="201">
                  <c:v>0.01</c:v>
                </c:pt>
                <c:pt idx="202">
                  <c:v>0.01</c:v>
                </c:pt>
                <c:pt idx="203">
                  <c:v>0.01</c:v>
                </c:pt>
                <c:pt idx="204">
                  <c:v>0.01</c:v>
                </c:pt>
                <c:pt idx="205">
                  <c:v>0.01</c:v>
                </c:pt>
                <c:pt idx="206">
                  <c:v>0.01</c:v>
                </c:pt>
                <c:pt idx="207">
                  <c:v>0.01</c:v>
                </c:pt>
                <c:pt idx="208">
                  <c:v>0.01</c:v>
                </c:pt>
                <c:pt idx="209">
                  <c:v>0.01</c:v>
                </c:pt>
                <c:pt idx="210">
                  <c:v>0.01</c:v>
                </c:pt>
                <c:pt idx="211">
                  <c:v>0.01</c:v>
                </c:pt>
                <c:pt idx="212">
                  <c:v>0.01</c:v>
                </c:pt>
                <c:pt idx="213">
                  <c:v>0.01</c:v>
                </c:pt>
                <c:pt idx="214">
                  <c:v>0.01</c:v>
                </c:pt>
                <c:pt idx="215">
                  <c:v>0.01</c:v>
                </c:pt>
                <c:pt idx="216">
                  <c:v>0.01</c:v>
                </c:pt>
                <c:pt idx="217">
                  <c:v>0.01</c:v>
                </c:pt>
                <c:pt idx="218">
                  <c:v>0.01</c:v>
                </c:pt>
                <c:pt idx="219">
                  <c:v>0.01</c:v>
                </c:pt>
                <c:pt idx="220">
                  <c:v>0.01</c:v>
                </c:pt>
                <c:pt idx="221">
                  <c:v>0.01</c:v>
                </c:pt>
                <c:pt idx="222">
                  <c:v>0.01</c:v>
                </c:pt>
                <c:pt idx="223">
                  <c:v>0.01</c:v>
                </c:pt>
                <c:pt idx="224">
                  <c:v>0.01</c:v>
                </c:pt>
                <c:pt idx="225">
                  <c:v>0.01</c:v>
                </c:pt>
                <c:pt idx="226">
                  <c:v>0.01</c:v>
                </c:pt>
                <c:pt idx="227">
                  <c:v>0.01</c:v>
                </c:pt>
                <c:pt idx="228">
                  <c:v>0.01</c:v>
                </c:pt>
                <c:pt idx="229">
                  <c:v>0.01</c:v>
                </c:pt>
                <c:pt idx="230">
                  <c:v>0.01</c:v>
                </c:pt>
                <c:pt idx="231">
                  <c:v>0.01</c:v>
                </c:pt>
                <c:pt idx="232">
                  <c:v>0.01</c:v>
                </c:pt>
                <c:pt idx="233">
                  <c:v>0.01</c:v>
                </c:pt>
                <c:pt idx="234">
                  <c:v>0.01</c:v>
                </c:pt>
                <c:pt idx="235">
                  <c:v>0.01</c:v>
                </c:pt>
                <c:pt idx="236">
                  <c:v>0.01</c:v>
                </c:pt>
                <c:pt idx="237">
                  <c:v>0.01</c:v>
                </c:pt>
                <c:pt idx="238">
                  <c:v>0.01</c:v>
                </c:pt>
                <c:pt idx="239">
                  <c:v>0.01</c:v>
                </c:pt>
                <c:pt idx="240">
                  <c:v>0.01</c:v>
                </c:pt>
              </c:numCache>
            </c:numRef>
          </c:yVal>
          <c:smooth val="1"/>
          <c:extLst xmlns:c16r2="http://schemas.microsoft.com/office/drawing/2015/06/chart">
            <c:ext xmlns:c16="http://schemas.microsoft.com/office/drawing/2014/chart" uri="{C3380CC4-5D6E-409C-BE32-E72D297353CC}">
              <c16:uniqueId val="{00000002-F9AC-43A0-825A-84DB6A834CE7}"/>
            </c:ext>
          </c:extLst>
        </c:ser>
        <c:ser>
          <c:idx val="2"/>
          <c:order val="3"/>
          <c:tx>
            <c:v>2 Percent Annual Chance</c:v>
          </c:tx>
          <c:spPr>
            <a:ln>
              <a:solidFill>
                <a:schemeClr val="tx2">
                  <a:lumMod val="60000"/>
                  <a:lumOff val="40000"/>
                </a:schemeClr>
              </a:solidFill>
            </a:ln>
          </c:spPr>
          <c:marker>
            <c:symbol val="none"/>
          </c:marker>
          <c:xVal>
            <c:numRef>
              <c:f>Precip_YHD4!$A$3:$A$243</c:f>
              <c:numCache>
                <c:formatCode>h:mm;@</c:formatCode>
                <c:ptCount val="241"/>
                <c:pt idx="0">
                  <c:v>0</c:v>
                </c:pt>
                <c:pt idx="1">
                  <c:v>4.1666666666666666E-3</c:v>
                </c:pt>
                <c:pt idx="2">
                  <c:v>8.3333333333333332E-3</c:v>
                </c:pt>
                <c:pt idx="3">
                  <c:v>1.2499999999999999E-2</c:v>
                </c:pt>
                <c:pt idx="4">
                  <c:v>1.6666666666666666E-2</c:v>
                </c:pt>
                <c:pt idx="5">
                  <c:v>2.0833333333333332E-2</c:v>
                </c:pt>
                <c:pt idx="6">
                  <c:v>2.4999999999999998E-2</c:v>
                </c:pt>
                <c:pt idx="7">
                  <c:v>2.9166666666666664E-2</c:v>
                </c:pt>
                <c:pt idx="8">
                  <c:v>3.3333333333333333E-2</c:v>
                </c:pt>
                <c:pt idx="9">
                  <c:v>3.7499999999999999E-2</c:v>
                </c:pt>
                <c:pt idx="10">
                  <c:v>4.1666666666666664E-2</c:v>
                </c:pt>
                <c:pt idx="11">
                  <c:v>4.5833333333333337E-2</c:v>
                </c:pt>
                <c:pt idx="12">
                  <c:v>4.9999999999999996E-2</c:v>
                </c:pt>
                <c:pt idx="13">
                  <c:v>5.4166666666666669E-2</c:v>
                </c:pt>
                <c:pt idx="14">
                  <c:v>5.8333333333333327E-2</c:v>
                </c:pt>
                <c:pt idx="15">
                  <c:v>6.25E-2</c:v>
                </c:pt>
                <c:pt idx="16">
                  <c:v>6.6666666666666666E-2</c:v>
                </c:pt>
                <c:pt idx="17">
                  <c:v>7.0833333333333331E-2</c:v>
                </c:pt>
                <c:pt idx="18">
                  <c:v>7.4999999999999997E-2</c:v>
                </c:pt>
                <c:pt idx="19">
                  <c:v>7.9166666666666663E-2</c:v>
                </c:pt>
                <c:pt idx="20">
                  <c:v>8.3333333333333329E-2</c:v>
                </c:pt>
                <c:pt idx="21">
                  <c:v>8.7500000000000008E-2</c:v>
                </c:pt>
                <c:pt idx="22">
                  <c:v>9.1666666666666674E-2</c:v>
                </c:pt>
                <c:pt idx="23">
                  <c:v>9.5833333333333326E-2</c:v>
                </c:pt>
                <c:pt idx="24">
                  <c:v>9.9999999999999992E-2</c:v>
                </c:pt>
                <c:pt idx="25">
                  <c:v>0.10416666666666667</c:v>
                </c:pt>
                <c:pt idx="26">
                  <c:v>0.10833333333333334</c:v>
                </c:pt>
                <c:pt idx="27">
                  <c:v>0.1125</c:v>
                </c:pt>
                <c:pt idx="28">
                  <c:v>0.11666666666666665</c:v>
                </c:pt>
                <c:pt idx="29">
                  <c:v>0.12083333333333333</c:v>
                </c:pt>
                <c:pt idx="30">
                  <c:v>0.125</c:v>
                </c:pt>
                <c:pt idx="31">
                  <c:v>0.12916666666666668</c:v>
                </c:pt>
                <c:pt idx="32">
                  <c:v>0.13333333333333333</c:v>
                </c:pt>
                <c:pt idx="33">
                  <c:v>0.13749999999999998</c:v>
                </c:pt>
                <c:pt idx="34">
                  <c:v>0.14166666666666666</c:v>
                </c:pt>
                <c:pt idx="35">
                  <c:v>0.14583333333333334</c:v>
                </c:pt>
                <c:pt idx="36">
                  <c:v>0.15</c:v>
                </c:pt>
                <c:pt idx="37">
                  <c:v>0.15416666666666667</c:v>
                </c:pt>
                <c:pt idx="38">
                  <c:v>0.15833333333333333</c:v>
                </c:pt>
                <c:pt idx="39">
                  <c:v>0.16250000000000001</c:v>
                </c:pt>
                <c:pt idx="40">
                  <c:v>0.16666666666666666</c:v>
                </c:pt>
                <c:pt idx="41">
                  <c:v>0.17083333333333331</c:v>
                </c:pt>
                <c:pt idx="42">
                  <c:v>0.17500000000000002</c:v>
                </c:pt>
                <c:pt idx="43">
                  <c:v>0.17916666666666667</c:v>
                </c:pt>
                <c:pt idx="44">
                  <c:v>0.18333333333333335</c:v>
                </c:pt>
                <c:pt idx="45">
                  <c:v>0.1875</c:v>
                </c:pt>
                <c:pt idx="46">
                  <c:v>0.19166666666666665</c:v>
                </c:pt>
                <c:pt idx="47">
                  <c:v>0.19583333333333333</c:v>
                </c:pt>
                <c:pt idx="48">
                  <c:v>0.19999999999999998</c:v>
                </c:pt>
                <c:pt idx="49">
                  <c:v>0.20416666666666669</c:v>
                </c:pt>
                <c:pt idx="50">
                  <c:v>0.20833333333333334</c:v>
                </c:pt>
                <c:pt idx="51">
                  <c:v>0.21249999999999999</c:v>
                </c:pt>
                <c:pt idx="52">
                  <c:v>0.21666666666666667</c:v>
                </c:pt>
                <c:pt idx="53">
                  <c:v>0.22083333333333333</c:v>
                </c:pt>
                <c:pt idx="54">
                  <c:v>0.22500000000000001</c:v>
                </c:pt>
                <c:pt idx="55">
                  <c:v>0.22916666666666666</c:v>
                </c:pt>
                <c:pt idx="56">
                  <c:v>0.23333333333333331</c:v>
                </c:pt>
                <c:pt idx="57">
                  <c:v>0.23750000000000002</c:v>
                </c:pt>
                <c:pt idx="58">
                  <c:v>0.24166666666666667</c:v>
                </c:pt>
                <c:pt idx="59">
                  <c:v>0.24583333333333335</c:v>
                </c:pt>
                <c:pt idx="60">
                  <c:v>0.25</c:v>
                </c:pt>
                <c:pt idx="61">
                  <c:v>0.25416666666666665</c:v>
                </c:pt>
                <c:pt idx="62">
                  <c:v>0.25833333333333336</c:v>
                </c:pt>
                <c:pt idx="63">
                  <c:v>0.26250000000000001</c:v>
                </c:pt>
                <c:pt idx="64">
                  <c:v>0.26666666666666666</c:v>
                </c:pt>
                <c:pt idx="65">
                  <c:v>0.27083333333333331</c:v>
                </c:pt>
                <c:pt idx="66">
                  <c:v>0.27499999999999997</c:v>
                </c:pt>
                <c:pt idx="67">
                  <c:v>0.27916666666666667</c:v>
                </c:pt>
                <c:pt idx="68">
                  <c:v>0.28333333333333333</c:v>
                </c:pt>
                <c:pt idx="69">
                  <c:v>0.28750000000000003</c:v>
                </c:pt>
                <c:pt idx="70">
                  <c:v>0.29166666666666669</c:v>
                </c:pt>
                <c:pt idx="71">
                  <c:v>0.29583333333333334</c:v>
                </c:pt>
                <c:pt idx="72">
                  <c:v>0.3</c:v>
                </c:pt>
                <c:pt idx="73">
                  <c:v>0.30416666666666664</c:v>
                </c:pt>
                <c:pt idx="74">
                  <c:v>0.30833333333333335</c:v>
                </c:pt>
                <c:pt idx="75">
                  <c:v>0.3125</c:v>
                </c:pt>
                <c:pt idx="76">
                  <c:v>0.31666666666666665</c:v>
                </c:pt>
                <c:pt idx="77">
                  <c:v>0.32083333333333336</c:v>
                </c:pt>
                <c:pt idx="78">
                  <c:v>0.32500000000000001</c:v>
                </c:pt>
                <c:pt idx="79">
                  <c:v>0.32916666666666666</c:v>
                </c:pt>
                <c:pt idx="80">
                  <c:v>0.33333333333333331</c:v>
                </c:pt>
                <c:pt idx="81">
                  <c:v>0.33749999999999997</c:v>
                </c:pt>
                <c:pt idx="82">
                  <c:v>0.34166666666666662</c:v>
                </c:pt>
                <c:pt idx="83">
                  <c:v>0.34583333333333338</c:v>
                </c:pt>
                <c:pt idx="84">
                  <c:v>0.35000000000000003</c:v>
                </c:pt>
                <c:pt idx="85">
                  <c:v>0.35416666666666669</c:v>
                </c:pt>
                <c:pt idx="86">
                  <c:v>0.35833333333333334</c:v>
                </c:pt>
                <c:pt idx="87">
                  <c:v>0.36249999999999999</c:v>
                </c:pt>
                <c:pt idx="88">
                  <c:v>0.3666666666666667</c:v>
                </c:pt>
                <c:pt idx="89">
                  <c:v>0.37083333333333335</c:v>
                </c:pt>
                <c:pt idx="90">
                  <c:v>0.375</c:v>
                </c:pt>
                <c:pt idx="91">
                  <c:v>0.37916666666666665</c:v>
                </c:pt>
                <c:pt idx="92">
                  <c:v>0.3833333333333333</c:v>
                </c:pt>
                <c:pt idx="93">
                  <c:v>0.38750000000000001</c:v>
                </c:pt>
                <c:pt idx="94">
                  <c:v>0.39166666666666666</c:v>
                </c:pt>
                <c:pt idx="95">
                  <c:v>0.39583333333333331</c:v>
                </c:pt>
                <c:pt idx="96">
                  <c:v>0.39999999999999997</c:v>
                </c:pt>
                <c:pt idx="97">
                  <c:v>0.40416666666666662</c:v>
                </c:pt>
                <c:pt idx="98">
                  <c:v>0.40833333333333338</c:v>
                </c:pt>
                <c:pt idx="99">
                  <c:v>0.41250000000000003</c:v>
                </c:pt>
                <c:pt idx="100">
                  <c:v>0.41666666666666669</c:v>
                </c:pt>
                <c:pt idx="101">
                  <c:v>0.42083333333333334</c:v>
                </c:pt>
                <c:pt idx="102">
                  <c:v>0.42499999999999999</c:v>
                </c:pt>
                <c:pt idx="103">
                  <c:v>0.4291666666666667</c:v>
                </c:pt>
                <c:pt idx="104">
                  <c:v>0.43333333333333335</c:v>
                </c:pt>
                <c:pt idx="105">
                  <c:v>0.4375</c:v>
                </c:pt>
                <c:pt idx="106">
                  <c:v>0.44166666666666665</c:v>
                </c:pt>
                <c:pt idx="107">
                  <c:v>0.4458333333333333</c:v>
                </c:pt>
                <c:pt idx="108">
                  <c:v>0.45</c:v>
                </c:pt>
                <c:pt idx="109">
                  <c:v>0.45416666666666666</c:v>
                </c:pt>
                <c:pt idx="110">
                  <c:v>0.45833333333333331</c:v>
                </c:pt>
                <c:pt idx="111">
                  <c:v>0.46249999999999997</c:v>
                </c:pt>
                <c:pt idx="112">
                  <c:v>0.46666666666666662</c:v>
                </c:pt>
                <c:pt idx="113">
                  <c:v>0.47083333333333338</c:v>
                </c:pt>
                <c:pt idx="114">
                  <c:v>0.47500000000000003</c:v>
                </c:pt>
                <c:pt idx="115">
                  <c:v>0.47916666666666669</c:v>
                </c:pt>
                <c:pt idx="116">
                  <c:v>0.48333333333333334</c:v>
                </c:pt>
                <c:pt idx="117">
                  <c:v>0.48749999999999999</c:v>
                </c:pt>
                <c:pt idx="118">
                  <c:v>0.4916666666666667</c:v>
                </c:pt>
                <c:pt idx="119">
                  <c:v>0.49583333333333335</c:v>
                </c:pt>
                <c:pt idx="120">
                  <c:v>0.5</c:v>
                </c:pt>
                <c:pt idx="121">
                  <c:v>0.50416666666666665</c:v>
                </c:pt>
                <c:pt idx="122">
                  <c:v>0.5083333333333333</c:v>
                </c:pt>
                <c:pt idx="123">
                  <c:v>0.51250000000000007</c:v>
                </c:pt>
                <c:pt idx="124">
                  <c:v>0.51666666666666672</c:v>
                </c:pt>
                <c:pt idx="125">
                  <c:v>0.52083333333333337</c:v>
                </c:pt>
                <c:pt idx="126">
                  <c:v>0.52500000000000002</c:v>
                </c:pt>
                <c:pt idx="127">
                  <c:v>0.52916666666666667</c:v>
                </c:pt>
                <c:pt idx="128">
                  <c:v>0.53333333333333333</c:v>
                </c:pt>
                <c:pt idx="129">
                  <c:v>0.53749999999999998</c:v>
                </c:pt>
                <c:pt idx="130">
                  <c:v>0.54166666666666663</c:v>
                </c:pt>
                <c:pt idx="131">
                  <c:v>0.54583333333333328</c:v>
                </c:pt>
                <c:pt idx="132">
                  <c:v>0.54999999999999993</c:v>
                </c:pt>
                <c:pt idx="133">
                  <c:v>0.5541666666666667</c:v>
                </c:pt>
                <c:pt idx="134">
                  <c:v>0.55833333333333335</c:v>
                </c:pt>
                <c:pt idx="135">
                  <c:v>0.5625</c:v>
                </c:pt>
                <c:pt idx="136">
                  <c:v>0.56666666666666665</c:v>
                </c:pt>
                <c:pt idx="137">
                  <c:v>0.5708333333333333</c:v>
                </c:pt>
                <c:pt idx="138">
                  <c:v>0.57500000000000007</c:v>
                </c:pt>
                <c:pt idx="139">
                  <c:v>0.57916666666666672</c:v>
                </c:pt>
                <c:pt idx="140">
                  <c:v>0.58333333333333337</c:v>
                </c:pt>
                <c:pt idx="141">
                  <c:v>0.58750000000000002</c:v>
                </c:pt>
                <c:pt idx="142">
                  <c:v>0.59166666666666667</c:v>
                </c:pt>
                <c:pt idx="143">
                  <c:v>0.59583333333333333</c:v>
                </c:pt>
                <c:pt idx="144">
                  <c:v>0.6</c:v>
                </c:pt>
                <c:pt idx="145">
                  <c:v>0.60416666666666663</c:v>
                </c:pt>
                <c:pt idx="146">
                  <c:v>0.60833333333333328</c:v>
                </c:pt>
                <c:pt idx="147">
                  <c:v>0.61249999999999993</c:v>
                </c:pt>
                <c:pt idx="148">
                  <c:v>0.6166666666666667</c:v>
                </c:pt>
                <c:pt idx="149">
                  <c:v>0.62083333333333335</c:v>
                </c:pt>
                <c:pt idx="150">
                  <c:v>0.625</c:v>
                </c:pt>
                <c:pt idx="151">
                  <c:v>0.62916666666666665</c:v>
                </c:pt>
                <c:pt idx="152">
                  <c:v>0.6333333333333333</c:v>
                </c:pt>
                <c:pt idx="153">
                  <c:v>0.63750000000000007</c:v>
                </c:pt>
                <c:pt idx="154">
                  <c:v>0.64166666666666672</c:v>
                </c:pt>
                <c:pt idx="155">
                  <c:v>0.64583333333333337</c:v>
                </c:pt>
                <c:pt idx="156">
                  <c:v>0.65</c:v>
                </c:pt>
                <c:pt idx="157">
                  <c:v>0.65416666666666667</c:v>
                </c:pt>
                <c:pt idx="158">
                  <c:v>0.65833333333333333</c:v>
                </c:pt>
                <c:pt idx="159">
                  <c:v>0.66249999999999998</c:v>
                </c:pt>
                <c:pt idx="160">
                  <c:v>0.66666666666666663</c:v>
                </c:pt>
                <c:pt idx="161">
                  <c:v>0.67083333333333339</c:v>
                </c:pt>
                <c:pt idx="162">
                  <c:v>0.67499999999999993</c:v>
                </c:pt>
                <c:pt idx="163">
                  <c:v>0.6791666666666667</c:v>
                </c:pt>
                <c:pt idx="164">
                  <c:v>0.68333333333333324</c:v>
                </c:pt>
                <c:pt idx="165">
                  <c:v>0.6875</c:v>
                </c:pt>
                <c:pt idx="166">
                  <c:v>0.69166666666666676</c:v>
                </c:pt>
                <c:pt idx="167">
                  <c:v>0.6958333333333333</c:v>
                </c:pt>
                <c:pt idx="168">
                  <c:v>0.70000000000000007</c:v>
                </c:pt>
                <c:pt idx="169">
                  <c:v>0.70416666666666661</c:v>
                </c:pt>
                <c:pt idx="170">
                  <c:v>0.70833333333333337</c:v>
                </c:pt>
                <c:pt idx="171">
                  <c:v>0.71250000000000002</c:v>
                </c:pt>
                <c:pt idx="172">
                  <c:v>0.71666666666666667</c:v>
                </c:pt>
                <c:pt idx="173">
                  <c:v>0.72083333333333333</c:v>
                </c:pt>
                <c:pt idx="174">
                  <c:v>0.72499999999999998</c:v>
                </c:pt>
                <c:pt idx="175">
                  <c:v>0.72916666666666663</c:v>
                </c:pt>
                <c:pt idx="176">
                  <c:v>0.73333333333333339</c:v>
                </c:pt>
                <c:pt idx="177">
                  <c:v>0.73749999999999993</c:v>
                </c:pt>
                <c:pt idx="178">
                  <c:v>0.7416666666666667</c:v>
                </c:pt>
                <c:pt idx="179">
                  <c:v>0.74583333333333324</c:v>
                </c:pt>
                <c:pt idx="180">
                  <c:v>0.75</c:v>
                </c:pt>
                <c:pt idx="181">
                  <c:v>0.75416666666666676</c:v>
                </c:pt>
                <c:pt idx="182">
                  <c:v>0.7583333333333333</c:v>
                </c:pt>
                <c:pt idx="183">
                  <c:v>0.76250000000000007</c:v>
                </c:pt>
                <c:pt idx="184">
                  <c:v>0.76666666666666661</c:v>
                </c:pt>
                <c:pt idx="185">
                  <c:v>0.77083333333333337</c:v>
                </c:pt>
                <c:pt idx="186">
                  <c:v>0.77500000000000002</c:v>
                </c:pt>
                <c:pt idx="187">
                  <c:v>0.77916666666666667</c:v>
                </c:pt>
                <c:pt idx="188">
                  <c:v>0.78333333333333333</c:v>
                </c:pt>
                <c:pt idx="189">
                  <c:v>0.78749999999999998</c:v>
                </c:pt>
                <c:pt idx="190">
                  <c:v>0.79166666666666663</c:v>
                </c:pt>
                <c:pt idx="191">
                  <c:v>0.79583333333333339</c:v>
                </c:pt>
                <c:pt idx="192">
                  <c:v>0.79999999999999993</c:v>
                </c:pt>
                <c:pt idx="193">
                  <c:v>0.8041666666666667</c:v>
                </c:pt>
                <c:pt idx="194">
                  <c:v>0.80833333333333324</c:v>
                </c:pt>
                <c:pt idx="195">
                  <c:v>0.8125</c:v>
                </c:pt>
                <c:pt idx="196">
                  <c:v>0.81666666666666676</c:v>
                </c:pt>
                <c:pt idx="197">
                  <c:v>0.8208333333333333</c:v>
                </c:pt>
                <c:pt idx="198">
                  <c:v>0.82500000000000007</c:v>
                </c:pt>
                <c:pt idx="199">
                  <c:v>0.82916666666666661</c:v>
                </c:pt>
                <c:pt idx="200">
                  <c:v>0.83333333333333337</c:v>
                </c:pt>
                <c:pt idx="201">
                  <c:v>0.83750000000000002</c:v>
                </c:pt>
                <c:pt idx="202">
                  <c:v>0.84166666666666667</c:v>
                </c:pt>
                <c:pt idx="203">
                  <c:v>0.84583333333333333</c:v>
                </c:pt>
                <c:pt idx="204">
                  <c:v>0.85</c:v>
                </c:pt>
                <c:pt idx="205">
                  <c:v>0.85416666666666663</c:v>
                </c:pt>
                <c:pt idx="206">
                  <c:v>0.85833333333333339</c:v>
                </c:pt>
                <c:pt idx="207">
                  <c:v>0.86249999999999993</c:v>
                </c:pt>
                <c:pt idx="208">
                  <c:v>0.8666666666666667</c:v>
                </c:pt>
                <c:pt idx="209">
                  <c:v>0.87083333333333324</c:v>
                </c:pt>
                <c:pt idx="210">
                  <c:v>0.875</c:v>
                </c:pt>
                <c:pt idx="211">
                  <c:v>0.87916666666666676</c:v>
                </c:pt>
                <c:pt idx="212">
                  <c:v>0.8833333333333333</c:v>
                </c:pt>
                <c:pt idx="213">
                  <c:v>0.88750000000000007</c:v>
                </c:pt>
                <c:pt idx="214">
                  <c:v>0.89166666666666661</c:v>
                </c:pt>
                <c:pt idx="215">
                  <c:v>0.89583333333333337</c:v>
                </c:pt>
                <c:pt idx="216">
                  <c:v>0.9</c:v>
                </c:pt>
                <c:pt idx="217">
                  <c:v>0.90416666666666667</c:v>
                </c:pt>
                <c:pt idx="218">
                  <c:v>0.90833333333333333</c:v>
                </c:pt>
                <c:pt idx="219">
                  <c:v>0.91249999999999998</c:v>
                </c:pt>
                <c:pt idx="220">
                  <c:v>0.91666666666666663</c:v>
                </c:pt>
                <c:pt idx="221">
                  <c:v>0.92083333333333339</c:v>
                </c:pt>
                <c:pt idx="222">
                  <c:v>0.92499999999999993</c:v>
                </c:pt>
                <c:pt idx="223">
                  <c:v>0.9291666666666667</c:v>
                </c:pt>
                <c:pt idx="224">
                  <c:v>0.93333333333333324</c:v>
                </c:pt>
                <c:pt idx="225">
                  <c:v>0.9375</c:v>
                </c:pt>
                <c:pt idx="226">
                  <c:v>0.94166666666666676</c:v>
                </c:pt>
                <c:pt idx="227">
                  <c:v>0.9458333333333333</c:v>
                </c:pt>
                <c:pt idx="228">
                  <c:v>0.95000000000000007</c:v>
                </c:pt>
                <c:pt idx="229">
                  <c:v>0.95416666666666661</c:v>
                </c:pt>
                <c:pt idx="230">
                  <c:v>0.95833333333333337</c:v>
                </c:pt>
                <c:pt idx="231">
                  <c:v>0.96250000000000002</c:v>
                </c:pt>
                <c:pt idx="232">
                  <c:v>0.96666666666666667</c:v>
                </c:pt>
                <c:pt idx="233">
                  <c:v>0.97083333333333333</c:v>
                </c:pt>
                <c:pt idx="234">
                  <c:v>0.97499999999999998</c:v>
                </c:pt>
                <c:pt idx="235">
                  <c:v>0.97916666666666663</c:v>
                </c:pt>
                <c:pt idx="236">
                  <c:v>0.98333333333333339</c:v>
                </c:pt>
                <c:pt idx="237">
                  <c:v>0.98749999999999993</c:v>
                </c:pt>
                <c:pt idx="238">
                  <c:v>0.9916666666666667</c:v>
                </c:pt>
                <c:pt idx="239">
                  <c:v>0.99583333333333324</c:v>
                </c:pt>
                <c:pt idx="240">
                  <c:v>1</c:v>
                </c:pt>
              </c:numCache>
            </c:numRef>
          </c:xVal>
          <c:yVal>
            <c:numRef>
              <c:f>Precip_YHD4!$D$3:$D$243</c:f>
              <c:numCache>
                <c:formatCode>General</c:formatCode>
                <c:ptCount val="241"/>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c:v>
                </c:pt>
                <c:pt idx="76">
                  <c:v>0</c:v>
                </c:pt>
                <c:pt idx="77">
                  <c:v>0</c:v>
                </c:pt>
                <c:pt idx="78">
                  <c:v>0</c:v>
                </c:pt>
                <c:pt idx="79">
                  <c:v>0</c:v>
                </c:pt>
                <c:pt idx="80">
                  <c:v>0</c:v>
                </c:pt>
                <c:pt idx="81">
                  <c:v>0</c:v>
                </c:pt>
                <c:pt idx="82">
                  <c:v>0</c:v>
                </c:pt>
                <c:pt idx="83">
                  <c:v>0</c:v>
                </c:pt>
                <c:pt idx="84">
                  <c:v>0</c:v>
                </c:pt>
                <c:pt idx="85">
                  <c:v>0</c:v>
                </c:pt>
                <c:pt idx="86">
                  <c:v>0</c:v>
                </c:pt>
                <c:pt idx="87">
                  <c:v>0</c:v>
                </c:pt>
                <c:pt idx="88">
                  <c:v>0</c:v>
                </c:pt>
                <c:pt idx="89">
                  <c:v>0</c:v>
                </c:pt>
                <c:pt idx="90">
                  <c:v>0</c:v>
                </c:pt>
                <c:pt idx="91">
                  <c:v>0</c:v>
                </c:pt>
                <c:pt idx="92">
                  <c:v>0</c:v>
                </c:pt>
                <c:pt idx="93">
                  <c:v>0</c:v>
                </c:pt>
                <c:pt idx="94">
                  <c:v>0</c:v>
                </c:pt>
                <c:pt idx="95">
                  <c:v>0</c:v>
                </c:pt>
                <c:pt idx="96">
                  <c:v>0</c:v>
                </c:pt>
                <c:pt idx="97">
                  <c:v>0</c:v>
                </c:pt>
                <c:pt idx="98">
                  <c:v>0.01</c:v>
                </c:pt>
                <c:pt idx="99">
                  <c:v>0.01</c:v>
                </c:pt>
                <c:pt idx="100">
                  <c:v>0.01</c:v>
                </c:pt>
                <c:pt idx="101">
                  <c:v>0.01</c:v>
                </c:pt>
                <c:pt idx="102">
                  <c:v>0.01</c:v>
                </c:pt>
                <c:pt idx="103">
                  <c:v>0.01</c:v>
                </c:pt>
                <c:pt idx="104">
                  <c:v>0.01</c:v>
                </c:pt>
                <c:pt idx="105">
                  <c:v>0.01</c:v>
                </c:pt>
                <c:pt idx="106">
                  <c:v>0.01</c:v>
                </c:pt>
                <c:pt idx="107">
                  <c:v>0.01</c:v>
                </c:pt>
                <c:pt idx="108">
                  <c:v>0.01</c:v>
                </c:pt>
                <c:pt idx="109">
                  <c:v>0.01</c:v>
                </c:pt>
                <c:pt idx="110">
                  <c:v>0.02</c:v>
                </c:pt>
                <c:pt idx="111">
                  <c:v>0.02</c:v>
                </c:pt>
                <c:pt idx="112">
                  <c:v>0.03</c:v>
                </c:pt>
                <c:pt idx="113">
                  <c:v>0.03</c:v>
                </c:pt>
                <c:pt idx="114">
                  <c:v>0.03</c:v>
                </c:pt>
                <c:pt idx="115">
                  <c:v>0.04</c:v>
                </c:pt>
                <c:pt idx="116">
                  <c:v>7.0000000000000007E-2</c:v>
                </c:pt>
                <c:pt idx="117">
                  <c:v>0.08</c:v>
                </c:pt>
                <c:pt idx="118">
                  <c:v>0.1</c:v>
                </c:pt>
                <c:pt idx="119">
                  <c:v>0.08</c:v>
                </c:pt>
                <c:pt idx="120">
                  <c:v>0.2</c:v>
                </c:pt>
                <c:pt idx="121">
                  <c:v>0.39</c:v>
                </c:pt>
                <c:pt idx="122">
                  <c:v>0.14000000000000001</c:v>
                </c:pt>
                <c:pt idx="123">
                  <c:v>0.08</c:v>
                </c:pt>
                <c:pt idx="124">
                  <c:v>0.12</c:v>
                </c:pt>
                <c:pt idx="125">
                  <c:v>0.11</c:v>
                </c:pt>
                <c:pt idx="126">
                  <c:v>0.06</c:v>
                </c:pt>
                <c:pt idx="127">
                  <c:v>0.05</c:v>
                </c:pt>
                <c:pt idx="128">
                  <c:v>0.05</c:v>
                </c:pt>
                <c:pt idx="129">
                  <c:v>0.05</c:v>
                </c:pt>
                <c:pt idx="130">
                  <c:v>0.04</c:v>
                </c:pt>
                <c:pt idx="131">
                  <c:v>0.03</c:v>
                </c:pt>
                <c:pt idx="132">
                  <c:v>0.03</c:v>
                </c:pt>
                <c:pt idx="133">
                  <c:v>0.03</c:v>
                </c:pt>
                <c:pt idx="134">
                  <c:v>0.03</c:v>
                </c:pt>
                <c:pt idx="135">
                  <c:v>0.03</c:v>
                </c:pt>
                <c:pt idx="136">
                  <c:v>0.02</c:v>
                </c:pt>
                <c:pt idx="137">
                  <c:v>0.02</c:v>
                </c:pt>
                <c:pt idx="138">
                  <c:v>0.02</c:v>
                </c:pt>
                <c:pt idx="139">
                  <c:v>0.02</c:v>
                </c:pt>
                <c:pt idx="140">
                  <c:v>0.02</c:v>
                </c:pt>
                <c:pt idx="141">
                  <c:v>0.02</c:v>
                </c:pt>
                <c:pt idx="142">
                  <c:v>0.02</c:v>
                </c:pt>
                <c:pt idx="143">
                  <c:v>0.02</c:v>
                </c:pt>
                <c:pt idx="144">
                  <c:v>0.02</c:v>
                </c:pt>
                <c:pt idx="145">
                  <c:v>0.01</c:v>
                </c:pt>
                <c:pt idx="146">
                  <c:v>0.01</c:v>
                </c:pt>
                <c:pt idx="147">
                  <c:v>0.01</c:v>
                </c:pt>
                <c:pt idx="148">
                  <c:v>0.01</c:v>
                </c:pt>
                <c:pt idx="149">
                  <c:v>0.01</c:v>
                </c:pt>
                <c:pt idx="150">
                  <c:v>0.01</c:v>
                </c:pt>
                <c:pt idx="151">
                  <c:v>0.01</c:v>
                </c:pt>
                <c:pt idx="152">
                  <c:v>0.01</c:v>
                </c:pt>
                <c:pt idx="153">
                  <c:v>0.01</c:v>
                </c:pt>
                <c:pt idx="154">
                  <c:v>0.01</c:v>
                </c:pt>
                <c:pt idx="155">
                  <c:v>0.01</c:v>
                </c:pt>
                <c:pt idx="156">
                  <c:v>0.01</c:v>
                </c:pt>
                <c:pt idx="157">
                  <c:v>0.01</c:v>
                </c:pt>
                <c:pt idx="158">
                  <c:v>0.01</c:v>
                </c:pt>
                <c:pt idx="159">
                  <c:v>0.01</c:v>
                </c:pt>
                <c:pt idx="160">
                  <c:v>0.01</c:v>
                </c:pt>
                <c:pt idx="161">
                  <c:v>0.01</c:v>
                </c:pt>
                <c:pt idx="162">
                  <c:v>0.01</c:v>
                </c:pt>
                <c:pt idx="163">
                  <c:v>0.01</c:v>
                </c:pt>
                <c:pt idx="164">
                  <c:v>0.01</c:v>
                </c:pt>
                <c:pt idx="165">
                  <c:v>0.01</c:v>
                </c:pt>
                <c:pt idx="166">
                  <c:v>0.01</c:v>
                </c:pt>
                <c:pt idx="167">
                  <c:v>0.01</c:v>
                </c:pt>
                <c:pt idx="168">
                  <c:v>0.01</c:v>
                </c:pt>
                <c:pt idx="169">
                  <c:v>0.01</c:v>
                </c:pt>
                <c:pt idx="170">
                  <c:v>0.01</c:v>
                </c:pt>
                <c:pt idx="171">
                  <c:v>0.01</c:v>
                </c:pt>
                <c:pt idx="172">
                  <c:v>0.01</c:v>
                </c:pt>
                <c:pt idx="173">
                  <c:v>0.01</c:v>
                </c:pt>
                <c:pt idx="174">
                  <c:v>0.01</c:v>
                </c:pt>
                <c:pt idx="175">
                  <c:v>0.01</c:v>
                </c:pt>
                <c:pt idx="176">
                  <c:v>0.01</c:v>
                </c:pt>
                <c:pt idx="177">
                  <c:v>0.01</c:v>
                </c:pt>
                <c:pt idx="178">
                  <c:v>0.01</c:v>
                </c:pt>
                <c:pt idx="179">
                  <c:v>0.01</c:v>
                </c:pt>
                <c:pt idx="180">
                  <c:v>0.01</c:v>
                </c:pt>
                <c:pt idx="181">
                  <c:v>0.01</c:v>
                </c:pt>
                <c:pt idx="182">
                  <c:v>0.01</c:v>
                </c:pt>
                <c:pt idx="183">
                  <c:v>0.01</c:v>
                </c:pt>
                <c:pt idx="184">
                  <c:v>0.01</c:v>
                </c:pt>
                <c:pt idx="185">
                  <c:v>0.01</c:v>
                </c:pt>
                <c:pt idx="186">
                  <c:v>0.01</c:v>
                </c:pt>
                <c:pt idx="187">
                  <c:v>0.01</c:v>
                </c:pt>
                <c:pt idx="188">
                  <c:v>0.01</c:v>
                </c:pt>
                <c:pt idx="189">
                  <c:v>0.01</c:v>
                </c:pt>
                <c:pt idx="190">
                  <c:v>0.01</c:v>
                </c:pt>
                <c:pt idx="191">
                  <c:v>0.01</c:v>
                </c:pt>
                <c:pt idx="192">
                  <c:v>0.01</c:v>
                </c:pt>
                <c:pt idx="193">
                  <c:v>0.01</c:v>
                </c:pt>
                <c:pt idx="194">
                  <c:v>0.01</c:v>
                </c:pt>
                <c:pt idx="195">
                  <c:v>0.01</c:v>
                </c:pt>
                <c:pt idx="196">
                  <c:v>0.01</c:v>
                </c:pt>
                <c:pt idx="197">
                  <c:v>0.01</c:v>
                </c:pt>
                <c:pt idx="198">
                  <c:v>0.01</c:v>
                </c:pt>
                <c:pt idx="199">
                  <c:v>0.01</c:v>
                </c:pt>
                <c:pt idx="200">
                  <c:v>0.01</c:v>
                </c:pt>
                <c:pt idx="201">
                  <c:v>0.01</c:v>
                </c:pt>
                <c:pt idx="202">
                  <c:v>0.01</c:v>
                </c:pt>
                <c:pt idx="203">
                  <c:v>0.01</c:v>
                </c:pt>
                <c:pt idx="204">
                  <c:v>0.01</c:v>
                </c:pt>
                <c:pt idx="205">
                  <c:v>0.01</c:v>
                </c:pt>
                <c:pt idx="206">
                  <c:v>0.01</c:v>
                </c:pt>
                <c:pt idx="207">
                  <c:v>0.01</c:v>
                </c:pt>
                <c:pt idx="208">
                  <c:v>0.01</c:v>
                </c:pt>
                <c:pt idx="209">
                  <c:v>0.01</c:v>
                </c:pt>
                <c:pt idx="210">
                  <c:v>0.01</c:v>
                </c:pt>
                <c:pt idx="211">
                  <c:v>0.01</c:v>
                </c:pt>
                <c:pt idx="212">
                  <c:v>0.01</c:v>
                </c:pt>
                <c:pt idx="213">
                  <c:v>0.01</c:v>
                </c:pt>
                <c:pt idx="214">
                  <c:v>0.01</c:v>
                </c:pt>
                <c:pt idx="215">
                  <c:v>0.01</c:v>
                </c:pt>
                <c:pt idx="216">
                  <c:v>0.01</c:v>
                </c:pt>
                <c:pt idx="217">
                  <c:v>0.01</c:v>
                </c:pt>
                <c:pt idx="218">
                  <c:v>0.01</c:v>
                </c:pt>
                <c:pt idx="219">
                  <c:v>0.01</c:v>
                </c:pt>
                <c:pt idx="220">
                  <c:v>0.01</c:v>
                </c:pt>
                <c:pt idx="221">
                  <c:v>0</c:v>
                </c:pt>
                <c:pt idx="222">
                  <c:v>0</c:v>
                </c:pt>
                <c:pt idx="223">
                  <c:v>0</c:v>
                </c:pt>
                <c:pt idx="224">
                  <c:v>0</c:v>
                </c:pt>
                <c:pt idx="225">
                  <c:v>0</c:v>
                </c:pt>
                <c:pt idx="226">
                  <c:v>0</c:v>
                </c:pt>
                <c:pt idx="227">
                  <c:v>0</c:v>
                </c:pt>
                <c:pt idx="228">
                  <c:v>0</c:v>
                </c:pt>
                <c:pt idx="229">
                  <c:v>0</c:v>
                </c:pt>
                <c:pt idx="230">
                  <c:v>0</c:v>
                </c:pt>
                <c:pt idx="231">
                  <c:v>0</c:v>
                </c:pt>
                <c:pt idx="232">
                  <c:v>0</c:v>
                </c:pt>
                <c:pt idx="233">
                  <c:v>0</c:v>
                </c:pt>
                <c:pt idx="234">
                  <c:v>0</c:v>
                </c:pt>
                <c:pt idx="235">
                  <c:v>0</c:v>
                </c:pt>
                <c:pt idx="236">
                  <c:v>0</c:v>
                </c:pt>
                <c:pt idx="237">
                  <c:v>0</c:v>
                </c:pt>
                <c:pt idx="238">
                  <c:v>0</c:v>
                </c:pt>
                <c:pt idx="239">
                  <c:v>0</c:v>
                </c:pt>
                <c:pt idx="240">
                  <c:v>0</c:v>
                </c:pt>
              </c:numCache>
            </c:numRef>
          </c:yVal>
          <c:smooth val="1"/>
          <c:extLst xmlns:c16r2="http://schemas.microsoft.com/office/drawing/2015/06/chart">
            <c:ext xmlns:c16="http://schemas.microsoft.com/office/drawing/2014/chart" uri="{C3380CC4-5D6E-409C-BE32-E72D297353CC}">
              <c16:uniqueId val="{00000003-F9AC-43A0-825A-84DB6A834CE7}"/>
            </c:ext>
          </c:extLst>
        </c:ser>
        <c:ser>
          <c:idx val="1"/>
          <c:order val="4"/>
          <c:tx>
            <c:v>4 Percent Annual Chance</c:v>
          </c:tx>
          <c:spPr>
            <a:ln>
              <a:solidFill>
                <a:srgbClr val="FFCC00"/>
              </a:solidFill>
            </a:ln>
          </c:spPr>
          <c:marker>
            <c:symbol val="none"/>
          </c:marker>
          <c:xVal>
            <c:numRef>
              <c:f>Precip_YHD4!$A$3:$A$243</c:f>
              <c:numCache>
                <c:formatCode>h:mm;@</c:formatCode>
                <c:ptCount val="241"/>
                <c:pt idx="0">
                  <c:v>0</c:v>
                </c:pt>
                <c:pt idx="1">
                  <c:v>4.1666666666666666E-3</c:v>
                </c:pt>
                <c:pt idx="2">
                  <c:v>8.3333333333333332E-3</c:v>
                </c:pt>
                <c:pt idx="3">
                  <c:v>1.2499999999999999E-2</c:v>
                </c:pt>
                <c:pt idx="4">
                  <c:v>1.6666666666666666E-2</c:v>
                </c:pt>
                <c:pt idx="5">
                  <c:v>2.0833333333333332E-2</c:v>
                </c:pt>
                <c:pt idx="6">
                  <c:v>2.4999999999999998E-2</c:v>
                </c:pt>
                <c:pt idx="7">
                  <c:v>2.9166666666666664E-2</c:v>
                </c:pt>
                <c:pt idx="8">
                  <c:v>3.3333333333333333E-2</c:v>
                </c:pt>
                <c:pt idx="9">
                  <c:v>3.7499999999999999E-2</c:v>
                </c:pt>
                <c:pt idx="10">
                  <c:v>4.1666666666666664E-2</c:v>
                </c:pt>
                <c:pt idx="11">
                  <c:v>4.5833333333333337E-2</c:v>
                </c:pt>
                <c:pt idx="12">
                  <c:v>4.9999999999999996E-2</c:v>
                </c:pt>
                <c:pt idx="13">
                  <c:v>5.4166666666666669E-2</c:v>
                </c:pt>
                <c:pt idx="14">
                  <c:v>5.8333333333333327E-2</c:v>
                </c:pt>
                <c:pt idx="15">
                  <c:v>6.25E-2</c:v>
                </c:pt>
                <c:pt idx="16">
                  <c:v>6.6666666666666666E-2</c:v>
                </c:pt>
                <c:pt idx="17">
                  <c:v>7.0833333333333331E-2</c:v>
                </c:pt>
                <c:pt idx="18">
                  <c:v>7.4999999999999997E-2</c:v>
                </c:pt>
                <c:pt idx="19">
                  <c:v>7.9166666666666663E-2</c:v>
                </c:pt>
                <c:pt idx="20">
                  <c:v>8.3333333333333329E-2</c:v>
                </c:pt>
                <c:pt idx="21">
                  <c:v>8.7500000000000008E-2</c:v>
                </c:pt>
                <c:pt idx="22">
                  <c:v>9.1666666666666674E-2</c:v>
                </c:pt>
                <c:pt idx="23">
                  <c:v>9.5833333333333326E-2</c:v>
                </c:pt>
                <c:pt idx="24">
                  <c:v>9.9999999999999992E-2</c:v>
                </c:pt>
                <c:pt idx="25">
                  <c:v>0.10416666666666667</c:v>
                </c:pt>
                <c:pt idx="26">
                  <c:v>0.10833333333333334</c:v>
                </c:pt>
                <c:pt idx="27">
                  <c:v>0.1125</c:v>
                </c:pt>
                <c:pt idx="28">
                  <c:v>0.11666666666666665</c:v>
                </c:pt>
                <c:pt idx="29">
                  <c:v>0.12083333333333333</c:v>
                </c:pt>
                <c:pt idx="30">
                  <c:v>0.125</c:v>
                </c:pt>
                <c:pt idx="31">
                  <c:v>0.12916666666666668</c:v>
                </c:pt>
                <c:pt idx="32">
                  <c:v>0.13333333333333333</c:v>
                </c:pt>
                <c:pt idx="33">
                  <c:v>0.13749999999999998</c:v>
                </c:pt>
                <c:pt idx="34">
                  <c:v>0.14166666666666666</c:v>
                </c:pt>
                <c:pt idx="35">
                  <c:v>0.14583333333333334</c:v>
                </c:pt>
                <c:pt idx="36">
                  <c:v>0.15</c:v>
                </c:pt>
                <c:pt idx="37">
                  <c:v>0.15416666666666667</c:v>
                </c:pt>
                <c:pt idx="38">
                  <c:v>0.15833333333333333</c:v>
                </c:pt>
                <c:pt idx="39">
                  <c:v>0.16250000000000001</c:v>
                </c:pt>
                <c:pt idx="40">
                  <c:v>0.16666666666666666</c:v>
                </c:pt>
                <c:pt idx="41">
                  <c:v>0.17083333333333331</c:v>
                </c:pt>
                <c:pt idx="42">
                  <c:v>0.17500000000000002</c:v>
                </c:pt>
                <c:pt idx="43">
                  <c:v>0.17916666666666667</c:v>
                </c:pt>
                <c:pt idx="44">
                  <c:v>0.18333333333333335</c:v>
                </c:pt>
                <c:pt idx="45">
                  <c:v>0.1875</c:v>
                </c:pt>
                <c:pt idx="46">
                  <c:v>0.19166666666666665</c:v>
                </c:pt>
                <c:pt idx="47">
                  <c:v>0.19583333333333333</c:v>
                </c:pt>
                <c:pt idx="48">
                  <c:v>0.19999999999999998</c:v>
                </c:pt>
                <c:pt idx="49">
                  <c:v>0.20416666666666669</c:v>
                </c:pt>
                <c:pt idx="50">
                  <c:v>0.20833333333333334</c:v>
                </c:pt>
                <c:pt idx="51">
                  <c:v>0.21249999999999999</c:v>
                </c:pt>
                <c:pt idx="52">
                  <c:v>0.21666666666666667</c:v>
                </c:pt>
                <c:pt idx="53">
                  <c:v>0.22083333333333333</c:v>
                </c:pt>
                <c:pt idx="54">
                  <c:v>0.22500000000000001</c:v>
                </c:pt>
                <c:pt idx="55">
                  <c:v>0.22916666666666666</c:v>
                </c:pt>
                <c:pt idx="56">
                  <c:v>0.23333333333333331</c:v>
                </c:pt>
                <c:pt idx="57">
                  <c:v>0.23750000000000002</c:v>
                </c:pt>
                <c:pt idx="58">
                  <c:v>0.24166666666666667</c:v>
                </c:pt>
                <c:pt idx="59">
                  <c:v>0.24583333333333335</c:v>
                </c:pt>
                <c:pt idx="60">
                  <c:v>0.25</c:v>
                </c:pt>
                <c:pt idx="61">
                  <c:v>0.25416666666666665</c:v>
                </c:pt>
                <c:pt idx="62">
                  <c:v>0.25833333333333336</c:v>
                </c:pt>
                <c:pt idx="63">
                  <c:v>0.26250000000000001</c:v>
                </c:pt>
                <c:pt idx="64">
                  <c:v>0.26666666666666666</c:v>
                </c:pt>
                <c:pt idx="65">
                  <c:v>0.27083333333333331</c:v>
                </c:pt>
                <c:pt idx="66">
                  <c:v>0.27499999999999997</c:v>
                </c:pt>
                <c:pt idx="67">
                  <c:v>0.27916666666666667</c:v>
                </c:pt>
                <c:pt idx="68">
                  <c:v>0.28333333333333333</c:v>
                </c:pt>
                <c:pt idx="69">
                  <c:v>0.28750000000000003</c:v>
                </c:pt>
                <c:pt idx="70">
                  <c:v>0.29166666666666669</c:v>
                </c:pt>
                <c:pt idx="71">
                  <c:v>0.29583333333333334</c:v>
                </c:pt>
                <c:pt idx="72">
                  <c:v>0.3</c:v>
                </c:pt>
                <c:pt idx="73">
                  <c:v>0.30416666666666664</c:v>
                </c:pt>
                <c:pt idx="74">
                  <c:v>0.30833333333333335</c:v>
                </c:pt>
                <c:pt idx="75">
                  <c:v>0.3125</c:v>
                </c:pt>
                <c:pt idx="76">
                  <c:v>0.31666666666666665</c:v>
                </c:pt>
                <c:pt idx="77">
                  <c:v>0.32083333333333336</c:v>
                </c:pt>
                <c:pt idx="78">
                  <c:v>0.32500000000000001</c:v>
                </c:pt>
                <c:pt idx="79">
                  <c:v>0.32916666666666666</c:v>
                </c:pt>
                <c:pt idx="80">
                  <c:v>0.33333333333333331</c:v>
                </c:pt>
                <c:pt idx="81">
                  <c:v>0.33749999999999997</c:v>
                </c:pt>
                <c:pt idx="82">
                  <c:v>0.34166666666666662</c:v>
                </c:pt>
                <c:pt idx="83">
                  <c:v>0.34583333333333338</c:v>
                </c:pt>
                <c:pt idx="84">
                  <c:v>0.35000000000000003</c:v>
                </c:pt>
                <c:pt idx="85">
                  <c:v>0.35416666666666669</c:v>
                </c:pt>
                <c:pt idx="86">
                  <c:v>0.35833333333333334</c:v>
                </c:pt>
                <c:pt idx="87">
                  <c:v>0.36249999999999999</c:v>
                </c:pt>
                <c:pt idx="88">
                  <c:v>0.3666666666666667</c:v>
                </c:pt>
                <c:pt idx="89">
                  <c:v>0.37083333333333335</c:v>
                </c:pt>
                <c:pt idx="90">
                  <c:v>0.375</c:v>
                </c:pt>
                <c:pt idx="91">
                  <c:v>0.37916666666666665</c:v>
                </c:pt>
                <c:pt idx="92">
                  <c:v>0.3833333333333333</c:v>
                </c:pt>
                <c:pt idx="93">
                  <c:v>0.38750000000000001</c:v>
                </c:pt>
                <c:pt idx="94">
                  <c:v>0.39166666666666666</c:v>
                </c:pt>
                <c:pt idx="95">
                  <c:v>0.39583333333333331</c:v>
                </c:pt>
                <c:pt idx="96">
                  <c:v>0.39999999999999997</c:v>
                </c:pt>
                <c:pt idx="97">
                  <c:v>0.40416666666666662</c:v>
                </c:pt>
                <c:pt idx="98">
                  <c:v>0.40833333333333338</c:v>
                </c:pt>
                <c:pt idx="99">
                  <c:v>0.41250000000000003</c:v>
                </c:pt>
                <c:pt idx="100">
                  <c:v>0.41666666666666669</c:v>
                </c:pt>
                <c:pt idx="101">
                  <c:v>0.42083333333333334</c:v>
                </c:pt>
                <c:pt idx="102">
                  <c:v>0.42499999999999999</c:v>
                </c:pt>
                <c:pt idx="103">
                  <c:v>0.4291666666666667</c:v>
                </c:pt>
                <c:pt idx="104">
                  <c:v>0.43333333333333335</c:v>
                </c:pt>
                <c:pt idx="105">
                  <c:v>0.4375</c:v>
                </c:pt>
                <c:pt idx="106">
                  <c:v>0.44166666666666665</c:v>
                </c:pt>
                <c:pt idx="107">
                  <c:v>0.4458333333333333</c:v>
                </c:pt>
                <c:pt idx="108">
                  <c:v>0.45</c:v>
                </c:pt>
                <c:pt idx="109">
                  <c:v>0.45416666666666666</c:v>
                </c:pt>
                <c:pt idx="110">
                  <c:v>0.45833333333333331</c:v>
                </c:pt>
                <c:pt idx="111">
                  <c:v>0.46249999999999997</c:v>
                </c:pt>
                <c:pt idx="112">
                  <c:v>0.46666666666666662</c:v>
                </c:pt>
                <c:pt idx="113">
                  <c:v>0.47083333333333338</c:v>
                </c:pt>
                <c:pt idx="114">
                  <c:v>0.47500000000000003</c:v>
                </c:pt>
                <c:pt idx="115">
                  <c:v>0.47916666666666669</c:v>
                </c:pt>
                <c:pt idx="116">
                  <c:v>0.48333333333333334</c:v>
                </c:pt>
                <c:pt idx="117">
                  <c:v>0.48749999999999999</c:v>
                </c:pt>
                <c:pt idx="118">
                  <c:v>0.4916666666666667</c:v>
                </c:pt>
                <c:pt idx="119">
                  <c:v>0.49583333333333335</c:v>
                </c:pt>
                <c:pt idx="120">
                  <c:v>0.5</c:v>
                </c:pt>
                <c:pt idx="121">
                  <c:v>0.50416666666666665</c:v>
                </c:pt>
                <c:pt idx="122">
                  <c:v>0.5083333333333333</c:v>
                </c:pt>
                <c:pt idx="123">
                  <c:v>0.51250000000000007</c:v>
                </c:pt>
                <c:pt idx="124">
                  <c:v>0.51666666666666672</c:v>
                </c:pt>
                <c:pt idx="125">
                  <c:v>0.52083333333333337</c:v>
                </c:pt>
                <c:pt idx="126">
                  <c:v>0.52500000000000002</c:v>
                </c:pt>
                <c:pt idx="127">
                  <c:v>0.52916666666666667</c:v>
                </c:pt>
                <c:pt idx="128">
                  <c:v>0.53333333333333333</c:v>
                </c:pt>
                <c:pt idx="129">
                  <c:v>0.53749999999999998</c:v>
                </c:pt>
                <c:pt idx="130">
                  <c:v>0.54166666666666663</c:v>
                </c:pt>
                <c:pt idx="131">
                  <c:v>0.54583333333333328</c:v>
                </c:pt>
                <c:pt idx="132">
                  <c:v>0.54999999999999993</c:v>
                </c:pt>
                <c:pt idx="133">
                  <c:v>0.5541666666666667</c:v>
                </c:pt>
                <c:pt idx="134">
                  <c:v>0.55833333333333335</c:v>
                </c:pt>
                <c:pt idx="135">
                  <c:v>0.5625</c:v>
                </c:pt>
                <c:pt idx="136">
                  <c:v>0.56666666666666665</c:v>
                </c:pt>
                <c:pt idx="137">
                  <c:v>0.5708333333333333</c:v>
                </c:pt>
                <c:pt idx="138">
                  <c:v>0.57500000000000007</c:v>
                </c:pt>
                <c:pt idx="139">
                  <c:v>0.57916666666666672</c:v>
                </c:pt>
                <c:pt idx="140">
                  <c:v>0.58333333333333337</c:v>
                </c:pt>
                <c:pt idx="141">
                  <c:v>0.58750000000000002</c:v>
                </c:pt>
                <c:pt idx="142">
                  <c:v>0.59166666666666667</c:v>
                </c:pt>
                <c:pt idx="143">
                  <c:v>0.59583333333333333</c:v>
                </c:pt>
                <c:pt idx="144">
                  <c:v>0.6</c:v>
                </c:pt>
                <c:pt idx="145">
                  <c:v>0.60416666666666663</c:v>
                </c:pt>
                <c:pt idx="146">
                  <c:v>0.60833333333333328</c:v>
                </c:pt>
                <c:pt idx="147">
                  <c:v>0.61249999999999993</c:v>
                </c:pt>
                <c:pt idx="148">
                  <c:v>0.6166666666666667</c:v>
                </c:pt>
                <c:pt idx="149">
                  <c:v>0.62083333333333335</c:v>
                </c:pt>
                <c:pt idx="150">
                  <c:v>0.625</c:v>
                </c:pt>
                <c:pt idx="151">
                  <c:v>0.62916666666666665</c:v>
                </c:pt>
                <c:pt idx="152">
                  <c:v>0.6333333333333333</c:v>
                </c:pt>
                <c:pt idx="153">
                  <c:v>0.63750000000000007</c:v>
                </c:pt>
                <c:pt idx="154">
                  <c:v>0.64166666666666672</c:v>
                </c:pt>
                <c:pt idx="155">
                  <c:v>0.64583333333333337</c:v>
                </c:pt>
                <c:pt idx="156">
                  <c:v>0.65</c:v>
                </c:pt>
                <c:pt idx="157">
                  <c:v>0.65416666666666667</c:v>
                </c:pt>
                <c:pt idx="158">
                  <c:v>0.65833333333333333</c:v>
                </c:pt>
                <c:pt idx="159">
                  <c:v>0.66249999999999998</c:v>
                </c:pt>
                <c:pt idx="160">
                  <c:v>0.66666666666666663</c:v>
                </c:pt>
                <c:pt idx="161">
                  <c:v>0.67083333333333339</c:v>
                </c:pt>
                <c:pt idx="162">
                  <c:v>0.67499999999999993</c:v>
                </c:pt>
                <c:pt idx="163">
                  <c:v>0.6791666666666667</c:v>
                </c:pt>
                <c:pt idx="164">
                  <c:v>0.68333333333333324</c:v>
                </c:pt>
                <c:pt idx="165">
                  <c:v>0.6875</c:v>
                </c:pt>
                <c:pt idx="166">
                  <c:v>0.69166666666666676</c:v>
                </c:pt>
                <c:pt idx="167">
                  <c:v>0.6958333333333333</c:v>
                </c:pt>
                <c:pt idx="168">
                  <c:v>0.70000000000000007</c:v>
                </c:pt>
                <c:pt idx="169">
                  <c:v>0.70416666666666661</c:v>
                </c:pt>
                <c:pt idx="170">
                  <c:v>0.70833333333333337</c:v>
                </c:pt>
                <c:pt idx="171">
                  <c:v>0.71250000000000002</c:v>
                </c:pt>
                <c:pt idx="172">
                  <c:v>0.71666666666666667</c:v>
                </c:pt>
                <c:pt idx="173">
                  <c:v>0.72083333333333333</c:v>
                </c:pt>
                <c:pt idx="174">
                  <c:v>0.72499999999999998</c:v>
                </c:pt>
                <c:pt idx="175">
                  <c:v>0.72916666666666663</c:v>
                </c:pt>
                <c:pt idx="176">
                  <c:v>0.73333333333333339</c:v>
                </c:pt>
                <c:pt idx="177">
                  <c:v>0.73749999999999993</c:v>
                </c:pt>
                <c:pt idx="178">
                  <c:v>0.7416666666666667</c:v>
                </c:pt>
                <c:pt idx="179">
                  <c:v>0.74583333333333324</c:v>
                </c:pt>
                <c:pt idx="180">
                  <c:v>0.75</c:v>
                </c:pt>
                <c:pt idx="181">
                  <c:v>0.75416666666666676</c:v>
                </c:pt>
                <c:pt idx="182">
                  <c:v>0.7583333333333333</c:v>
                </c:pt>
                <c:pt idx="183">
                  <c:v>0.76250000000000007</c:v>
                </c:pt>
                <c:pt idx="184">
                  <c:v>0.76666666666666661</c:v>
                </c:pt>
                <c:pt idx="185">
                  <c:v>0.77083333333333337</c:v>
                </c:pt>
                <c:pt idx="186">
                  <c:v>0.77500000000000002</c:v>
                </c:pt>
                <c:pt idx="187">
                  <c:v>0.77916666666666667</c:v>
                </c:pt>
                <c:pt idx="188">
                  <c:v>0.78333333333333333</c:v>
                </c:pt>
                <c:pt idx="189">
                  <c:v>0.78749999999999998</c:v>
                </c:pt>
                <c:pt idx="190">
                  <c:v>0.79166666666666663</c:v>
                </c:pt>
                <c:pt idx="191">
                  <c:v>0.79583333333333339</c:v>
                </c:pt>
                <c:pt idx="192">
                  <c:v>0.79999999999999993</c:v>
                </c:pt>
                <c:pt idx="193">
                  <c:v>0.8041666666666667</c:v>
                </c:pt>
                <c:pt idx="194">
                  <c:v>0.80833333333333324</c:v>
                </c:pt>
                <c:pt idx="195">
                  <c:v>0.8125</c:v>
                </c:pt>
                <c:pt idx="196">
                  <c:v>0.81666666666666676</c:v>
                </c:pt>
                <c:pt idx="197">
                  <c:v>0.8208333333333333</c:v>
                </c:pt>
                <c:pt idx="198">
                  <c:v>0.82500000000000007</c:v>
                </c:pt>
                <c:pt idx="199">
                  <c:v>0.82916666666666661</c:v>
                </c:pt>
                <c:pt idx="200">
                  <c:v>0.83333333333333337</c:v>
                </c:pt>
                <c:pt idx="201">
                  <c:v>0.83750000000000002</c:v>
                </c:pt>
                <c:pt idx="202">
                  <c:v>0.84166666666666667</c:v>
                </c:pt>
                <c:pt idx="203">
                  <c:v>0.84583333333333333</c:v>
                </c:pt>
                <c:pt idx="204">
                  <c:v>0.85</c:v>
                </c:pt>
                <c:pt idx="205">
                  <c:v>0.85416666666666663</c:v>
                </c:pt>
                <c:pt idx="206">
                  <c:v>0.85833333333333339</c:v>
                </c:pt>
                <c:pt idx="207">
                  <c:v>0.86249999999999993</c:v>
                </c:pt>
                <c:pt idx="208">
                  <c:v>0.8666666666666667</c:v>
                </c:pt>
                <c:pt idx="209">
                  <c:v>0.87083333333333324</c:v>
                </c:pt>
                <c:pt idx="210">
                  <c:v>0.875</c:v>
                </c:pt>
                <c:pt idx="211">
                  <c:v>0.87916666666666676</c:v>
                </c:pt>
                <c:pt idx="212">
                  <c:v>0.8833333333333333</c:v>
                </c:pt>
                <c:pt idx="213">
                  <c:v>0.88750000000000007</c:v>
                </c:pt>
                <c:pt idx="214">
                  <c:v>0.89166666666666661</c:v>
                </c:pt>
                <c:pt idx="215">
                  <c:v>0.89583333333333337</c:v>
                </c:pt>
                <c:pt idx="216">
                  <c:v>0.9</c:v>
                </c:pt>
                <c:pt idx="217">
                  <c:v>0.90416666666666667</c:v>
                </c:pt>
                <c:pt idx="218">
                  <c:v>0.90833333333333333</c:v>
                </c:pt>
                <c:pt idx="219">
                  <c:v>0.91249999999999998</c:v>
                </c:pt>
                <c:pt idx="220">
                  <c:v>0.91666666666666663</c:v>
                </c:pt>
                <c:pt idx="221">
                  <c:v>0.92083333333333339</c:v>
                </c:pt>
                <c:pt idx="222">
                  <c:v>0.92499999999999993</c:v>
                </c:pt>
                <c:pt idx="223">
                  <c:v>0.9291666666666667</c:v>
                </c:pt>
                <c:pt idx="224">
                  <c:v>0.93333333333333324</c:v>
                </c:pt>
                <c:pt idx="225">
                  <c:v>0.9375</c:v>
                </c:pt>
                <c:pt idx="226">
                  <c:v>0.94166666666666676</c:v>
                </c:pt>
                <c:pt idx="227">
                  <c:v>0.9458333333333333</c:v>
                </c:pt>
                <c:pt idx="228">
                  <c:v>0.95000000000000007</c:v>
                </c:pt>
                <c:pt idx="229">
                  <c:v>0.95416666666666661</c:v>
                </c:pt>
                <c:pt idx="230">
                  <c:v>0.95833333333333337</c:v>
                </c:pt>
                <c:pt idx="231">
                  <c:v>0.96250000000000002</c:v>
                </c:pt>
                <c:pt idx="232">
                  <c:v>0.96666666666666667</c:v>
                </c:pt>
                <c:pt idx="233">
                  <c:v>0.97083333333333333</c:v>
                </c:pt>
                <c:pt idx="234">
                  <c:v>0.97499999999999998</c:v>
                </c:pt>
                <c:pt idx="235">
                  <c:v>0.97916666666666663</c:v>
                </c:pt>
                <c:pt idx="236">
                  <c:v>0.98333333333333339</c:v>
                </c:pt>
                <c:pt idx="237">
                  <c:v>0.98749999999999993</c:v>
                </c:pt>
                <c:pt idx="238">
                  <c:v>0.9916666666666667</c:v>
                </c:pt>
                <c:pt idx="239">
                  <c:v>0.99583333333333324</c:v>
                </c:pt>
                <c:pt idx="240">
                  <c:v>1</c:v>
                </c:pt>
              </c:numCache>
            </c:numRef>
          </c:xVal>
          <c:yVal>
            <c:numRef>
              <c:f>Precip_YHD4!$C$3:$C$243</c:f>
              <c:numCache>
                <c:formatCode>General</c:formatCode>
                <c:ptCount val="241"/>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c:v>
                </c:pt>
                <c:pt idx="76">
                  <c:v>0</c:v>
                </c:pt>
                <c:pt idx="77">
                  <c:v>0</c:v>
                </c:pt>
                <c:pt idx="78">
                  <c:v>0</c:v>
                </c:pt>
                <c:pt idx="79">
                  <c:v>0</c:v>
                </c:pt>
                <c:pt idx="80">
                  <c:v>0</c:v>
                </c:pt>
                <c:pt idx="81">
                  <c:v>0</c:v>
                </c:pt>
                <c:pt idx="82">
                  <c:v>0</c:v>
                </c:pt>
                <c:pt idx="83">
                  <c:v>0</c:v>
                </c:pt>
                <c:pt idx="84">
                  <c:v>0</c:v>
                </c:pt>
                <c:pt idx="85">
                  <c:v>0</c:v>
                </c:pt>
                <c:pt idx="86">
                  <c:v>0</c:v>
                </c:pt>
                <c:pt idx="87">
                  <c:v>0</c:v>
                </c:pt>
                <c:pt idx="88">
                  <c:v>0</c:v>
                </c:pt>
                <c:pt idx="89">
                  <c:v>0</c:v>
                </c:pt>
                <c:pt idx="90">
                  <c:v>0</c:v>
                </c:pt>
                <c:pt idx="91">
                  <c:v>0</c:v>
                </c:pt>
                <c:pt idx="92">
                  <c:v>0</c:v>
                </c:pt>
                <c:pt idx="93">
                  <c:v>0</c:v>
                </c:pt>
                <c:pt idx="94">
                  <c:v>0</c:v>
                </c:pt>
                <c:pt idx="95">
                  <c:v>0</c:v>
                </c:pt>
                <c:pt idx="96">
                  <c:v>0</c:v>
                </c:pt>
                <c:pt idx="97">
                  <c:v>0</c:v>
                </c:pt>
                <c:pt idx="98">
                  <c:v>0</c:v>
                </c:pt>
                <c:pt idx="99">
                  <c:v>0</c:v>
                </c:pt>
                <c:pt idx="100">
                  <c:v>0</c:v>
                </c:pt>
                <c:pt idx="101">
                  <c:v>0</c:v>
                </c:pt>
                <c:pt idx="102">
                  <c:v>0.01</c:v>
                </c:pt>
                <c:pt idx="103">
                  <c:v>0.01</c:v>
                </c:pt>
                <c:pt idx="104">
                  <c:v>0.01</c:v>
                </c:pt>
                <c:pt idx="105">
                  <c:v>0.01</c:v>
                </c:pt>
                <c:pt idx="106">
                  <c:v>0.01</c:v>
                </c:pt>
                <c:pt idx="107">
                  <c:v>0.01</c:v>
                </c:pt>
                <c:pt idx="108">
                  <c:v>0.01</c:v>
                </c:pt>
                <c:pt idx="109">
                  <c:v>0.01</c:v>
                </c:pt>
                <c:pt idx="110">
                  <c:v>0.01</c:v>
                </c:pt>
                <c:pt idx="111">
                  <c:v>0.02</c:v>
                </c:pt>
                <c:pt idx="112">
                  <c:v>0.02</c:v>
                </c:pt>
                <c:pt idx="113">
                  <c:v>0.02</c:v>
                </c:pt>
                <c:pt idx="114">
                  <c:v>0.02</c:v>
                </c:pt>
                <c:pt idx="115">
                  <c:v>0.03</c:v>
                </c:pt>
                <c:pt idx="116">
                  <c:v>0.06</c:v>
                </c:pt>
                <c:pt idx="117">
                  <c:v>0.06</c:v>
                </c:pt>
                <c:pt idx="118">
                  <c:v>0.08</c:v>
                </c:pt>
                <c:pt idx="119">
                  <c:v>0.06</c:v>
                </c:pt>
                <c:pt idx="120">
                  <c:v>0.16</c:v>
                </c:pt>
                <c:pt idx="121">
                  <c:v>0.32</c:v>
                </c:pt>
                <c:pt idx="122">
                  <c:v>0.11</c:v>
                </c:pt>
                <c:pt idx="123">
                  <c:v>7.0000000000000007E-2</c:v>
                </c:pt>
                <c:pt idx="124">
                  <c:v>0.1</c:v>
                </c:pt>
                <c:pt idx="125">
                  <c:v>0.09</c:v>
                </c:pt>
                <c:pt idx="126">
                  <c:v>0.05</c:v>
                </c:pt>
                <c:pt idx="127">
                  <c:v>0.05</c:v>
                </c:pt>
                <c:pt idx="128">
                  <c:v>0.04</c:v>
                </c:pt>
                <c:pt idx="129">
                  <c:v>0.04</c:v>
                </c:pt>
                <c:pt idx="130">
                  <c:v>0.04</c:v>
                </c:pt>
                <c:pt idx="131">
                  <c:v>0.03</c:v>
                </c:pt>
                <c:pt idx="132">
                  <c:v>0.03</c:v>
                </c:pt>
                <c:pt idx="133">
                  <c:v>0.02</c:v>
                </c:pt>
                <c:pt idx="134">
                  <c:v>0.02</c:v>
                </c:pt>
                <c:pt idx="135">
                  <c:v>0.02</c:v>
                </c:pt>
                <c:pt idx="136">
                  <c:v>0.02</c:v>
                </c:pt>
                <c:pt idx="137">
                  <c:v>0.02</c:v>
                </c:pt>
                <c:pt idx="138">
                  <c:v>0.02</c:v>
                </c:pt>
                <c:pt idx="139">
                  <c:v>0.02</c:v>
                </c:pt>
                <c:pt idx="140">
                  <c:v>0.02</c:v>
                </c:pt>
                <c:pt idx="141">
                  <c:v>0.01</c:v>
                </c:pt>
                <c:pt idx="142">
                  <c:v>0.01</c:v>
                </c:pt>
                <c:pt idx="143">
                  <c:v>0.01</c:v>
                </c:pt>
                <c:pt idx="144">
                  <c:v>0.01</c:v>
                </c:pt>
                <c:pt idx="145">
                  <c:v>0.01</c:v>
                </c:pt>
                <c:pt idx="146">
                  <c:v>0.01</c:v>
                </c:pt>
                <c:pt idx="147">
                  <c:v>0.01</c:v>
                </c:pt>
                <c:pt idx="148">
                  <c:v>0.01</c:v>
                </c:pt>
                <c:pt idx="149">
                  <c:v>0.01</c:v>
                </c:pt>
                <c:pt idx="150">
                  <c:v>0.01</c:v>
                </c:pt>
                <c:pt idx="151">
                  <c:v>0.01</c:v>
                </c:pt>
                <c:pt idx="152">
                  <c:v>0.01</c:v>
                </c:pt>
                <c:pt idx="153">
                  <c:v>0.01</c:v>
                </c:pt>
                <c:pt idx="154">
                  <c:v>0.01</c:v>
                </c:pt>
                <c:pt idx="155">
                  <c:v>0.01</c:v>
                </c:pt>
                <c:pt idx="156">
                  <c:v>0.01</c:v>
                </c:pt>
                <c:pt idx="157">
                  <c:v>0.01</c:v>
                </c:pt>
                <c:pt idx="158">
                  <c:v>0.01</c:v>
                </c:pt>
                <c:pt idx="159">
                  <c:v>0.01</c:v>
                </c:pt>
                <c:pt idx="160">
                  <c:v>0.01</c:v>
                </c:pt>
                <c:pt idx="161">
                  <c:v>0.01</c:v>
                </c:pt>
                <c:pt idx="162">
                  <c:v>0.01</c:v>
                </c:pt>
                <c:pt idx="163">
                  <c:v>0.01</c:v>
                </c:pt>
                <c:pt idx="164">
                  <c:v>0.01</c:v>
                </c:pt>
                <c:pt idx="165">
                  <c:v>0.01</c:v>
                </c:pt>
                <c:pt idx="166">
                  <c:v>0.01</c:v>
                </c:pt>
                <c:pt idx="167">
                  <c:v>0.01</c:v>
                </c:pt>
                <c:pt idx="168">
                  <c:v>0.01</c:v>
                </c:pt>
                <c:pt idx="169">
                  <c:v>0.01</c:v>
                </c:pt>
                <c:pt idx="170">
                  <c:v>0.01</c:v>
                </c:pt>
                <c:pt idx="171">
                  <c:v>0.01</c:v>
                </c:pt>
                <c:pt idx="172">
                  <c:v>0.01</c:v>
                </c:pt>
                <c:pt idx="173">
                  <c:v>0.01</c:v>
                </c:pt>
                <c:pt idx="174">
                  <c:v>0.01</c:v>
                </c:pt>
                <c:pt idx="175">
                  <c:v>0.01</c:v>
                </c:pt>
                <c:pt idx="176">
                  <c:v>0.01</c:v>
                </c:pt>
                <c:pt idx="177">
                  <c:v>0.01</c:v>
                </c:pt>
                <c:pt idx="178">
                  <c:v>0.01</c:v>
                </c:pt>
                <c:pt idx="179">
                  <c:v>0.01</c:v>
                </c:pt>
                <c:pt idx="180">
                  <c:v>0.01</c:v>
                </c:pt>
                <c:pt idx="181">
                  <c:v>0.01</c:v>
                </c:pt>
                <c:pt idx="182">
                  <c:v>0.01</c:v>
                </c:pt>
                <c:pt idx="183">
                  <c:v>0.01</c:v>
                </c:pt>
                <c:pt idx="184">
                  <c:v>0.01</c:v>
                </c:pt>
                <c:pt idx="185">
                  <c:v>0.01</c:v>
                </c:pt>
                <c:pt idx="186">
                  <c:v>0.01</c:v>
                </c:pt>
                <c:pt idx="187">
                  <c:v>0.01</c:v>
                </c:pt>
                <c:pt idx="188">
                  <c:v>0.01</c:v>
                </c:pt>
                <c:pt idx="189">
                  <c:v>0.01</c:v>
                </c:pt>
                <c:pt idx="190">
                  <c:v>0.01</c:v>
                </c:pt>
                <c:pt idx="191">
                  <c:v>0.01</c:v>
                </c:pt>
                <c:pt idx="192">
                  <c:v>0.01</c:v>
                </c:pt>
                <c:pt idx="193">
                  <c:v>0.01</c:v>
                </c:pt>
                <c:pt idx="194">
                  <c:v>0.01</c:v>
                </c:pt>
                <c:pt idx="195">
                  <c:v>0.01</c:v>
                </c:pt>
                <c:pt idx="196">
                  <c:v>0.01</c:v>
                </c:pt>
                <c:pt idx="197">
                  <c:v>0.01</c:v>
                </c:pt>
                <c:pt idx="198">
                  <c:v>0.01</c:v>
                </c:pt>
                <c:pt idx="199">
                  <c:v>0.01</c:v>
                </c:pt>
                <c:pt idx="200">
                  <c:v>0</c:v>
                </c:pt>
                <c:pt idx="201">
                  <c:v>0</c:v>
                </c:pt>
                <c:pt idx="202">
                  <c:v>0</c:v>
                </c:pt>
                <c:pt idx="203">
                  <c:v>0</c:v>
                </c:pt>
                <c:pt idx="204">
                  <c:v>0</c:v>
                </c:pt>
                <c:pt idx="205">
                  <c:v>0</c:v>
                </c:pt>
                <c:pt idx="206">
                  <c:v>0</c:v>
                </c:pt>
                <c:pt idx="207">
                  <c:v>0</c:v>
                </c:pt>
                <c:pt idx="208">
                  <c:v>0</c:v>
                </c:pt>
                <c:pt idx="209">
                  <c:v>0</c:v>
                </c:pt>
                <c:pt idx="210">
                  <c:v>0</c:v>
                </c:pt>
                <c:pt idx="211">
                  <c:v>0</c:v>
                </c:pt>
                <c:pt idx="212">
                  <c:v>0</c:v>
                </c:pt>
                <c:pt idx="213">
                  <c:v>0</c:v>
                </c:pt>
                <c:pt idx="214">
                  <c:v>0</c:v>
                </c:pt>
                <c:pt idx="215">
                  <c:v>0</c:v>
                </c:pt>
                <c:pt idx="216">
                  <c:v>0</c:v>
                </c:pt>
                <c:pt idx="217">
                  <c:v>0</c:v>
                </c:pt>
                <c:pt idx="218">
                  <c:v>0</c:v>
                </c:pt>
                <c:pt idx="219">
                  <c:v>0</c:v>
                </c:pt>
                <c:pt idx="220">
                  <c:v>0</c:v>
                </c:pt>
                <c:pt idx="221">
                  <c:v>0</c:v>
                </c:pt>
                <c:pt idx="222">
                  <c:v>0</c:v>
                </c:pt>
                <c:pt idx="223">
                  <c:v>0</c:v>
                </c:pt>
                <c:pt idx="224">
                  <c:v>0</c:v>
                </c:pt>
                <c:pt idx="225">
                  <c:v>0</c:v>
                </c:pt>
                <c:pt idx="226">
                  <c:v>0</c:v>
                </c:pt>
                <c:pt idx="227">
                  <c:v>0</c:v>
                </c:pt>
                <c:pt idx="228">
                  <c:v>0</c:v>
                </c:pt>
                <c:pt idx="229">
                  <c:v>0</c:v>
                </c:pt>
                <c:pt idx="230">
                  <c:v>0</c:v>
                </c:pt>
                <c:pt idx="231">
                  <c:v>0</c:v>
                </c:pt>
                <c:pt idx="232">
                  <c:v>0</c:v>
                </c:pt>
                <c:pt idx="233">
                  <c:v>0</c:v>
                </c:pt>
                <c:pt idx="234">
                  <c:v>0</c:v>
                </c:pt>
                <c:pt idx="235">
                  <c:v>0</c:v>
                </c:pt>
                <c:pt idx="236">
                  <c:v>0</c:v>
                </c:pt>
                <c:pt idx="237">
                  <c:v>0</c:v>
                </c:pt>
                <c:pt idx="238">
                  <c:v>0</c:v>
                </c:pt>
                <c:pt idx="239">
                  <c:v>0</c:v>
                </c:pt>
                <c:pt idx="240">
                  <c:v>0</c:v>
                </c:pt>
              </c:numCache>
            </c:numRef>
          </c:yVal>
          <c:smooth val="1"/>
          <c:extLst xmlns:c16r2="http://schemas.microsoft.com/office/drawing/2015/06/chart">
            <c:ext xmlns:c16="http://schemas.microsoft.com/office/drawing/2014/chart" uri="{C3380CC4-5D6E-409C-BE32-E72D297353CC}">
              <c16:uniqueId val="{00000004-F9AC-43A0-825A-84DB6A834CE7}"/>
            </c:ext>
          </c:extLst>
        </c:ser>
        <c:ser>
          <c:idx val="0"/>
          <c:order val="5"/>
          <c:tx>
            <c:v>10 Percent Annual Chance</c:v>
          </c:tx>
          <c:spPr>
            <a:ln>
              <a:solidFill>
                <a:srgbClr val="33CC33"/>
              </a:solidFill>
            </a:ln>
          </c:spPr>
          <c:marker>
            <c:symbol val="none"/>
          </c:marker>
          <c:xVal>
            <c:numRef>
              <c:f>Precip_YHD4!$A$3:$A$243</c:f>
              <c:numCache>
                <c:formatCode>h:mm;@</c:formatCode>
                <c:ptCount val="241"/>
                <c:pt idx="0">
                  <c:v>0</c:v>
                </c:pt>
                <c:pt idx="1">
                  <c:v>4.1666666666666666E-3</c:v>
                </c:pt>
                <c:pt idx="2">
                  <c:v>8.3333333333333332E-3</c:v>
                </c:pt>
                <c:pt idx="3">
                  <c:v>1.2499999999999999E-2</c:v>
                </c:pt>
                <c:pt idx="4">
                  <c:v>1.6666666666666666E-2</c:v>
                </c:pt>
                <c:pt idx="5">
                  <c:v>2.0833333333333332E-2</c:v>
                </c:pt>
                <c:pt idx="6">
                  <c:v>2.4999999999999998E-2</c:v>
                </c:pt>
                <c:pt idx="7">
                  <c:v>2.9166666666666664E-2</c:v>
                </c:pt>
                <c:pt idx="8">
                  <c:v>3.3333333333333333E-2</c:v>
                </c:pt>
                <c:pt idx="9">
                  <c:v>3.7499999999999999E-2</c:v>
                </c:pt>
                <c:pt idx="10">
                  <c:v>4.1666666666666664E-2</c:v>
                </c:pt>
                <c:pt idx="11">
                  <c:v>4.5833333333333337E-2</c:v>
                </c:pt>
                <c:pt idx="12">
                  <c:v>4.9999999999999996E-2</c:v>
                </c:pt>
                <c:pt idx="13">
                  <c:v>5.4166666666666669E-2</c:v>
                </c:pt>
                <c:pt idx="14">
                  <c:v>5.8333333333333327E-2</c:v>
                </c:pt>
                <c:pt idx="15">
                  <c:v>6.25E-2</c:v>
                </c:pt>
                <c:pt idx="16">
                  <c:v>6.6666666666666666E-2</c:v>
                </c:pt>
                <c:pt idx="17">
                  <c:v>7.0833333333333331E-2</c:v>
                </c:pt>
                <c:pt idx="18">
                  <c:v>7.4999999999999997E-2</c:v>
                </c:pt>
                <c:pt idx="19">
                  <c:v>7.9166666666666663E-2</c:v>
                </c:pt>
                <c:pt idx="20">
                  <c:v>8.3333333333333329E-2</c:v>
                </c:pt>
                <c:pt idx="21">
                  <c:v>8.7500000000000008E-2</c:v>
                </c:pt>
                <c:pt idx="22">
                  <c:v>9.1666666666666674E-2</c:v>
                </c:pt>
                <c:pt idx="23">
                  <c:v>9.5833333333333326E-2</c:v>
                </c:pt>
                <c:pt idx="24">
                  <c:v>9.9999999999999992E-2</c:v>
                </c:pt>
                <c:pt idx="25">
                  <c:v>0.10416666666666667</c:v>
                </c:pt>
                <c:pt idx="26">
                  <c:v>0.10833333333333334</c:v>
                </c:pt>
                <c:pt idx="27">
                  <c:v>0.1125</c:v>
                </c:pt>
                <c:pt idx="28">
                  <c:v>0.11666666666666665</c:v>
                </c:pt>
                <c:pt idx="29">
                  <c:v>0.12083333333333333</c:v>
                </c:pt>
                <c:pt idx="30">
                  <c:v>0.125</c:v>
                </c:pt>
                <c:pt idx="31">
                  <c:v>0.12916666666666668</c:v>
                </c:pt>
                <c:pt idx="32">
                  <c:v>0.13333333333333333</c:v>
                </c:pt>
                <c:pt idx="33">
                  <c:v>0.13749999999999998</c:v>
                </c:pt>
                <c:pt idx="34">
                  <c:v>0.14166666666666666</c:v>
                </c:pt>
                <c:pt idx="35">
                  <c:v>0.14583333333333334</c:v>
                </c:pt>
                <c:pt idx="36">
                  <c:v>0.15</c:v>
                </c:pt>
                <c:pt idx="37">
                  <c:v>0.15416666666666667</c:v>
                </c:pt>
                <c:pt idx="38">
                  <c:v>0.15833333333333333</c:v>
                </c:pt>
                <c:pt idx="39">
                  <c:v>0.16250000000000001</c:v>
                </c:pt>
                <c:pt idx="40">
                  <c:v>0.16666666666666666</c:v>
                </c:pt>
                <c:pt idx="41">
                  <c:v>0.17083333333333331</c:v>
                </c:pt>
                <c:pt idx="42">
                  <c:v>0.17500000000000002</c:v>
                </c:pt>
                <c:pt idx="43">
                  <c:v>0.17916666666666667</c:v>
                </c:pt>
                <c:pt idx="44">
                  <c:v>0.18333333333333335</c:v>
                </c:pt>
                <c:pt idx="45">
                  <c:v>0.1875</c:v>
                </c:pt>
                <c:pt idx="46">
                  <c:v>0.19166666666666665</c:v>
                </c:pt>
                <c:pt idx="47">
                  <c:v>0.19583333333333333</c:v>
                </c:pt>
                <c:pt idx="48">
                  <c:v>0.19999999999999998</c:v>
                </c:pt>
                <c:pt idx="49">
                  <c:v>0.20416666666666669</c:v>
                </c:pt>
                <c:pt idx="50">
                  <c:v>0.20833333333333334</c:v>
                </c:pt>
                <c:pt idx="51">
                  <c:v>0.21249999999999999</c:v>
                </c:pt>
                <c:pt idx="52">
                  <c:v>0.21666666666666667</c:v>
                </c:pt>
                <c:pt idx="53">
                  <c:v>0.22083333333333333</c:v>
                </c:pt>
                <c:pt idx="54">
                  <c:v>0.22500000000000001</c:v>
                </c:pt>
                <c:pt idx="55">
                  <c:v>0.22916666666666666</c:v>
                </c:pt>
                <c:pt idx="56">
                  <c:v>0.23333333333333331</c:v>
                </c:pt>
                <c:pt idx="57">
                  <c:v>0.23750000000000002</c:v>
                </c:pt>
                <c:pt idx="58">
                  <c:v>0.24166666666666667</c:v>
                </c:pt>
                <c:pt idx="59">
                  <c:v>0.24583333333333335</c:v>
                </c:pt>
                <c:pt idx="60">
                  <c:v>0.25</c:v>
                </c:pt>
                <c:pt idx="61">
                  <c:v>0.25416666666666665</c:v>
                </c:pt>
                <c:pt idx="62">
                  <c:v>0.25833333333333336</c:v>
                </c:pt>
                <c:pt idx="63">
                  <c:v>0.26250000000000001</c:v>
                </c:pt>
                <c:pt idx="64">
                  <c:v>0.26666666666666666</c:v>
                </c:pt>
                <c:pt idx="65">
                  <c:v>0.27083333333333331</c:v>
                </c:pt>
                <c:pt idx="66">
                  <c:v>0.27499999999999997</c:v>
                </c:pt>
                <c:pt idx="67">
                  <c:v>0.27916666666666667</c:v>
                </c:pt>
                <c:pt idx="68">
                  <c:v>0.28333333333333333</c:v>
                </c:pt>
                <c:pt idx="69">
                  <c:v>0.28750000000000003</c:v>
                </c:pt>
                <c:pt idx="70">
                  <c:v>0.29166666666666669</c:v>
                </c:pt>
                <c:pt idx="71">
                  <c:v>0.29583333333333334</c:v>
                </c:pt>
                <c:pt idx="72">
                  <c:v>0.3</c:v>
                </c:pt>
                <c:pt idx="73">
                  <c:v>0.30416666666666664</c:v>
                </c:pt>
                <c:pt idx="74">
                  <c:v>0.30833333333333335</c:v>
                </c:pt>
                <c:pt idx="75">
                  <c:v>0.3125</c:v>
                </c:pt>
                <c:pt idx="76">
                  <c:v>0.31666666666666665</c:v>
                </c:pt>
                <c:pt idx="77">
                  <c:v>0.32083333333333336</c:v>
                </c:pt>
                <c:pt idx="78">
                  <c:v>0.32500000000000001</c:v>
                </c:pt>
                <c:pt idx="79">
                  <c:v>0.32916666666666666</c:v>
                </c:pt>
                <c:pt idx="80">
                  <c:v>0.33333333333333331</c:v>
                </c:pt>
                <c:pt idx="81">
                  <c:v>0.33749999999999997</c:v>
                </c:pt>
                <c:pt idx="82">
                  <c:v>0.34166666666666662</c:v>
                </c:pt>
                <c:pt idx="83">
                  <c:v>0.34583333333333338</c:v>
                </c:pt>
                <c:pt idx="84">
                  <c:v>0.35000000000000003</c:v>
                </c:pt>
                <c:pt idx="85">
                  <c:v>0.35416666666666669</c:v>
                </c:pt>
                <c:pt idx="86">
                  <c:v>0.35833333333333334</c:v>
                </c:pt>
                <c:pt idx="87">
                  <c:v>0.36249999999999999</c:v>
                </c:pt>
                <c:pt idx="88">
                  <c:v>0.3666666666666667</c:v>
                </c:pt>
                <c:pt idx="89">
                  <c:v>0.37083333333333335</c:v>
                </c:pt>
                <c:pt idx="90">
                  <c:v>0.375</c:v>
                </c:pt>
                <c:pt idx="91">
                  <c:v>0.37916666666666665</c:v>
                </c:pt>
                <c:pt idx="92">
                  <c:v>0.3833333333333333</c:v>
                </c:pt>
                <c:pt idx="93">
                  <c:v>0.38750000000000001</c:v>
                </c:pt>
                <c:pt idx="94">
                  <c:v>0.39166666666666666</c:v>
                </c:pt>
                <c:pt idx="95">
                  <c:v>0.39583333333333331</c:v>
                </c:pt>
                <c:pt idx="96">
                  <c:v>0.39999999999999997</c:v>
                </c:pt>
                <c:pt idx="97">
                  <c:v>0.40416666666666662</c:v>
                </c:pt>
                <c:pt idx="98">
                  <c:v>0.40833333333333338</c:v>
                </c:pt>
                <c:pt idx="99">
                  <c:v>0.41250000000000003</c:v>
                </c:pt>
                <c:pt idx="100">
                  <c:v>0.41666666666666669</c:v>
                </c:pt>
                <c:pt idx="101">
                  <c:v>0.42083333333333334</c:v>
                </c:pt>
                <c:pt idx="102">
                  <c:v>0.42499999999999999</c:v>
                </c:pt>
                <c:pt idx="103">
                  <c:v>0.4291666666666667</c:v>
                </c:pt>
                <c:pt idx="104">
                  <c:v>0.43333333333333335</c:v>
                </c:pt>
                <c:pt idx="105">
                  <c:v>0.4375</c:v>
                </c:pt>
                <c:pt idx="106">
                  <c:v>0.44166666666666665</c:v>
                </c:pt>
                <c:pt idx="107">
                  <c:v>0.4458333333333333</c:v>
                </c:pt>
                <c:pt idx="108">
                  <c:v>0.45</c:v>
                </c:pt>
                <c:pt idx="109">
                  <c:v>0.45416666666666666</c:v>
                </c:pt>
                <c:pt idx="110">
                  <c:v>0.45833333333333331</c:v>
                </c:pt>
                <c:pt idx="111">
                  <c:v>0.46249999999999997</c:v>
                </c:pt>
                <c:pt idx="112">
                  <c:v>0.46666666666666662</c:v>
                </c:pt>
                <c:pt idx="113">
                  <c:v>0.47083333333333338</c:v>
                </c:pt>
                <c:pt idx="114">
                  <c:v>0.47500000000000003</c:v>
                </c:pt>
                <c:pt idx="115">
                  <c:v>0.47916666666666669</c:v>
                </c:pt>
                <c:pt idx="116">
                  <c:v>0.48333333333333334</c:v>
                </c:pt>
                <c:pt idx="117">
                  <c:v>0.48749999999999999</c:v>
                </c:pt>
                <c:pt idx="118">
                  <c:v>0.4916666666666667</c:v>
                </c:pt>
                <c:pt idx="119">
                  <c:v>0.49583333333333335</c:v>
                </c:pt>
                <c:pt idx="120">
                  <c:v>0.5</c:v>
                </c:pt>
                <c:pt idx="121">
                  <c:v>0.50416666666666665</c:v>
                </c:pt>
                <c:pt idx="122">
                  <c:v>0.5083333333333333</c:v>
                </c:pt>
                <c:pt idx="123">
                  <c:v>0.51250000000000007</c:v>
                </c:pt>
                <c:pt idx="124">
                  <c:v>0.51666666666666672</c:v>
                </c:pt>
                <c:pt idx="125">
                  <c:v>0.52083333333333337</c:v>
                </c:pt>
                <c:pt idx="126">
                  <c:v>0.52500000000000002</c:v>
                </c:pt>
                <c:pt idx="127">
                  <c:v>0.52916666666666667</c:v>
                </c:pt>
                <c:pt idx="128">
                  <c:v>0.53333333333333333</c:v>
                </c:pt>
                <c:pt idx="129">
                  <c:v>0.53749999999999998</c:v>
                </c:pt>
                <c:pt idx="130">
                  <c:v>0.54166666666666663</c:v>
                </c:pt>
                <c:pt idx="131">
                  <c:v>0.54583333333333328</c:v>
                </c:pt>
                <c:pt idx="132">
                  <c:v>0.54999999999999993</c:v>
                </c:pt>
                <c:pt idx="133">
                  <c:v>0.5541666666666667</c:v>
                </c:pt>
                <c:pt idx="134">
                  <c:v>0.55833333333333335</c:v>
                </c:pt>
                <c:pt idx="135">
                  <c:v>0.5625</c:v>
                </c:pt>
                <c:pt idx="136">
                  <c:v>0.56666666666666665</c:v>
                </c:pt>
                <c:pt idx="137">
                  <c:v>0.5708333333333333</c:v>
                </c:pt>
                <c:pt idx="138">
                  <c:v>0.57500000000000007</c:v>
                </c:pt>
                <c:pt idx="139">
                  <c:v>0.57916666666666672</c:v>
                </c:pt>
                <c:pt idx="140">
                  <c:v>0.58333333333333337</c:v>
                </c:pt>
                <c:pt idx="141">
                  <c:v>0.58750000000000002</c:v>
                </c:pt>
                <c:pt idx="142">
                  <c:v>0.59166666666666667</c:v>
                </c:pt>
                <c:pt idx="143">
                  <c:v>0.59583333333333333</c:v>
                </c:pt>
                <c:pt idx="144">
                  <c:v>0.6</c:v>
                </c:pt>
                <c:pt idx="145">
                  <c:v>0.60416666666666663</c:v>
                </c:pt>
                <c:pt idx="146">
                  <c:v>0.60833333333333328</c:v>
                </c:pt>
                <c:pt idx="147">
                  <c:v>0.61249999999999993</c:v>
                </c:pt>
                <c:pt idx="148">
                  <c:v>0.6166666666666667</c:v>
                </c:pt>
                <c:pt idx="149">
                  <c:v>0.62083333333333335</c:v>
                </c:pt>
                <c:pt idx="150">
                  <c:v>0.625</c:v>
                </c:pt>
                <c:pt idx="151">
                  <c:v>0.62916666666666665</c:v>
                </c:pt>
                <c:pt idx="152">
                  <c:v>0.6333333333333333</c:v>
                </c:pt>
                <c:pt idx="153">
                  <c:v>0.63750000000000007</c:v>
                </c:pt>
                <c:pt idx="154">
                  <c:v>0.64166666666666672</c:v>
                </c:pt>
                <c:pt idx="155">
                  <c:v>0.64583333333333337</c:v>
                </c:pt>
                <c:pt idx="156">
                  <c:v>0.65</c:v>
                </c:pt>
                <c:pt idx="157">
                  <c:v>0.65416666666666667</c:v>
                </c:pt>
                <c:pt idx="158">
                  <c:v>0.65833333333333333</c:v>
                </c:pt>
                <c:pt idx="159">
                  <c:v>0.66249999999999998</c:v>
                </c:pt>
                <c:pt idx="160">
                  <c:v>0.66666666666666663</c:v>
                </c:pt>
                <c:pt idx="161">
                  <c:v>0.67083333333333339</c:v>
                </c:pt>
                <c:pt idx="162">
                  <c:v>0.67499999999999993</c:v>
                </c:pt>
                <c:pt idx="163">
                  <c:v>0.6791666666666667</c:v>
                </c:pt>
                <c:pt idx="164">
                  <c:v>0.68333333333333324</c:v>
                </c:pt>
                <c:pt idx="165">
                  <c:v>0.6875</c:v>
                </c:pt>
                <c:pt idx="166">
                  <c:v>0.69166666666666676</c:v>
                </c:pt>
                <c:pt idx="167">
                  <c:v>0.6958333333333333</c:v>
                </c:pt>
                <c:pt idx="168">
                  <c:v>0.70000000000000007</c:v>
                </c:pt>
                <c:pt idx="169">
                  <c:v>0.70416666666666661</c:v>
                </c:pt>
                <c:pt idx="170">
                  <c:v>0.70833333333333337</c:v>
                </c:pt>
                <c:pt idx="171">
                  <c:v>0.71250000000000002</c:v>
                </c:pt>
                <c:pt idx="172">
                  <c:v>0.71666666666666667</c:v>
                </c:pt>
                <c:pt idx="173">
                  <c:v>0.72083333333333333</c:v>
                </c:pt>
                <c:pt idx="174">
                  <c:v>0.72499999999999998</c:v>
                </c:pt>
                <c:pt idx="175">
                  <c:v>0.72916666666666663</c:v>
                </c:pt>
                <c:pt idx="176">
                  <c:v>0.73333333333333339</c:v>
                </c:pt>
                <c:pt idx="177">
                  <c:v>0.73749999999999993</c:v>
                </c:pt>
                <c:pt idx="178">
                  <c:v>0.7416666666666667</c:v>
                </c:pt>
                <c:pt idx="179">
                  <c:v>0.74583333333333324</c:v>
                </c:pt>
                <c:pt idx="180">
                  <c:v>0.75</c:v>
                </c:pt>
                <c:pt idx="181">
                  <c:v>0.75416666666666676</c:v>
                </c:pt>
                <c:pt idx="182">
                  <c:v>0.7583333333333333</c:v>
                </c:pt>
                <c:pt idx="183">
                  <c:v>0.76250000000000007</c:v>
                </c:pt>
                <c:pt idx="184">
                  <c:v>0.76666666666666661</c:v>
                </c:pt>
                <c:pt idx="185">
                  <c:v>0.77083333333333337</c:v>
                </c:pt>
                <c:pt idx="186">
                  <c:v>0.77500000000000002</c:v>
                </c:pt>
                <c:pt idx="187">
                  <c:v>0.77916666666666667</c:v>
                </c:pt>
                <c:pt idx="188">
                  <c:v>0.78333333333333333</c:v>
                </c:pt>
                <c:pt idx="189">
                  <c:v>0.78749999999999998</c:v>
                </c:pt>
                <c:pt idx="190">
                  <c:v>0.79166666666666663</c:v>
                </c:pt>
                <c:pt idx="191">
                  <c:v>0.79583333333333339</c:v>
                </c:pt>
                <c:pt idx="192">
                  <c:v>0.79999999999999993</c:v>
                </c:pt>
                <c:pt idx="193">
                  <c:v>0.8041666666666667</c:v>
                </c:pt>
                <c:pt idx="194">
                  <c:v>0.80833333333333324</c:v>
                </c:pt>
                <c:pt idx="195">
                  <c:v>0.8125</c:v>
                </c:pt>
                <c:pt idx="196">
                  <c:v>0.81666666666666676</c:v>
                </c:pt>
                <c:pt idx="197">
                  <c:v>0.8208333333333333</c:v>
                </c:pt>
                <c:pt idx="198">
                  <c:v>0.82500000000000007</c:v>
                </c:pt>
                <c:pt idx="199">
                  <c:v>0.82916666666666661</c:v>
                </c:pt>
                <c:pt idx="200">
                  <c:v>0.83333333333333337</c:v>
                </c:pt>
                <c:pt idx="201">
                  <c:v>0.83750000000000002</c:v>
                </c:pt>
                <c:pt idx="202">
                  <c:v>0.84166666666666667</c:v>
                </c:pt>
                <c:pt idx="203">
                  <c:v>0.84583333333333333</c:v>
                </c:pt>
                <c:pt idx="204">
                  <c:v>0.85</c:v>
                </c:pt>
                <c:pt idx="205">
                  <c:v>0.85416666666666663</c:v>
                </c:pt>
                <c:pt idx="206">
                  <c:v>0.85833333333333339</c:v>
                </c:pt>
                <c:pt idx="207">
                  <c:v>0.86249999999999993</c:v>
                </c:pt>
                <c:pt idx="208">
                  <c:v>0.8666666666666667</c:v>
                </c:pt>
                <c:pt idx="209">
                  <c:v>0.87083333333333324</c:v>
                </c:pt>
                <c:pt idx="210">
                  <c:v>0.875</c:v>
                </c:pt>
                <c:pt idx="211">
                  <c:v>0.87916666666666676</c:v>
                </c:pt>
                <c:pt idx="212">
                  <c:v>0.8833333333333333</c:v>
                </c:pt>
                <c:pt idx="213">
                  <c:v>0.88750000000000007</c:v>
                </c:pt>
                <c:pt idx="214">
                  <c:v>0.89166666666666661</c:v>
                </c:pt>
                <c:pt idx="215">
                  <c:v>0.89583333333333337</c:v>
                </c:pt>
                <c:pt idx="216">
                  <c:v>0.9</c:v>
                </c:pt>
                <c:pt idx="217">
                  <c:v>0.90416666666666667</c:v>
                </c:pt>
                <c:pt idx="218">
                  <c:v>0.90833333333333333</c:v>
                </c:pt>
                <c:pt idx="219">
                  <c:v>0.91249999999999998</c:v>
                </c:pt>
                <c:pt idx="220">
                  <c:v>0.91666666666666663</c:v>
                </c:pt>
                <c:pt idx="221">
                  <c:v>0.92083333333333339</c:v>
                </c:pt>
                <c:pt idx="222">
                  <c:v>0.92499999999999993</c:v>
                </c:pt>
                <c:pt idx="223">
                  <c:v>0.9291666666666667</c:v>
                </c:pt>
                <c:pt idx="224">
                  <c:v>0.93333333333333324</c:v>
                </c:pt>
                <c:pt idx="225">
                  <c:v>0.9375</c:v>
                </c:pt>
                <c:pt idx="226">
                  <c:v>0.94166666666666676</c:v>
                </c:pt>
                <c:pt idx="227">
                  <c:v>0.9458333333333333</c:v>
                </c:pt>
                <c:pt idx="228">
                  <c:v>0.95000000000000007</c:v>
                </c:pt>
                <c:pt idx="229">
                  <c:v>0.95416666666666661</c:v>
                </c:pt>
                <c:pt idx="230">
                  <c:v>0.95833333333333337</c:v>
                </c:pt>
                <c:pt idx="231">
                  <c:v>0.96250000000000002</c:v>
                </c:pt>
                <c:pt idx="232">
                  <c:v>0.96666666666666667</c:v>
                </c:pt>
                <c:pt idx="233">
                  <c:v>0.97083333333333333</c:v>
                </c:pt>
                <c:pt idx="234">
                  <c:v>0.97499999999999998</c:v>
                </c:pt>
                <c:pt idx="235">
                  <c:v>0.97916666666666663</c:v>
                </c:pt>
                <c:pt idx="236">
                  <c:v>0.98333333333333339</c:v>
                </c:pt>
                <c:pt idx="237">
                  <c:v>0.98749999999999993</c:v>
                </c:pt>
                <c:pt idx="238">
                  <c:v>0.9916666666666667</c:v>
                </c:pt>
                <c:pt idx="239">
                  <c:v>0.99583333333333324</c:v>
                </c:pt>
                <c:pt idx="240">
                  <c:v>1</c:v>
                </c:pt>
              </c:numCache>
            </c:numRef>
          </c:xVal>
          <c:yVal>
            <c:numRef>
              <c:f>Precip_YHD4!$B$3:$B$243</c:f>
              <c:numCache>
                <c:formatCode>General</c:formatCode>
                <c:ptCount val="241"/>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c:v>
                </c:pt>
                <c:pt idx="76">
                  <c:v>0</c:v>
                </c:pt>
                <c:pt idx="77">
                  <c:v>0</c:v>
                </c:pt>
                <c:pt idx="78">
                  <c:v>0</c:v>
                </c:pt>
                <c:pt idx="79">
                  <c:v>0</c:v>
                </c:pt>
                <c:pt idx="80">
                  <c:v>0</c:v>
                </c:pt>
                <c:pt idx="81">
                  <c:v>0</c:v>
                </c:pt>
                <c:pt idx="82">
                  <c:v>0</c:v>
                </c:pt>
                <c:pt idx="83">
                  <c:v>0</c:v>
                </c:pt>
                <c:pt idx="84">
                  <c:v>0</c:v>
                </c:pt>
                <c:pt idx="85">
                  <c:v>0</c:v>
                </c:pt>
                <c:pt idx="86">
                  <c:v>0</c:v>
                </c:pt>
                <c:pt idx="87">
                  <c:v>0</c:v>
                </c:pt>
                <c:pt idx="88">
                  <c:v>0</c:v>
                </c:pt>
                <c:pt idx="89">
                  <c:v>0</c:v>
                </c:pt>
                <c:pt idx="90">
                  <c:v>0</c:v>
                </c:pt>
                <c:pt idx="91">
                  <c:v>0</c:v>
                </c:pt>
                <c:pt idx="92">
                  <c:v>0</c:v>
                </c:pt>
                <c:pt idx="93">
                  <c:v>0</c:v>
                </c:pt>
                <c:pt idx="94">
                  <c:v>0</c:v>
                </c:pt>
                <c:pt idx="95">
                  <c:v>0</c:v>
                </c:pt>
                <c:pt idx="96">
                  <c:v>0</c:v>
                </c:pt>
                <c:pt idx="97">
                  <c:v>0</c:v>
                </c:pt>
                <c:pt idx="98">
                  <c:v>0</c:v>
                </c:pt>
                <c:pt idx="99">
                  <c:v>0</c:v>
                </c:pt>
                <c:pt idx="100">
                  <c:v>0</c:v>
                </c:pt>
                <c:pt idx="101">
                  <c:v>0</c:v>
                </c:pt>
                <c:pt idx="102">
                  <c:v>0</c:v>
                </c:pt>
                <c:pt idx="103">
                  <c:v>0</c:v>
                </c:pt>
                <c:pt idx="104">
                  <c:v>0</c:v>
                </c:pt>
                <c:pt idx="105">
                  <c:v>0</c:v>
                </c:pt>
                <c:pt idx="106">
                  <c:v>0.01</c:v>
                </c:pt>
                <c:pt idx="107">
                  <c:v>0.01</c:v>
                </c:pt>
                <c:pt idx="108">
                  <c:v>0.01</c:v>
                </c:pt>
                <c:pt idx="109">
                  <c:v>0.01</c:v>
                </c:pt>
                <c:pt idx="110">
                  <c:v>0.01</c:v>
                </c:pt>
                <c:pt idx="111">
                  <c:v>0.01</c:v>
                </c:pt>
                <c:pt idx="112">
                  <c:v>0.01</c:v>
                </c:pt>
                <c:pt idx="113">
                  <c:v>0.01</c:v>
                </c:pt>
                <c:pt idx="114">
                  <c:v>0.02</c:v>
                </c:pt>
                <c:pt idx="115">
                  <c:v>0.02</c:v>
                </c:pt>
                <c:pt idx="116">
                  <c:v>0.04</c:v>
                </c:pt>
                <c:pt idx="117">
                  <c:v>0.04</c:v>
                </c:pt>
                <c:pt idx="118">
                  <c:v>0.05</c:v>
                </c:pt>
                <c:pt idx="119">
                  <c:v>0.04</c:v>
                </c:pt>
                <c:pt idx="120">
                  <c:v>0.11</c:v>
                </c:pt>
                <c:pt idx="121">
                  <c:v>0.23</c:v>
                </c:pt>
                <c:pt idx="122">
                  <c:v>0.08</c:v>
                </c:pt>
                <c:pt idx="123">
                  <c:v>0.05</c:v>
                </c:pt>
                <c:pt idx="124">
                  <c:v>7.0000000000000007E-2</c:v>
                </c:pt>
                <c:pt idx="125">
                  <c:v>7.0000000000000007E-2</c:v>
                </c:pt>
                <c:pt idx="126">
                  <c:v>0.04</c:v>
                </c:pt>
                <c:pt idx="127">
                  <c:v>0.04</c:v>
                </c:pt>
                <c:pt idx="128">
                  <c:v>0.03</c:v>
                </c:pt>
                <c:pt idx="129">
                  <c:v>0.03</c:v>
                </c:pt>
                <c:pt idx="130">
                  <c:v>0.03</c:v>
                </c:pt>
                <c:pt idx="131">
                  <c:v>0.02</c:v>
                </c:pt>
                <c:pt idx="132">
                  <c:v>0.02</c:v>
                </c:pt>
                <c:pt idx="133">
                  <c:v>0.02</c:v>
                </c:pt>
                <c:pt idx="134">
                  <c:v>0.02</c:v>
                </c:pt>
                <c:pt idx="135">
                  <c:v>0.02</c:v>
                </c:pt>
                <c:pt idx="136">
                  <c:v>0.01</c:v>
                </c:pt>
                <c:pt idx="137">
                  <c:v>0.01</c:v>
                </c:pt>
                <c:pt idx="138">
                  <c:v>0.01</c:v>
                </c:pt>
                <c:pt idx="139">
                  <c:v>0.01</c:v>
                </c:pt>
                <c:pt idx="140">
                  <c:v>0.01</c:v>
                </c:pt>
                <c:pt idx="141">
                  <c:v>0.01</c:v>
                </c:pt>
                <c:pt idx="142">
                  <c:v>0.01</c:v>
                </c:pt>
                <c:pt idx="143">
                  <c:v>0.01</c:v>
                </c:pt>
                <c:pt idx="144">
                  <c:v>0.01</c:v>
                </c:pt>
                <c:pt idx="145">
                  <c:v>0.01</c:v>
                </c:pt>
                <c:pt idx="146">
                  <c:v>0.01</c:v>
                </c:pt>
                <c:pt idx="147">
                  <c:v>0.01</c:v>
                </c:pt>
                <c:pt idx="148">
                  <c:v>0.01</c:v>
                </c:pt>
                <c:pt idx="149">
                  <c:v>0.01</c:v>
                </c:pt>
                <c:pt idx="150">
                  <c:v>0.01</c:v>
                </c:pt>
                <c:pt idx="151">
                  <c:v>0.01</c:v>
                </c:pt>
                <c:pt idx="152">
                  <c:v>0.01</c:v>
                </c:pt>
                <c:pt idx="153">
                  <c:v>0.01</c:v>
                </c:pt>
                <c:pt idx="154">
                  <c:v>0.01</c:v>
                </c:pt>
                <c:pt idx="155">
                  <c:v>0.01</c:v>
                </c:pt>
                <c:pt idx="156">
                  <c:v>0.01</c:v>
                </c:pt>
                <c:pt idx="157">
                  <c:v>0.01</c:v>
                </c:pt>
                <c:pt idx="158">
                  <c:v>0.01</c:v>
                </c:pt>
                <c:pt idx="159">
                  <c:v>0.01</c:v>
                </c:pt>
                <c:pt idx="160">
                  <c:v>0.01</c:v>
                </c:pt>
                <c:pt idx="161">
                  <c:v>0.01</c:v>
                </c:pt>
                <c:pt idx="162">
                  <c:v>0.01</c:v>
                </c:pt>
                <c:pt idx="163">
                  <c:v>0.01</c:v>
                </c:pt>
                <c:pt idx="164">
                  <c:v>0.01</c:v>
                </c:pt>
                <c:pt idx="165">
                  <c:v>0.01</c:v>
                </c:pt>
                <c:pt idx="166">
                  <c:v>0.01</c:v>
                </c:pt>
                <c:pt idx="167">
                  <c:v>0.01</c:v>
                </c:pt>
                <c:pt idx="168">
                  <c:v>0.01</c:v>
                </c:pt>
                <c:pt idx="169">
                  <c:v>0.01</c:v>
                </c:pt>
                <c:pt idx="170">
                  <c:v>0.01</c:v>
                </c:pt>
                <c:pt idx="171">
                  <c:v>0.01</c:v>
                </c:pt>
                <c:pt idx="172">
                  <c:v>0.01</c:v>
                </c:pt>
                <c:pt idx="173">
                  <c:v>0.01</c:v>
                </c:pt>
                <c:pt idx="174">
                  <c:v>0.01</c:v>
                </c:pt>
                <c:pt idx="175">
                  <c:v>0.01</c:v>
                </c:pt>
                <c:pt idx="176">
                  <c:v>0.01</c:v>
                </c:pt>
                <c:pt idx="177">
                  <c:v>0.01</c:v>
                </c:pt>
                <c:pt idx="178">
                  <c:v>0.01</c:v>
                </c:pt>
                <c:pt idx="179">
                  <c:v>0.01</c:v>
                </c:pt>
                <c:pt idx="180">
                  <c:v>0.01</c:v>
                </c:pt>
                <c:pt idx="181">
                  <c:v>0</c:v>
                </c:pt>
                <c:pt idx="182">
                  <c:v>0</c:v>
                </c:pt>
                <c:pt idx="183">
                  <c:v>0</c:v>
                </c:pt>
                <c:pt idx="184">
                  <c:v>0</c:v>
                </c:pt>
                <c:pt idx="185">
                  <c:v>0</c:v>
                </c:pt>
                <c:pt idx="186">
                  <c:v>0</c:v>
                </c:pt>
                <c:pt idx="187">
                  <c:v>0</c:v>
                </c:pt>
                <c:pt idx="188">
                  <c:v>0</c:v>
                </c:pt>
                <c:pt idx="189">
                  <c:v>0</c:v>
                </c:pt>
                <c:pt idx="190">
                  <c:v>0</c:v>
                </c:pt>
                <c:pt idx="191">
                  <c:v>0</c:v>
                </c:pt>
                <c:pt idx="192">
                  <c:v>0</c:v>
                </c:pt>
                <c:pt idx="193">
                  <c:v>0</c:v>
                </c:pt>
                <c:pt idx="194">
                  <c:v>0</c:v>
                </c:pt>
                <c:pt idx="195">
                  <c:v>0</c:v>
                </c:pt>
                <c:pt idx="196">
                  <c:v>0</c:v>
                </c:pt>
                <c:pt idx="197">
                  <c:v>0</c:v>
                </c:pt>
                <c:pt idx="198">
                  <c:v>0</c:v>
                </c:pt>
                <c:pt idx="199">
                  <c:v>0</c:v>
                </c:pt>
                <c:pt idx="200">
                  <c:v>0</c:v>
                </c:pt>
                <c:pt idx="201">
                  <c:v>0</c:v>
                </c:pt>
                <c:pt idx="202">
                  <c:v>0</c:v>
                </c:pt>
                <c:pt idx="203">
                  <c:v>0</c:v>
                </c:pt>
                <c:pt idx="204">
                  <c:v>0</c:v>
                </c:pt>
                <c:pt idx="205">
                  <c:v>0</c:v>
                </c:pt>
                <c:pt idx="206">
                  <c:v>0</c:v>
                </c:pt>
                <c:pt idx="207">
                  <c:v>0</c:v>
                </c:pt>
                <c:pt idx="208">
                  <c:v>0</c:v>
                </c:pt>
                <c:pt idx="209">
                  <c:v>0</c:v>
                </c:pt>
                <c:pt idx="210">
                  <c:v>0</c:v>
                </c:pt>
                <c:pt idx="211">
                  <c:v>0</c:v>
                </c:pt>
                <c:pt idx="212">
                  <c:v>0</c:v>
                </c:pt>
                <c:pt idx="213">
                  <c:v>0</c:v>
                </c:pt>
                <c:pt idx="214">
                  <c:v>0</c:v>
                </c:pt>
                <c:pt idx="215">
                  <c:v>0</c:v>
                </c:pt>
                <c:pt idx="216">
                  <c:v>0</c:v>
                </c:pt>
                <c:pt idx="217">
                  <c:v>0</c:v>
                </c:pt>
                <c:pt idx="218">
                  <c:v>0</c:v>
                </c:pt>
                <c:pt idx="219">
                  <c:v>0</c:v>
                </c:pt>
                <c:pt idx="220">
                  <c:v>0</c:v>
                </c:pt>
                <c:pt idx="221">
                  <c:v>0</c:v>
                </c:pt>
                <c:pt idx="222">
                  <c:v>0</c:v>
                </c:pt>
                <c:pt idx="223">
                  <c:v>0</c:v>
                </c:pt>
                <c:pt idx="224">
                  <c:v>0</c:v>
                </c:pt>
                <c:pt idx="225">
                  <c:v>0</c:v>
                </c:pt>
                <c:pt idx="226">
                  <c:v>0</c:v>
                </c:pt>
                <c:pt idx="227">
                  <c:v>0</c:v>
                </c:pt>
                <c:pt idx="228">
                  <c:v>0</c:v>
                </c:pt>
                <c:pt idx="229">
                  <c:v>0</c:v>
                </c:pt>
                <c:pt idx="230">
                  <c:v>0</c:v>
                </c:pt>
                <c:pt idx="231">
                  <c:v>0</c:v>
                </c:pt>
                <c:pt idx="232">
                  <c:v>0</c:v>
                </c:pt>
                <c:pt idx="233">
                  <c:v>0</c:v>
                </c:pt>
                <c:pt idx="234">
                  <c:v>0</c:v>
                </c:pt>
                <c:pt idx="235">
                  <c:v>0</c:v>
                </c:pt>
                <c:pt idx="236">
                  <c:v>0</c:v>
                </c:pt>
                <c:pt idx="237">
                  <c:v>0</c:v>
                </c:pt>
                <c:pt idx="238">
                  <c:v>0</c:v>
                </c:pt>
                <c:pt idx="239">
                  <c:v>0</c:v>
                </c:pt>
                <c:pt idx="240">
                  <c:v>0</c:v>
                </c:pt>
              </c:numCache>
            </c:numRef>
          </c:yVal>
          <c:smooth val="1"/>
          <c:extLst xmlns:c16r2="http://schemas.microsoft.com/office/drawing/2015/06/chart">
            <c:ext xmlns:c16="http://schemas.microsoft.com/office/drawing/2014/chart" uri="{C3380CC4-5D6E-409C-BE32-E72D297353CC}">
              <c16:uniqueId val="{00000005-F9AC-43A0-825A-84DB6A834CE7}"/>
            </c:ext>
          </c:extLst>
        </c:ser>
        <c:ser>
          <c:idx val="6"/>
          <c:order val="6"/>
          <c:tx>
            <c:v>1 Percent Minus Annual Chance</c:v>
          </c:tx>
          <c:marker>
            <c:symbol val="none"/>
          </c:marker>
          <c:xVal>
            <c:strRef>
              <c:f>Precip_YHD4!$B$3:$B$243</c:f>
              <c:strCache>
                <c:ptCount val="241"/>
                <c:pt idx="0">
                  <c:v> </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c:v>
                </c:pt>
                <c:pt idx="76">
                  <c:v>0</c:v>
                </c:pt>
                <c:pt idx="77">
                  <c:v>0</c:v>
                </c:pt>
                <c:pt idx="78">
                  <c:v>0</c:v>
                </c:pt>
                <c:pt idx="79">
                  <c:v>0</c:v>
                </c:pt>
                <c:pt idx="80">
                  <c:v>0</c:v>
                </c:pt>
                <c:pt idx="81">
                  <c:v>0</c:v>
                </c:pt>
                <c:pt idx="82">
                  <c:v>0</c:v>
                </c:pt>
                <c:pt idx="83">
                  <c:v>0</c:v>
                </c:pt>
                <c:pt idx="84">
                  <c:v>0</c:v>
                </c:pt>
                <c:pt idx="85">
                  <c:v>0</c:v>
                </c:pt>
                <c:pt idx="86">
                  <c:v>0</c:v>
                </c:pt>
                <c:pt idx="87">
                  <c:v>0</c:v>
                </c:pt>
                <c:pt idx="88">
                  <c:v>0</c:v>
                </c:pt>
                <c:pt idx="89">
                  <c:v>0</c:v>
                </c:pt>
                <c:pt idx="90">
                  <c:v>0</c:v>
                </c:pt>
                <c:pt idx="91">
                  <c:v>0</c:v>
                </c:pt>
                <c:pt idx="92">
                  <c:v>0</c:v>
                </c:pt>
                <c:pt idx="93">
                  <c:v>0</c:v>
                </c:pt>
                <c:pt idx="94">
                  <c:v>0</c:v>
                </c:pt>
                <c:pt idx="95">
                  <c:v>0</c:v>
                </c:pt>
                <c:pt idx="96">
                  <c:v>0</c:v>
                </c:pt>
                <c:pt idx="97">
                  <c:v>0</c:v>
                </c:pt>
                <c:pt idx="98">
                  <c:v>0</c:v>
                </c:pt>
                <c:pt idx="99">
                  <c:v>0</c:v>
                </c:pt>
                <c:pt idx="100">
                  <c:v>0</c:v>
                </c:pt>
                <c:pt idx="101">
                  <c:v>0</c:v>
                </c:pt>
                <c:pt idx="102">
                  <c:v>0</c:v>
                </c:pt>
                <c:pt idx="103">
                  <c:v>0</c:v>
                </c:pt>
                <c:pt idx="104">
                  <c:v>0</c:v>
                </c:pt>
                <c:pt idx="105">
                  <c:v>0</c:v>
                </c:pt>
                <c:pt idx="106">
                  <c:v>0.01</c:v>
                </c:pt>
                <c:pt idx="107">
                  <c:v>0.01</c:v>
                </c:pt>
                <c:pt idx="108">
                  <c:v>0.01</c:v>
                </c:pt>
                <c:pt idx="109">
                  <c:v>0.01</c:v>
                </c:pt>
                <c:pt idx="110">
                  <c:v>0.01</c:v>
                </c:pt>
                <c:pt idx="111">
                  <c:v>0.01</c:v>
                </c:pt>
                <c:pt idx="112">
                  <c:v>0.01</c:v>
                </c:pt>
                <c:pt idx="113">
                  <c:v>0.01</c:v>
                </c:pt>
                <c:pt idx="114">
                  <c:v>0.02</c:v>
                </c:pt>
                <c:pt idx="115">
                  <c:v>0.02</c:v>
                </c:pt>
                <c:pt idx="116">
                  <c:v>0.04</c:v>
                </c:pt>
                <c:pt idx="117">
                  <c:v>0.04</c:v>
                </c:pt>
                <c:pt idx="118">
                  <c:v>0.05</c:v>
                </c:pt>
                <c:pt idx="119">
                  <c:v>0.04</c:v>
                </c:pt>
                <c:pt idx="120">
                  <c:v>0.11</c:v>
                </c:pt>
                <c:pt idx="121">
                  <c:v>0.23</c:v>
                </c:pt>
                <c:pt idx="122">
                  <c:v>0.08</c:v>
                </c:pt>
                <c:pt idx="123">
                  <c:v>0.05</c:v>
                </c:pt>
                <c:pt idx="124">
                  <c:v>0.07</c:v>
                </c:pt>
                <c:pt idx="125">
                  <c:v>0.07</c:v>
                </c:pt>
                <c:pt idx="126">
                  <c:v>0.04</c:v>
                </c:pt>
                <c:pt idx="127">
                  <c:v>0.04</c:v>
                </c:pt>
                <c:pt idx="128">
                  <c:v>0.03</c:v>
                </c:pt>
                <c:pt idx="129">
                  <c:v>0.03</c:v>
                </c:pt>
                <c:pt idx="130">
                  <c:v>0.03</c:v>
                </c:pt>
                <c:pt idx="131">
                  <c:v>0.02</c:v>
                </c:pt>
                <c:pt idx="132">
                  <c:v>0.02</c:v>
                </c:pt>
                <c:pt idx="133">
                  <c:v>0.02</c:v>
                </c:pt>
                <c:pt idx="134">
                  <c:v>0.02</c:v>
                </c:pt>
                <c:pt idx="135">
                  <c:v>0.02</c:v>
                </c:pt>
                <c:pt idx="136">
                  <c:v>0.01</c:v>
                </c:pt>
                <c:pt idx="137">
                  <c:v>0.01</c:v>
                </c:pt>
                <c:pt idx="138">
                  <c:v>0.01</c:v>
                </c:pt>
                <c:pt idx="139">
                  <c:v>0.01</c:v>
                </c:pt>
                <c:pt idx="140">
                  <c:v>0.01</c:v>
                </c:pt>
                <c:pt idx="141">
                  <c:v>0.01</c:v>
                </c:pt>
                <c:pt idx="142">
                  <c:v>0.01</c:v>
                </c:pt>
                <c:pt idx="143">
                  <c:v>0.01</c:v>
                </c:pt>
                <c:pt idx="144">
                  <c:v>0.01</c:v>
                </c:pt>
                <c:pt idx="145">
                  <c:v>0.01</c:v>
                </c:pt>
                <c:pt idx="146">
                  <c:v>0.01</c:v>
                </c:pt>
                <c:pt idx="147">
                  <c:v>0.01</c:v>
                </c:pt>
                <c:pt idx="148">
                  <c:v>0.01</c:v>
                </c:pt>
                <c:pt idx="149">
                  <c:v>0.01</c:v>
                </c:pt>
                <c:pt idx="150">
                  <c:v>0.01</c:v>
                </c:pt>
                <c:pt idx="151">
                  <c:v>0.01</c:v>
                </c:pt>
                <c:pt idx="152">
                  <c:v>0.01</c:v>
                </c:pt>
                <c:pt idx="153">
                  <c:v>0.01</c:v>
                </c:pt>
                <c:pt idx="154">
                  <c:v>0.01</c:v>
                </c:pt>
                <c:pt idx="155">
                  <c:v>0.01</c:v>
                </c:pt>
                <c:pt idx="156">
                  <c:v>0.01</c:v>
                </c:pt>
                <c:pt idx="157">
                  <c:v>0.01</c:v>
                </c:pt>
                <c:pt idx="158">
                  <c:v>0.01</c:v>
                </c:pt>
                <c:pt idx="159">
                  <c:v>0.01</c:v>
                </c:pt>
                <c:pt idx="160">
                  <c:v>0.01</c:v>
                </c:pt>
                <c:pt idx="161">
                  <c:v>0.01</c:v>
                </c:pt>
                <c:pt idx="162">
                  <c:v>0.01</c:v>
                </c:pt>
                <c:pt idx="163">
                  <c:v>0.01</c:v>
                </c:pt>
                <c:pt idx="164">
                  <c:v>0.01</c:v>
                </c:pt>
                <c:pt idx="165">
                  <c:v>0.01</c:v>
                </c:pt>
                <c:pt idx="166">
                  <c:v>0.01</c:v>
                </c:pt>
                <c:pt idx="167">
                  <c:v>0.01</c:v>
                </c:pt>
                <c:pt idx="168">
                  <c:v>0.01</c:v>
                </c:pt>
                <c:pt idx="169">
                  <c:v>0.01</c:v>
                </c:pt>
                <c:pt idx="170">
                  <c:v>0.01</c:v>
                </c:pt>
                <c:pt idx="171">
                  <c:v>0.01</c:v>
                </c:pt>
                <c:pt idx="172">
                  <c:v>0.01</c:v>
                </c:pt>
                <c:pt idx="173">
                  <c:v>0.01</c:v>
                </c:pt>
                <c:pt idx="174">
                  <c:v>0.01</c:v>
                </c:pt>
                <c:pt idx="175">
                  <c:v>0.01</c:v>
                </c:pt>
                <c:pt idx="176">
                  <c:v>0.01</c:v>
                </c:pt>
                <c:pt idx="177">
                  <c:v>0.01</c:v>
                </c:pt>
                <c:pt idx="178">
                  <c:v>0.01</c:v>
                </c:pt>
                <c:pt idx="179">
                  <c:v>0.01</c:v>
                </c:pt>
                <c:pt idx="180">
                  <c:v>0.01</c:v>
                </c:pt>
                <c:pt idx="181">
                  <c:v>0</c:v>
                </c:pt>
                <c:pt idx="182">
                  <c:v>0</c:v>
                </c:pt>
                <c:pt idx="183">
                  <c:v>0</c:v>
                </c:pt>
                <c:pt idx="184">
                  <c:v>0</c:v>
                </c:pt>
                <c:pt idx="185">
                  <c:v>0</c:v>
                </c:pt>
                <c:pt idx="186">
                  <c:v>0</c:v>
                </c:pt>
                <c:pt idx="187">
                  <c:v>0</c:v>
                </c:pt>
                <c:pt idx="188">
                  <c:v>0</c:v>
                </c:pt>
                <c:pt idx="189">
                  <c:v>0</c:v>
                </c:pt>
                <c:pt idx="190">
                  <c:v>0</c:v>
                </c:pt>
                <c:pt idx="191">
                  <c:v>0</c:v>
                </c:pt>
                <c:pt idx="192">
                  <c:v>0</c:v>
                </c:pt>
                <c:pt idx="193">
                  <c:v>0</c:v>
                </c:pt>
                <c:pt idx="194">
                  <c:v>0</c:v>
                </c:pt>
                <c:pt idx="195">
                  <c:v>0</c:v>
                </c:pt>
                <c:pt idx="196">
                  <c:v>0</c:v>
                </c:pt>
                <c:pt idx="197">
                  <c:v>0</c:v>
                </c:pt>
                <c:pt idx="198">
                  <c:v>0</c:v>
                </c:pt>
                <c:pt idx="199">
                  <c:v>0</c:v>
                </c:pt>
                <c:pt idx="200">
                  <c:v>0</c:v>
                </c:pt>
                <c:pt idx="201">
                  <c:v>0</c:v>
                </c:pt>
                <c:pt idx="202">
                  <c:v>0</c:v>
                </c:pt>
                <c:pt idx="203">
                  <c:v>0</c:v>
                </c:pt>
                <c:pt idx="204">
                  <c:v>0</c:v>
                </c:pt>
                <c:pt idx="205">
                  <c:v>0</c:v>
                </c:pt>
                <c:pt idx="206">
                  <c:v>0</c:v>
                </c:pt>
                <c:pt idx="207">
                  <c:v>0</c:v>
                </c:pt>
                <c:pt idx="208">
                  <c:v>0</c:v>
                </c:pt>
                <c:pt idx="209">
                  <c:v>0</c:v>
                </c:pt>
                <c:pt idx="210">
                  <c:v>0</c:v>
                </c:pt>
                <c:pt idx="211">
                  <c:v>0</c:v>
                </c:pt>
                <c:pt idx="212">
                  <c:v>0</c:v>
                </c:pt>
                <c:pt idx="213">
                  <c:v>0</c:v>
                </c:pt>
                <c:pt idx="214">
                  <c:v>0</c:v>
                </c:pt>
                <c:pt idx="215">
                  <c:v>0</c:v>
                </c:pt>
                <c:pt idx="216">
                  <c:v>0</c:v>
                </c:pt>
                <c:pt idx="217">
                  <c:v>0</c:v>
                </c:pt>
                <c:pt idx="218">
                  <c:v>0</c:v>
                </c:pt>
                <c:pt idx="219">
                  <c:v>0</c:v>
                </c:pt>
                <c:pt idx="220">
                  <c:v>0</c:v>
                </c:pt>
                <c:pt idx="221">
                  <c:v>0</c:v>
                </c:pt>
                <c:pt idx="222">
                  <c:v>0</c:v>
                </c:pt>
                <c:pt idx="223">
                  <c:v>0</c:v>
                </c:pt>
                <c:pt idx="224">
                  <c:v>0</c:v>
                </c:pt>
                <c:pt idx="225">
                  <c:v>0</c:v>
                </c:pt>
                <c:pt idx="226">
                  <c:v>0</c:v>
                </c:pt>
                <c:pt idx="227">
                  <c:v>0</c:v>
                </c:pt>
                <c:pt idx="228">
                  <c:v>0</c:v>
                </c:pt>
                <c:pt idx="229">
                  <c:v>0</c:v>
                </c:pt>
                <c:pt idx="230">
                  <c:v>0</c:v>
                </c:pt>
                <c:pt idx="231">
                  <c:v>0</c:v>
                </c:pt>
                <c:pt idx="232">
                  <c:v>0</c:v>
                </c:pt>
                <c:pt idx="233">
                  <c:v>0</c:v>
                </c:pt>
                <c:pt idx="234">
                  <c:v>0</c:v>
                </c:pt>
                <c:pt idx="235">
                  <c:v>0</c:v>
                </c:pt>
                <c:pt idx="236">
                  <c:v>0</c:v>
                </c:pt>
                <c:pt idx="237">
                  <c:v>0</c:v>
                </c:pt>
                <c:pt idx="238">
                  <c:v>0</c:v>
                </c:pt>
                <c:pt idx="239">
                  <c:v>0</c:v>
                </c:pt>
                <c:pt idx="240">
                  <c:v>0</c:v>
                </c:pt>
              </c:strCache>
            </c:strRef>
          </c:xVal>
          <c:yVal>
            <c:numRef>
              <c:f>Precip_YHD4!$H$3:$H$243</c:f>
              <c:numCache>
                <c:formatCode>General</c:formatCode>
                <c:ptCount val="241"/>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c:v>
                </c:pt>
                <c:pt idx="76">
                  <c:v>0</c:v>
                </c:pt>
                <c:pt idx="77">
                  <c:v>0</c:v>
                </c:pt>
                <c:pt idx="78">
                  <c:v>0</c:v>
                </c:pt>
                <c:pt idx="79">
                  <c:v>0</c:v>
                </c:pt>
                <c:pt idx="80">
                  <c:v>0</c:v>
                </c:pt>
                <c:pt idx="81">
                  <c:v>0</c:v>
                </c:pt>
                <c:pt idx="82">
                  <c:v>0</c:v>
                </c:pt>
                <c:pt idx="83">
                  <c:v>0</c:v>
                </c:pt>
                <c:pt idx="84">
                  <c:v>0</c:v>
                </c:pt>
                <c:pt idx="85">
                  <c:v>0</c:v>
                </c:pt>
                <c:pt idx="86">
                  <c:v>0</c:v>
                </c:pt>
                <c:pt idx="87">
                  <c:v>0</c:v>
                </c:pt>
                <c:pt idx="88">
                  <c:v>0</c:v>
                </c:pt>
                <c:pt idx="89">
                  <c:v>0</c:v>
                </c:pt>
                <c:pt idx="90">
                  <c:v>0</c:v>
                </c:pt>
                <c:pt idx="91">
                  <c:v>0</c:v>
                </c:pt>
                <c:pt idx="92">
                  <c:v>0</c:v>
                </c:pt>
                <c:pt idx="93">
                  <c:v>0</c:v>
                </c:pt>
                <c:pt idx="94">
                  <c:v>0</c:v>
                </c:pt>
                <c:pt idx="95">
                  <c:v>0</c:v>
                </c:pt>
                <c:pt idx="96">
                  <c:v>0</c:v>
                </c:pt>
                <c:pt idx="97">
                  <c:v>0</c:v>
                </c:pt>
                <c:pt idx="98">
                  <c:v>0</c:v>
                </c:pt>
                <c:pt idx="99">
                  <c:v>0</c:v>
                </c:pt>
                <c:pt idx="100">
                  <c:v>0</c:v>
                </c:pt>
                <c:pt idx="101">
                  <c:v>0</c:v>
                </c:pt>
                <c:pt idx="102">
                  <c:v>0</c:v>
                </c:pt>
                <c:pt idx="103">
                  <c:v>0</c:v>
                </c:pt>
                <c:pt idx="104">
                  <c:v>0</c:v>
                </c:pt>
                <c:pt idx="105">
                  <c:v>0</c:v>
                </c:pt>
                <c:pt idx="106">
                  <c:v>0</c:v>
                </c:pt>
                <c:pt idx="107">
                  <c:v>0</c:v>
                </c:pt>
                <c:pt idx="108">
                  <c:v>0</c:v>
                </c:pt>
                <c:pt idx="109">
                  <c:v>0</c:v>
                </c:pt>
                <c:pt idx="110">
                  <c:v>0</c:v>
                </c:pt>
                <c:pt idx="111">
                  <c:v>0.01</c:v>
                </c:pt>
                <c:pt idx="112">
                  <c:v>0.01</c:v>
                </c:pt>
                <c:pt idx="113">
                  <c:v>0.01</c:v>
                </c:pt>
                <c:pt idx="114">
                  <c:v>0.01</c:v>
                </c:pt>
                <c:pt idx="115">
                  <c:v>0.02</c:v>
                </c:pt>
                <c:pt idx="116">
                  <c:v>0.03</c:v>
                </c:pt>
                <c:pt idx="117">
                  <c:v>0.04</c:v>
                </c:pt>
                <c:pt idx="118">
                  <c:v>0.05</c:v>
                </c:pt>
                <c:pt idx="119">
                  <c:v>0.05</c:v>
                </c:pt>
                <c:pt idx="120">
                  <c:v>0.12</c:v>
                </c:pt>
                <c:pt idx="121">
                  <c:v>0.28000000000000003</c:v>
                </c:pt>
                <c:pt idx="122">
                  <c:v>0.1</c:v>
                </c:pt>
                <c:pt idx="123">
                  <c:v>0.06</c:v>
                </c:pt>
                <c:pt idx="124">
                  <c:v>0.09</c:v>
                </c:pt>
                <c:pt idx="125">
                  <c:v>0.08</c:v>
                </c:pt>
                <c:pt idx="126">
                  <c:v>0.05</c:v>
                </c:pt>
                <c:pt idx="127">
                  <c:v>0.05</c:v>
                </c:pt>
                <c:pt idx="128">
                  <c:v>0.05</c:v>
                </c:pt>
                <c:pt idx="129">
                  <c:v>0.04</c:v>
                </c:pt>
                <c:pt idx="130">
                  <c:v>0.04</c:v>
                </c:pt>
                <c:pt idx="131">
                  <c:v>0.03</c:v>
                </c:pt>
                <c:pt idx="132">
                  <c:v>0.02</c:v>
                </c:pt>
                <c:pt idx="133">
                  <c:v>0.02</c:v>
                </c:pt>
                <c:pt idx="134">
                  <c:v>0.02</c:v>
                </c:pt>
                <c:pt idx="135">
                  <c:v>0.02</c:v>
                </c:pt>
                <c:pt idx="136">
                  <c:v>0.02</c:v>
                </c:pt>
                <c:pt idx="137">
                  <c:v>0.02</c:v>
                </c:pt>
                <c:pt idx="138">
                  <c:v>0.02</c:v>
                </c:pt>
                <c:pt idx="139">
                  <c:v>0.02</c:v>
                </c:pt>
                <c:pt idx="140">
                  <c:v>0.02</c:v>
                </c:pt>
                <c:pt idx="141">
                  <c:v>0.02</c:v>
                </c:pt>
                <c:pt idx="142">
                  <c:v>0.02</c:v>
                </c:pt>
                <c:pt idx="143">
                  <c:v>0.02</c:v>
                </c:pt>
                <c:pt idx="144">
                  <c:v>0.02</c:v>
                </c:pt>
                <c:pt idx="145">
                  <c:v>0.01</c:v>
                </c:pt>
                <c:pt idx="146">
                  <c:v>0.01</c:v>
                </c:pt>
                <c:pt idx="147">
                  <c:v>0.01</c:v>
                </c:pt>
                <c:pt idx="148">
                  <c:v>0.01</c:v>
                </c:pt>
                <c:pt idx="149">
                  <c:v>0.01</c:v>
                </c:pt>
                <c:pt idx="150">
                  <c:v>0.01</c:v>
                </c:pt>
                <c:pt idx="151">
                  <c:v>0.01</c:v>
                </c:pt>
                <c:pt idx="152">
                  <c:v>0.01</c:v>
                </c:pt>
                <c:pt idx="153">
                  <c:v>0.01</c:v>
                </c:pt>
                <c:pt idx="154">
                  <c:v>0.01</c:v>
                </c:pt>
                <c:pt idx="155">
                  <c:v>0.01</c:v>
                </c:pt>
                <c:pt idx="156">
                  <c:v>0.01</c:v>
                </c:pt>
                <c:pt idx="157">
                  <c:v>0.01</c:v>
                </c:pt>
                <c:pt idx="158">
                  <c:v>0.01</c:v>
                </c:pt>
                <c:pt idx="159">
                  <c:v>0.01</c:v>
                </c:pt>
                <c:pt idx="160">
                  <c:v>0.01</c:v>
                </c:pt>
                <c:pt idx="161">
                  <c:v>0.01</c:v>
                </c:pt>
                <c:pt idx="162">
                  <c:v>0.01</c:v>
                </c:pt>
                <c:pt idx="163">
                  <c:v>0.01</c:v>
                </c:pt>
                <c:pt idx="164">
                  <c:v>0.01</c:v>
                </c:pt>
                <c:pt idx="165">
                  <c:v>0.01</c:v>
                </c:pt>
                <c:pt idx="166">
                  <c:v>0.01</c:v>
                </c:pt>
                <c:pt idx="167">
                  <c:v>0.01</c:v>
                </c:pt>
                <c:pt idx="168">
                  <c:v>0.01</c:v>
                </c:pt>
                <c:pt idx="169">
                  <c:v>0.01</c:v>
                </c:pt>
                <c:pt idx="170">
                  <c:v>0.01</c:v>
                </c:pt>
                <c:pt idx="171">
                  <c:v>0.01</c:v>
                </c:pt>
                <c:pt idx="172">
                  <c:v>0.01</c:v>
                </c:pt>
                <c:pt idx="173">
                  <c:v>0.01</c:v>
                </c:pt>
                <c:pt idx="174">
                  <c:v>0.01</c:v>
                </c:pt>
                <c:pt idx="175">
                  <c:v>0.01</c:v>
                </c:pt>
                <c:pt idx="176">
                  <c:v>0.01</c:v>
                </c:pt>
                <c:pt idx="177">
                  <c:v>0.01</c:v>
                </c:pt>
                <c:pt idx="178">
                  <c:v>0.01</c:v>
                </c:pt>
                <c:pt idx="179">
                  <c:v>0.01</c:v>
                </c:pt>
                <c:pt idx="180">
                  <c:v>0.01</c:v>
                </c:pt>
                <c:pt idx="181">
                  <c:v>0</c:v>
                </c:pt>
                <c:pt idx="182">
                  <c:v>0</c:v>
                </c:pt>
                <c:pt idx="183">
                  <c:v>0</c:v>
                </c:pt>
                <c:pt idx="184">
                  <c:v>0</c:v>
                </c:pt>
                <c:pt idx="185">
                  <c:v>0</c:v>
                </c:pt>
                <c:pt idx="186">
                  <c:v>0</c:v>
                </c:pt>
                <c:pt idx="187">
                  <c:v>0</c:v>
                </c:pt>
                <c:pt idx="188">
                  <c:v>0</c:v>
                </c:pt>
                <c:pt idx="189">
                  <c:v>0</c:v>
                </c:pt>
                <c:pt idx="190">
                  <c:v>0</c:v>
                </c:pt>
                <c:pt idx="191">
                  <c:v>0</c:v>
                </c:pt>
                <c:pt idx="192">
                  <c:v>0</c:v>
                </c:pt>
                <c:pt idx="193">
                  <c:v>0</c:v>
                </c:pt>
                <c:pt idx="194">
                  <c:v>0</c:v>
                </c:pt>
                <c:pt idx="195">
                  <c:v>0</c:v>
                </c:pt>
                <c:pt idx="196">
                  <c:v>0</c:v>
                </c:pt>
                <c:pt idx="197">
                  <c:v>0</c:v>
                </c:pt>
                <c:pt idx="198">
                  <c:v>0</c:v>
                </c:pt>
                <c:pt idx="199">
                  <c:v>0</c:v>
                </c:pt>
                <c:pt idx="200">
                  <c:v>0</c:v>
                </c:pt>
                <c:pt idx="201">
                  <c:v>0</c:v>
                </c:pt>
                <c:pt idx="202">
                  <c:v>0</c:v>
                </c:pt>
                <c:pt idx="203">
                  <c:v>0</c:v>
                </c:pt>
                <c:pt idx="204">
                  <c:v>0</c:v>
                </c:pt>
                <c:pt idx="205">
                  <c:v>0</c:v>
                </c:pt>
                <c:pt idx="206">
                  <c:v>0</c:v>
                </c:pt>
                <c:pt idx="207">
                  <c:v>0</c:v>
                </c:pt>
                <c:pt idx="208">
                  <c:v>0</c:v>
                </c:pt>
                <c:pt idx="209">
                  <c:v>0</c:v>
                </c:pt>
                <c:pt idx="210">
                  <c:v>0</c:v>
                </c:pt>
                <c:pt idx="211">
                  <c:v>0</c:v>
                </c:pt>
                <c:pt idx="212">
                  <c:v>0</c:v>
                </c:pt>
                <c:pt idx="213">
                  <c:v>0</c:v>
                </c:pt>
                <c:pt idx="214">
                  <c:v>0</c:v>
                </c:pt>
                <c:pt idx="215">
                  <c:v>0</c:v>
                </c:pt>
                <c:pt idx="216">
                  <c:v>0</c:v>
                </c:pt>
                <c:pt idx="217">
                  <c:v>0</c:v>
                </c:pt>
                <c:pt idx="218">
                  <c:v>0</c:v>
                </c:pt>
                <c:pt idx="219">
                  <c:v>0</c:v>
                </c:pt>
                <c:pt idx="220">
                  <c:v>0</c:v>
                </c:pt>
                <c:pt idx="221">
                  <c:v>0</c:v>
                </c:pt>
                <c:pt idx="222">
                  <c:v>0</c:v>
                </c:pt>
                <c:pt idx="223">
                  <c:v>0</c:v>
                </c:pt>
                <c:pt idx="224">
                  <c:v>0</c:v>
                </c:pt>
                <c:pt idx="225">
                  <c:v>0</c:v>
                </c:pt>
                <c:pt idx="226">
                  <c:v>0</c:v>
                </c:pt>
                <c:pt idx="227">
                  <c:v>0</c:v>
                </c:pt>
                <c:pt idx="228">
                  <c:v>0</c:v>
                </c:pt>
                <c:pt idx="229">
                  <c:v>0</c:v>
                </c:pt>
                <c:pt idx="230">
                  <c:v>0</c:v>
                </c:pt>
                <c:pt idx="231">
                  <c:v>0</c:v>
                </c:pt>
                <c:pt idx="232">
                  <c:v>0</c:v>
                </c:pt>
                <c:pt idx="233">
                  <c:v>0</c:v>
                </c:pt>
                <c:pt idx="234">
                  <c:v>0</c:v>
                </c:pt>
                <c:pt idx="235">
                  <c:v>0</c:v>
                </c:pt>
                <c:pt idx="236">
                  <c:v>0</c:v>
                </c:pt>
                <c:pt idx="237">
                  <c:v>0</c:v>
                </c:pt>
                <c:pt idx="238">
                  <c:v>0</c:v>
                </c:pt>
                <c:pt idx="239">
                  <c:v>0</c:v>
                </c:pt>
                <c:pt idx="240">
                  <c:v>0</c:v>
                </c:pt>
              </c:numCache>
            </c:numRef>
          </c:yVal>
          <c:smooth val="1"/>
          <c:extLst xmlns:c16r2="http://schemas.microsoft.com/office/drawing/2015/06/chart">
            <c:ext xmlns:c16="http://schemas.microsoft.com/office/drawing/2014/chart" uri="{C3380CC4-5D6E-409C-BE32-E72D297353CC}">
              <c16:uniqueId val="{00000006-F9AC-43A0-825A-84DB6A834CE7}"/>
            </c:ext>
          </c:extLst>
        </c:ser>
        <c:dLbls>
          <c:showLegendKey val="0"/>
          <c:showVal val="0"/>
          <c:showCatName val="0"/>
          <c:showSerName val="0"/>
          <c:showPercent val="0"/>
          <c:showBubbleSize val="0"/>
        </c:dLbls>
        <c:axId val="142709504"/>
        <c:axId val="142711424"/>
      </c:scatterChart>
      <c:valAx>
        <c:axId val="142709504"/>
        <c:scaling>
          <c:orientation val="minMax"/>
          <c:max val="1"/>
        </c:scaling>
        <c:delete val="0"/>
        <c:axPos val="b"/>
        <c:title>
          <c:tx>
            <c:rich>
              <a:bodyPr/>
              <a:lstStyle/>
              <a:p>
                <a:pPr>
                  <a:defRPr/>
                </a:pPr>
                <a:r>
                  <a:rPr lang="en-US"/>
                  <a:t>Time (hours)</a:t>
                </a:r>
              </a:p>
            </c:rich>
          </c:tx>
          <c:layout/>
          <c:overlay val="0"/>
        </c:title>
        <c:numFmt formatCode="h:mm;@" sourceLinked="0"/>
        <c:majorTickMark val="out"/>
        <c:minorTickMark val="none"/>
        <c:tickLblPos val="nextTo"/>
        <c:crossAx val="142711424"/>
        <c:crosses val="autoZero"/>
        <c:crossBetween val="midCat"/>
        <c:majorUnit val="0.1"/>
        <c:minorUnit val="2.0000000000000004E-2"/>
      </c:valAx>
      <c:valAx>
        <c:axId val="142711424"/>
        <c:scaling>
          <c:orientation val="minMax"/>
          <c:min val="0"/>
        </c:scaling>
        <c:delete val="0"/>
        <c:axPos val="l"/>
        <c:majorGridlines/>
        <c:title>
          <c:tx>
            <c:rich>
              <a:bodyPr rot="-5400000" vert="horz"/>
              <a:lstStyle/>
              <a:p>
                <a:pPr>
                  <a:defRPr/>
                </a:pPr>
                <a:r>
                  <a:rPr lang="en-US"/>
                  <a:t>Incremental Precipitation</a:t>
                </a:r>
                <a:r>
                  <a:rPr lang="en-US" baseline="0"/>
                  <a:t> (in)</a:t>
                </a:r>
                <a:endParaRPr lang="en-US"/>
              </a:p>
            </c:rich>
          </c:tx>
          <c:layout>
            <c:manualLayout>
              <c:xMode val="edge"/>
              <c:yMode val="edge"/>
              <c:x val="1.0469011725293133E-2"/>
              <c:y val="0.28479270523922046"/>
            </c:manualLayout>
          </c:layout>
          <c:overlay val="0"/>
        </c:title>
        <c:numFmt formatCode="#,##0.00" sourceLinked="0"/>
        <c:majorTickMark val="out"/>
        <c:minorTickMark val="none"/>
        <c:tickLblPos val="nextTo"/>
        <c:crossAx val="142709504"/>
        <c:crosses val="autoZero"/>
        <c:crossBetween val="midCat"/>
      </c:valAx>
      <c:spPr>
        <a:ln>
          <a:solidFill>
            <a:schemeClr val="tx1"/>
          </a:solidFill>
        </a:ln>
      </c:spPr>
    </c:plotArea>
    <c:legend>
      <c:legendPos val="r"/>
      <c:layout>
        <c:manualLayout>
          <c:xMode val="edge"/>
          <c:yMode val="edge"/>
          <c:x val="0.61766555914614718"/>
          <c:y val="3.4729793391210712E-2"/>
          <c:w val="0.33965439291186866"/>
          <c:h val="0.36062790228144559"/>
        </c:manualLayout>
      </c:layout>
      <c:overlay val="1"/>
      <c:spPr>
        <a:solidFill>
          <a:schemeClr val="bg1"/>
        </a:solidFill>
        <a:ln>
          <a:solidFill>
            <a:schemeClr val="tx1"/>
          </a:solidFill>
        </a:ln>
      </c:spPr>
    </c:legend>
    <c:plotVisOnly val="1"/>
    <c:dispBlanksAs val="gap"/>
    <c:showDLblsOverMax val="0"/>
  </c:chart>
  <c:externalData r:id="rId2">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scatterChart>
        <c:scatterStyle val="smoothMarker"/>
        <c:varyColors val="0"/>
        <c:ser>
          <c:idx val="5"/>
          <c:order val="0"/>
          <c:tx>
            <c:v>1 Percent Plus Annual Chance</c:v>
          </c:tx>
          <c:marker>
            <c:symbol val="none"/>
          </c:marker>
          <c:xVal>
            <c:numRef>
              <c:f>Precip_YHD5!$A$3:$A$243</c:f>
              <c:numCache>
                <c:formatCode>h:mm;@</c:formatCode>
                <c:ptCount val="241"/>
                <c:pt idx="0">
                  <c:v>0</c:v>
                </c:pt>
                <c:pt idx="1">
                  <c:v>4.1666666666666666E-3</c:v>
                </c:pt>
                <c:pt idx="2">
                  <c:v>8.3333333333333332E-3</c:v>
                </c:pt>
                <c:pt idx="3">
                  <c:v>1.2499999999999999E-2</c:v>
                </c:pt>
                <c:pt idx="4">
                  <c:v>1.6666666666666666E-2</c:v>
                </c:pt>
                <c:pt idx="5">
                  <c:v>2.0833333333333332E-2</c:v>
                </c:pt>
                <c:pt idx="6">
                  <c:v>2.4999999999999998E-2</c:v>
                </c:pt>
                <c:pt idx="7">
                  <c:v>2.9166666666666664E-2</c:v>
                </c:pt>
                <c:pt idx="8">
                  <c:v>3.3333333333333333E-2</c:v>
                </c:pt>
                <c:pt idx="9">
                  <c:v>3.7499999999999999E-2</c:v>
                </c:pt>
                <c:pt idx="10">
                  <c:v>4.1666666666666664E-2</c:v>
                </c:pt>
                <c:pt idx="11">
                  <c:v>4.5833333333333337E-2</c:v>
                </c:pt>
                <c:pt idx="12">
                  <c:v>4.9999999999999996E-2</c:v>
                </c:pt>
                <c:pt idx="13">
                  <c:v>5.4166666666666669E-2</c:v>
                </c:pt>
                <c:pt idx="14">
                  <c:v>5.8333333333333327E-2</c:v>
                </c:pt>
                <c:pt idx="15">
                  <c:v>6.25E-2</c:v>
                </c:pt>
                <c:pt idx="16">
                  <c:v>6.6666666666666666E-2</c:v>
                </c:pt>
                <c:pt idx="17">
                  <c:v>7.0833333333333331E-2</c:v>
                </c:pt>
                <c:pt idx="18">
                  <c:v>7.4999999999999997E-2</c:v>
                </c:pt>
                <c:pt idx="19">
                  <c:v>7.9166666666666663E-2</c:v>
                </c:pt>
                <c:pt idx="20">
                  <c:v>8.3333333333333329E-2</c:v>
                </c:pt>
                <c:pt idx="21">
                  <c:v>8.7500000000000008E-2</c:v>
                </c:pt>
                <c:pt idx="22">
                  <c:v>9.1666666666666674E-2</c:v>
                </c:pt>
                <c:pt idx="23">
                  <c:v>9.5833333333333326E-2</c:v>
                </c:pt>
                <c:pt idx="24">
                  <c:v>9.9999999999999992E-2</c:v>
                </c:pt>
                <c:pt idx="25">
                  <c:v>0.10416666666666667</c:v>
                </c:pt>
                <c:pt idx="26">
                  <c:v>0.10833333333333334</c:v>
                </c:pt>
                <c:pt idx="27">
                  <c:v>0.1125</c:v>
                </c:pt>
                <c:pt idx="28">
                  <c:v>0.11666666666666665</c:v>
                </c:pt>
                <c:pt idx="29">
                  <c:v>0.12083333333333333</c:v>
                </c:pt>
                <c:pt idx="30">
                  <c:v>0.125</c:v>
                </c:pt>
                <c:pt idx="31">
                  <c:v>0.12916666666666668</c:v>
                </c:pt>
                <c:pt idx="32">
                  <c:v>0.13333333333333333</c:v>
                </c:pt>
                <c:pt idx="33">
                  <c:v>0.13749999999999998</c:v>
                </c:pt>
                <c:pt idx="34">
                  <c:v>0.14166666666666666</c:v>
                </c:pt>
                <c:pt idx="35">
                  <c:v>0.14583333333333334</c:v>
                </c:pt>
                <c:pt idx="36">
                  <c:v>0.15</c:v>
                </c:pt>
                <c:pt idx="37">
                  <c:v>0.15416666666666667</c:v>
                </c:pt>
                <c:pt idx="38">
                  <c:v>0.15833333333333333</c:v>
                </c:pt>
                <c:pt idx="39">
                  <c:v>0.16250000000000001</c:v>
                </c:pt>
                <c:pt idx="40">
                  <c:v>0.16666666666666666</c:v>
                </c:pt>
                <c:pt idx="41">
                  <c:v>0.17083333333333331</c:v>
                </c:pt>
                <c:pt idx="42">
                  <c:v>0.17500000000000002</c:v>
                </c:pt>
                <c:pt idx="43">
                  <c:v>0.17916666666666667</c:v>
                </c:pt>
                <c:pt idx="44">
                  <c:v>0.18333333333333335</c:v>
                </c:pt>
                <c:pt idx="45">
                  <c:v>0.1875</c:v>
                </c:pt>
                <c:pt idx="46">
                  <c:v>0.19166666666666665</c:v>
                </c:pt>
                <c:pt idx="47">
                  <c:v>0.19583333333333333</c:v>
                </c:pt>
                <c:pt idx="48">
                  <c:v>0.19999999999999998</c:v>
                </c:pt>
                <c:pt idx="49">
                  <c:v>0.20416666666666669</c:v>
                </c:pt>
                <c:pt idx="50">
                  <c:v>0.20833333333333334</c:v>
                </c:pt>
                <c:pt idx="51">
                  <c:v>0.21249999999999999</c:v>
                </c:pt>
                <c:pt idx="52">
                  <c:v>0.21666666666666667</c:v>
                </c:pt>
                <c:pt idx="53">
                  <c:v>0.22083333333333333</c:v>
                </c:pt>
                <c:pt idx="54">
                  <c:v>0.22500000000000001</c:v>
                </c:pt>
                <c:pt idx="55">
                  <c:v>0.22916666666666666</c:v>
                </c:pt>
                <c:pt idx="56">
                  <c:v>0.23333333333333331</c:v>
                </c:pt>
                <c:pt idx="57">
                  <c:v>0.23750000000000002</c:v>
                </c:pt>
                <c:pt idx="58">
                  <c:v>0.24166666666666667</c:v>
                </c:pt>
                <c:pt idx="59">
                  <c:v>0.24583333333333335</c:v>
                </c:pt>
                <c:pt idx="60">
                  <c:v>0.25</c:v>
                </c:pt>
                <c:pt idx="61">
                  <c:v>0.25416666666666665</c:v>
                </c:pt>
                <c:pt idx="62">
                  <c:v>0.25833333333333336</c:v>
                </c:pt>
                <c:pt idx="63">
                  <c:v>0.26250000000000001</c:v>
                </c:pt>
                <c:pt idx="64">
                  <c:v>0.26666666666666666</c:v>
                </c:pt>
                <c:pt idx="65">
                  <c:v>0.27083333333333331</c:v>
                </c:pt>
                <c:pt idx="66">
                  <c:v>0.27499999999999997</c:v>
                </c:pt>
                <c:pt idx="67">
                  <c:v>0.27916666666666667</c:v>
                </c:pt>
                <c:pt idx="68">
                  <c:v>0.28333333333333333</c:v>
                </c:pt>
                <c:pt idx="69">
                  <c:v>0.28750000000000003</c:v>
                </c:pt>
                <c:pt idx="70">
                  <c:v>0.29166666666666669</c:v>
                </c:pt>
                <c:pt idx="71">
                  <c:v>0.29583333333333334</c:v>
                </c:pt>
                <c:pt idx="72">
                  <c:v>0.3</c:v>
                </c:pt>
                <c:pt idx="73">
                  <c:v>0.30416666666666664</c:v>
                </c:pt>
                <c:pt idx="74">
                  <c:v>0.30833333333333335</c:v>
                </c:pt>
                <c:pt idx="75">
                  <c:v>0.3125</c:v>
                </c:pt>
                <c:pt idx="76">
                  <c:v>0.31666666666666665</c:v>
                </c:pt>
                <c:pt idx="77">
                  <c:v>0.32083333333333336</c:v>
                </c:pt>
                <c:pt idx="78">
                  <c:v>0.32500000000000001</c:v>
                </c:pt>
                <c:pt idx="79">
                  <c:v>0.32916666666666666</c:v>
                </c:pt>
                <c:pt idx="80">
                  <c:v>0.33333333333333331</c:v>
                </c:pt>
                <c:pt idx="81">
                  <c:v>0.33749999999999997</c:v>
                </c:pt>
                <c:pt idx="82">
                  <c:v>0.34166666666666662</c:v>
                </c:pt>
                <c:pt idx="83">
                  <c:v>0.34583333333333338</c:v>
                </c:pt>
                <c:pt idx="84">
                  <c:v>0.35000000000000003</c:v>
                </c:pt>
                <c:pt idx="85">
                  <c:v>0.35416666666666669</c:v>
                </c:pt>
                <c:pt idx="86">
                  <c:v>0.35833333333333334</c:v>
                </c:pt>
                <c:pt idx="87">
                  <c:v>0.36249999999999999</c:v>
                </c:pt>
                <c:pt idx="88">
                  <c:v>0.3666666666666667</c:v>
                </c:pt>
                <c:pt idx="89">
                  <c:v>0.37083333333333335</c:v>
                </c:pt>
                <c:pt idx="90">
                  <c:v>0.375</c:v>
                </c:pt>
                <c:pt idx="91">
                  <c:v>0.37916666666666665</c:v>
                </c:pt>
                <c:pt idx="92">
                  <c:v>0.3833333333333333</c:v>
                </c:pt>
                <c:pt idx="93">
                  <c:v>0.38750000000000001</c:v>
                </c:pt>
                <c:pt idx="94">
                  <c:v>0.39166666666666666</c:v>
                </c:pt>
                <c:pt idx="95">
                  <c:v>0.39583333333333331</c:v>
                </c:pt>
                <c:pt idx="96">
                  <c:v>0.39999999999999997</c:v>
                </c:pt>
                <c:pt idx="97">
                  <c:v>0.40416666666666662</c:v>
                </c:pt>
                <c:pt idx="98">
                  <c:v>0.40833333333333338</c:v>
                </c:pt>
                <c:pt idx="99">
                  <c:v>0.41250000000000003</c:v>
                </c:pt>
                <c:pt idx="100">
                  <c:v>0.41666666666666669</c:v>
                </c:pt>
                <c:pt idx="101">
                  <c:v>0.42083333333333334</c:v>
                </c:pt>
                <c:pt idx="102">
                  <c:v>0.42499999999999999</c:v>
                </c:pt>
                <c:pt idx="103">
                  <c:v>0.4291666666666667</c:v>
                </c:pt>
                <c:pt idx="104">
                  <c:v>0.43333333333333335</c:v>
                </c:pt>
                <c:pt idx="105">
                  <c:v>0.4375</c:v>
                </c:pt>
                <c:pt idx="106">
                  <c:v>0.44166666666666665</c:v>
                </c:pt>
                <c:pt idx="107">
                  <c:v>0.4458333333333333</c:v>
                </c:pt>
                <c:pt idx="108">
                  <c:v>0.45</c:v>
                </c:pt>
                <c:pt idx="109">
                  <c:v>0.45416666666666666</c:v>
                </c:pt>
                <c:pt idx="110">
                  <c:v>0.45833333333333331</c:v>
                </c:pt>
                <c:pt idx="111">
                  <c:v>0.46249999999999997</c:v>
                </c:pt>
                <c:pt idx="112">
                  <c:v>0.46666666666666662</c:v>
                </c:pt>
                <c:pt idx="113">
                  <c:v>0.47083333333333338</c:v>
                </c:pt>
                <c:pt idx="114">
                  <c:v>0.47500000000000003</c:v>
                </c:pt>
                <c:pt idx="115">
                  <c:v>0.47916666666666669</c:v>
                </c:pt>
                <c:pt idx="116">
                  <c:v>0.48333333333333334</c:v>
                </c:pt>
                <c:pt idx="117">
                  <c:v>0.48749999999999999</c:v>
                </c:pt>
                <c:pt idx="118">
                  <c:v>0.4916666666666667</c:v>
                </c:pt>
                <c:pt idx="119">
                  <c:v>0.49583333333333335</c:v>
                </c:pt>
                <c:pt idx="120">
                  <c:v>0.5</c:v>
                </c:pt>
                <c:pt idx="121">
                  <c:v>0.50416666666666665</c:v>
                </c:pt>
                <c:pt idx="122">
                  <c:v>0.5083333333333333</c:v>
                </c:pt>
                <c:pt idx="123">
                  <c:v>0.51250000000000007</c:v>
                </c:pt>
                <c:pt idx="124">
                  <c:v>0.51666666666666672</c:v>
                </c:pt>
                <c:pt idx="125">
                  <c:v>0.52083333333333337</c:v>
                </c:pt>
                <c:pt idx="126">
                  <c:v>0.52500000000000002</c:v>
                </c:pt>
                <c:pt idx="127">
                  <c:v>0.52916666666666667</c:v>
                </c:pt>
                <c:pt idx="128">
                  <c:v>0.53333333333333333</c:v>
                </c:pt>
                <c:pt idx="129">
                  <c:v>0.53749999999999998</c:v>
                </c:pt>
                <c:pt idx="130">
                  <c:v>0.54166666666666663</c:v>
                </c:pt>
                <c:pt idx="131">
                  <c:v>0.54583333333333328</c:v>
                </c:pt>
                <c:pt idx="132">
                  <c:v>0.54999999999999993</c:v>
                </c:pt>
                <c:pt idx="133">
                  <c:v>0.5541666666666667</c:v>
                </c:pt>
                <c:pt idx="134">
                  <c:v>0.55833333333333335</c:v>
                </c:pt>
                <c:pt idx="135">
                  <c:v>0.5625</c:v>
                </c:pt>
                <c:pt idx="136">
                  <c:v>0.56666666666666665</c:v>
                </c:pt>
                <c:pt idx="137">
                  <c:v>0.5708333333333333</c:v>
                </c:pt>
                <c:pt idx="138">
                  <c:v>0.57500000000000007</c:v>
                </c:pt>
                <c:pt idx="139">
                  <c:v>0.57916666666666672</c:v>
                </c:pt>
                <c:pt idx="140">
                  <c:v>0.58333333333333337</c:v>
                </c:pt>
                <c:pt idx="141">
                  <c:v>0.58750000000000002</c:v>
                </c:pt>
                <c:pt idx="142">
                  <c:v>0.59166666666666667</c:v>
                </c:pt>
                <c:pt idx="143">
                  <c:v>0.59583333333333333</c:v>
                </c:pt>
                <c:pt idx="144">
                  <c:v>0.6</c:v>
                </c:pt>
                <c:pt idx="145">
                  <c:v>0.60416666666666663</c:v>
                </c:pt>
                <c:pt idx="146">
                  <c:v>0.60833333333333328</c:v>
                </c:pt>
                <c:pt idx="147">
                  <c:v>0.61249999999999993</c:v>
                </c:pt>
                <c:pt idx="148">
                  <c:v>0.6166666666666667</c:v>
                </c:pt>
                <c:pt idx="149">
                  <c:v>0.62083333333333335</c:v>
                </c:pt>
                <c:pt idx="150">
                  <c:v>0.625</c:v>
                </c:pt>
                <c:pt idx="151">
                  <c:v>0.62916666666666665</c:v>
                </c:pt>
                <c:pt idx="152">
                  <c:v>0.6333333333333333</c:v>
                </c:pt>
                <c:pt idx="153">
                  <c:v>0.63750000000000007</c:v>
                </c:pt>
                <c:pt idx="154">
                  <c:v>0.64166666666666672</c:v>
                </c:pt>
                <c:pt idx="155">
                  <c:v>0.64583333333333337</c:v>
                </c:pt>
                <c:pt idx="156">
                  <c:v>0.65</c:v>
                </c:pt>
                <c:pt idx="157">
                  <c:v>0.65416666666666667</c:v>
                </c:pt>
                <c:pt idx="158">
                  <c:v>0.65833333333333333</c:v>
                </c:pt>
                <c:pt idx="159">
                  <c:v>0.66249999999999998</c:v>
                </c:pt>
                <c:pt idx="160">
                  <c:v>0.66666666666666663</c:v>
                </c:pt>
                <c:pt idx="161">
                  <c:v>0.67083333333333339</c:v>
                </c:pt>
                <c:pt idx="162">
                  <c:v>0.67499999999999993</c:v>
                </c:pt>
                <c:pt idx="163">
                  <c:v>0.6791666666666667</c:v>
                </c:pt>
                <c:pt idx="164">
                  <c:v>0.68333333333333324</c:v>
                </c:pt>
                <c:pt idx="165">
                  <c:v>0.6875</c:v>
                </c:pt>
                <c:pt idx="166">
                  <c:v>0.69166666666666676</c:v>
                </c:pt>
                <c:pt idx="167">
                  <c:v>0.6958333333333333</c:v>
                </c:pt>
                <c:pt idx="168">
                  <c:v>0.70000000000000007</c:v>
                </c:pt>
                <c:pt idx="169">
                  <c:v>0.70416666666666661</c:v>
                </c:pt>
                <c:pt idx="170">
                  <c:v>0.70833333333333337</c:v>
                </c:pt>
                <c:pt idx="171">
                  <c:v>0.71250000000000002</c:v>
                </c:pt>
                <c:pt idx="172">
                  <c:v>0.71666666666666667</c:v>
                </c:pt>
                <c:pt idx="173">
                  <c:v>0.72083333333333333</c:v>
                </c:pt>
                <c:pt idx="174">
                  <c:v>0.72499999999999998</c:v>
                </c:pt>
                <c:pt idx="175">
                  <c:v>0.72916666666666663</c:v>
                </c:pt>
                <c:pt idx="176">
                  <c:v>0.73333333333333339</c:v>
                </c:pt>
                <c:pt idx="177">
                  <c:v>0.73749999999999993</c:v>
                </c:pt>
                <c:pt idx="178">
                  <c:v>0.7416666666666667</c:v>
                </c:pt>
                <c:pt idx="179">
                  <c:v>0.74583333333333324</c:v>
                </c:pt>
                <c:pt idx="180">
                  <c:v>0.75</c:v>
                </c:pt>
                <c:pt idx="181">
                  <c:v>0.75416666666666676</c:v>
                </c:pt>
                <c:pt idx="182">
                  <c:v>0.7583333333333333</c:v>
                </c:pt>
                <c:pt idx="183">
                  <c:v>0.76250000000000007</c:v>
                </c:pt>
                <c:pt idx="184">
                  <c:v>0.76666666666666661</c:v>
                </c:pt>
                <c:pt idx="185">
                  <c:v>0.77083333333333337</c:v>
                </c:pt>
                <c:pt idx="186">
                  <c:v>0.77500000000000002</c:v>
                </c:pt>
                <c:pt idx="187">
                  <c:v>0.77916666666666667</c:v>
                </c:pt>
                <c:pt idx="188">
                  <c:v>0.78333333333333333</c:v>
                </c:pt>
                <c:pt idx="189">
                  <c:v>0.78749999999999998</c:v>
                </c:pt>
                <c:pt idx="190">
                  <c:v>0.79166666666666663</c:v>
                </c:pt>
                <c:pt idx="191">
                  <c:v>0.79583333333333339</c:v>
                </c:pt>
                <c:pt idx="192">
                  <c:v>0.79999999999999993</c:v>
                </c:pt>
                <c:pt idx="193">
                  <c:v>0.8041666666666667</c:v>
                </c:pt>
                <c:pt idx="194">
                  <c:v>0.80833333333333324</c:v>
                </c:pt>
                <c:pt idx="195">
                  <c:v>0.8125</c:v>
                </c:pt>
                <c:pt idx="196">
                  <c:v>0.81666666666666676</c:v>
                </c:pt>
                <c:pt idx="197">
                  <c:v>0.8208333333333333</c:v>
                </c:pt>
                <c:pt idx="198">
                  <c:v>0.82500000000000007</c:v>
                </c:pt>
                <c:pt idx="199">
                  <c:v>0.82916666666666661</c:v>
                </c:pt>
                <c:pt idx="200">
                  <c:v>0.83333333333333337</c:v>
                </c:pt>
                <c:pt idx="201">
                  <c:v>0.83750000000000002</c:v>
                </c:pt>
                <c:pt idx="202">
                  <c:v>0.84166666666666667</c:v>
                </c:pt>
                <c:pt idx="203">
                  <c:v>0.84583333333333333</c:v>
                </c:pt>
                <c:pt idx="204">
                  <c:v>0.85</c:v>
                </c:pt>
                <c:pt idx="205">
                  <c:v>0.85416666666666663</c:v>
                </c:pt>
                <c:pt idx="206">
                  <c:v>0.85833333333333339</c:v>
                </c:pt>
                <c:pt idx="207">
                  <c:v>0.86249999999999993</c:v>
                </c:pt>
                <c:pt idx="208">
                  <c:v>0.8666666666666667</c:v>
                </c:pt>
                <c:pt idx="209">
                  <c:v>0.87083333333333324</c:v>
                </c:pt>
                <c:pt idx="210">
                  <c:v>0.875</c:v>
                </c:pt>
                <c:pt idx="211">
                  <c:v>0.87916666666666676</c:v>
                </c:pt>
                <c:pt idx="212">
                  <c:v>0.8833333333333333</c:v>
                </c:pt>
                <c:pt idx="213">
                  <c:v>0.88750000000000007</c:v>
                </c:pt>
                <c:pt idx="214">
                  <c:v>0.89166666666666661</c:v>
                </c:pt>
                <c:pt idx="215">
                  <c:v>0.89583333333333337</c:v>
                </c:pt>
                <c:pt idx="216">
                  <c:v>0.9</c:v>
                </c:pt>
                <c:pt idx="217">
                  <c:v>0.90416666666666667</c:v>
                </c:pt>
                <c:pt idx="218">
                  <c:v>0.90833333333333333</c:v>
                </c:pt>
                <c:pt idx="219">
                  <c:v>0.91249999999999998</c:v>
                </c:pt>
                <c:pt idx="220">
                  <c:v>0.91666666666666663</c:v>
                </c:pt>
                <c:pt idx="221">
                  <c:v>0.92083333333333339</c:v>
                </c:pt>
                <c:pt idx="222">
                  <c:v>0.92499999999999993</c:v>
                </c:pt>
                <c:pt idx="223">
                  <c:v>0.9291666666666667</c:v>
                </c:pt>
                <c:pt idx="224">
                  <c:v>0.93333333333333324</c:v>
                </c:pt>
                <c:pt idx="225">
                  <c:v>0.9375</c:v>
                </c:pt>
                <c:pt idx="226">
                  <c:v>0.94166666666666676</c:v>
                </c:pt>
                <c:pt idx="227">
                  <c:v>0.9458333333333333</c:v>
                </c:pt>
                <c:pt idx="228">
                  <c:v>0.95000000000000007</c:v>
                </c:pt>
                <c:pt idx="229">
                  <c:v>0.95416666666666661</c:v>
                </c:pt>
                <c:pt idx="230">
                  <c:v>0.95833333333333337</c:v>
                </c:pt>
                <c:pt idx="231">
                  <c:v>0.96250000000000002</c:v>
                </c:pt>
                <c:pt idx="232">
                  <c:v>0.96666666666666667</c:v>
                </c:pt>
                <c:pt idx="233">
                  <c:v>0.97083333333333333</c:v>
                </c:pt>
                <c:pt idx="234">
                  <c:v>0.97499999999999998</c:v>
                </c:pt>
                <c:pt idx="235">
                  <c:v>0.97916666666666663</c:v>
                </c:pt>
                <c:pt idx="236">
                  <c:v>0.98333333333333339</c:v>
                </c:pt>
                <c:pt idx="237">
                  <c:v>0.98749999999999993</c:v>
                </c:pt>
                <c:pt idx="238">
                  <c:v>0.9916666666666667</c:v>
                </c:pt>
                <c:pt idx="239">
                  <c:v>0.99583333333333324</c:v>
                </c:pt>
                <c:pt idx="240">
                  <c:v>1</c:v>
                </c:pt>
              </c:numCache>
            </c:numRef>
          </c:xVal>
          <c:yVal>
            <c:numRef>
              <c:f>Precip_YHD5!$G$3:$G$243</c:f>
              <c:numCache>
                <c:formatCode>General</c:formatCode>
                <c:ptCount val="241"/>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c:v>
                </c:pt>
                <c:pt idx="76">
                  <c:v>0</c:v>
                </c:pt>
                <c:pt idx="77">
                  <c:v>0</c:v>
                </c:pt>
                <c:pt idx="78">
                  <c:v>0</c:v>
                </c:pt>
                <c:pt idx="79">
                  <c:v>0</c:v>
                </c:pt>
                <c:pt idx="80">
                  <c:v>0</c:v>
                </c:pt>
                <c:pt idx="81">
                  <c:v>0</c:v>
                </c:pt>
                <c:pt idx="82">
                  <c:v>0</c:v>
                </c:pt>
                <c:pt idx="83">
                  <c:v>0</c:v>
                </c:pt>
                <c:pt idx="84">
                  <c:v>0.01</c:v>
                </c:pt>
                <c:pt idx="85">
                  <c:v>0.01</c:v>
                </c:pt>
                <c:pt idx="86">
                  <c:v>0.01</c:v>
                </c:pt>
                <c:pt idx="87">
                  <c:v>0.01</c:v>
                </c:pt>
                <c:pt idx="88">
                  <c:v>0.01</c:v>
                </c:pt>
                <c:pt idx="89">
                  <c:v>0.01</c:v>
                </c:pt>
                <c:pt idx="90">
                  <c:v>0.01</c:v>
                </c:pt>
                <c:pt idx="91">
                  <c:v>0.01</c:v>
                </c:pt>
                <c:pt idx="92">
                  <c:v>0.01</c:v>
                </c:pt>
                <c:pt idx="93">
                  <c:v>0.01</c:v>
                </c:pt>
                <c:pt idx="94">
                  <c:v>0.01</c:v>
                </c:pt>
                <c:pt idx="95">
                  <c:v>0.01</c:v>
                </c:pt>
                <c:pt idx="96">
                  <c:v>0.01</c:v>
                </c:pt>
                <c:pt idx="97">
                  <c:v>0.01</c:v>
                </c:pt>
                <c:pt idx="98">
                  <c:v>0.01</c:v>
                </c:pt>
                <c:pt idx="99">
                  <c:v>0.01</c:v>
                </c:pt>
                <c:pt idx="100">
                  <c:v>0.02</c:v>
                </c:pt>
                <c:pt idx="101">
                  <c:v>0.02</c:v>
                </c:pt>
                <c:pt idx="102">
                  <c:v>0.02</c:v>
                </c:pt>
                <c:pt idx="103">
                  <c:v>0.02</c:v>
                </c:pt>
                <c:pt idx="104">
                  <c:v>0.02</c:v>
                </c:pt>
                <c:pt idx="105">
                  <c:v>0.02</c:v>
                </c:pt>
                <c:pt idx="106">
                  <c:v>0.02</c:v>
                </c:pt>
                <c:pt idx="107">
                  <c:v>0.02</c:v>
                </c:pt>
                <c:pt idx="108">
                  <c:v>0.03</c:v>
                </c:pt>
                <c:pt idx="109">
                  <c:v>0.03</c:v>
                </c:pt>
                <c:pt idx="110">
                  <c:v>0.03</c:v>
                </c:pt>
                <c:pt idx="111">
                  <c:v>0.06</c:v>
                </c:pt>
                <c:pt idx="112">
                  <c:v>0.06</c:v>
                </c:pt>
                <c:pt idx="113">
                  <c:v>7.0000000000000007E-2</c:v>
                </c:pt>
                <c:pt idx="114">
                  <c:v>7.0000000000000007E-2</c:v>
                </c:pt>
                <c:pt idx="115">
                  <c:v>0.08</c:v>
                </c:pt>
                <c:pt idx="116">
                  <c:v>0.13</c:v>
                </c:pt>
                <c:pt idx="117">
                  <c:v>0.14000000000000001</c:v>
                </c:pt>
                <c:pt idx="118">
                  <c:v>0.16</c:v>
                </c:pt>
                <c:pt idx="119">
                  <c:v>0.13</c:v>
                </c:pt>
                <c:pt idx="120">
                  <c:v>0.3</c:v>
                </c:pt>
                <c:pt idx="121">
                  <c:v>0.62</c:v>
                </c:pt>
                <c:pt idx="122">
                  <c:v>0.2</c:v>
                </c:pt>
                <c:pt idx="123">
                  <c:v>0.12</c:v>
                </c:pt>
                <c:pt idx="124">
                  <c:v>0.17</c:v>
                </c:pt>
                <c:pt idx="125">
                  <c:v>0.15</c:v>
                </c:pt>
                <c:pt idx="126">
                  <c:v>0.1</c:v>
                </c:pt>
                <c:pt idx="127">
                  <c:v>0.09</c:v>
                </c:pt>
                <c:pt idx="128">
                  <c:v>0.09</c:v>
                </c:pt>
                <c:pt idx="129">
                  <c:v>0.08</c:v>
                </c:pt>
                <c:pt idx="130">
                  <c:v>7.0000000000000007E-2</c:v>
                </c:pt>
                <c:pt idx="131">
                  <c:v>0.04</c:v>
                </c:pt>
                <c:pt idx="132">
                  <c:v>0.04</c:v>
                </c:pt>
                <c:pt idx="133">
                  <c:v>0.04</c:v>
                </c:pt>
                <c:pt idx="134">
                  <c:v>0.04</c:v>
                </c:pt>
                <c:pt idx="135">
                  <c:v>0.03</c:v>
                </c:pt>
                <c:pt idx="136">
                  <c:v>0.03</c:v>
                </c:pt>
                <c:pt idx="137">
                  <c:v>0.03</c:v>
                </c:pt>
                <c:pt idx="138">
                  <c:v>0.03</c:v>
                </c:pt>
                <c:pt idx="139">
                  <c:v>0.03</c:v>
                </c:pt>
                <c:pt idx="140">
                  <c:v>0.03</c:v>
                </c:pt>
                <c:pt idx="141">
                  <c:v>0.03</c:v>
                </c:pt>
                <c:pt idx="142">
                  <c:v>0.03</c:v>
                </c:pt>
                <c:pt idx="143">
                  <c:v>0.02</c:v>
                </c:pt>
                <c:pt idx="144">
                  <c:v>0.02</c:v>
                </c:pt>
                <c:pt idx="145">
                  <c:v>0.02</c:v>
                </c:pt>
                <c:pt idx="146">
                  <c:v>0.02</c:v>
                </c:pt>
                <c:pt idx="147">
                  <c:v>0.02</c:v>
                </c:pt>
                <c:pt idx="148">
                  <c:v>0.02</c:v>
                </c:pt>
                <c:pt idx="149">
                  <c:v>0.02</c:v>
                </c:pt>
                <c:pt idx="150">
                  <c:v>0.02</c:v>
                </c:pt>
                <c:pt idx="151">
                  <c:v>0.02</c:v>
                </c:pt>
                <c:pt idx="152">
                  <c:v>0.02</c:v>
                </c:pt>
                <c:pt idx="153">
                  <c:v>0.01</c:v>
                </c:pt>
                <c:pt idx="154">
                  <c:v>0.01</c:v>
                </c:pt>
                <c:pt idx="155">
                  <c:v>0.01</c:v>
                </c:pt>
                <c:pt idx="156">
                  <c:v>0.01</c:v>
                </c:pt>
                <c:pt idx="157">
                  <c:v>0.01</c:v>
                </c:pt>
                <c:pt idx="158">
                  <c:v>0.01</c:v>
                </c:pt>
                <c:pt idx="159">
                  <c:v>0.01</c:v>
                </c:pt>
                <c:pt idx="160">
                  <c:v>0.01</c:v>
                </c:pt>
                <c:pt idx="161">
                  <c:v>0.01</c:v>
                </c:pt>
                <c:pt idx="162">
                  <c:v>0.01</c:v>
                </c:pt>
                <c:pt idx="163">
                  <c:v>0.01</c:v>
                </c:pt>
                <c:pt idx="164">
                  <c:v>0.01</c:v>
                </c:pt>
                <c:pt idx="165">
                  <c:v>0.01</c:v>
                </c:pt>
                <c:pt idx="166">
                  <c:v>0.01</c:v>
                </c:pt>
                <c:pt idx="167">
                  <c:v>0.01</c:v>
                </c:pt>
                <c:pt idx="168">
                  <c:v>0.01</c:v>
                </c:pt>
                <c:pt idx="169">
                  <c:v>0.01</c:v>
                </c:pt>
                <c:pt idx="170">
                  <c:v>0.01</c:v>
                </c:pt>
                <c:pt idx="171">
                  <c:v>0.01</c:v>
                </c:pt>
                <c:pt idx="172">
                  <c:v>0.01</c:v>
                </c:pt>
                <c:pt idx="173">
                  <c:v>0.01</c:v>
                </c:pt>
                <c:pt idx="174">
                  <c:v>0.01</c:v>
                </c:pt>
                <c:pt idx="175">
                  <c:v>0.01</c:v>
                </c:pt>
                <c:pt idx="176">
                  <c:v>0.01</c:v>
                </c:pt>
                <c:pt idx="177">
                  <c:v>0.01</c:v>
                </c:pt>
                <c:pt idx="178">
                  <c:v>0.01</c:v>
                </c:pt>
                <c:pt idx="179">
                  <c:v>0.01</c:v>
                </c:pt>
                <c:pt idx="180">
                  <c:v>0.01</c:v>
                </c:pt>
                <c:pt idx="181">
                  <c:v>0.01</c:v>
                </c:pt>
                <c:pt idx="182">
                  <c:v>0.01</c:v>
                </c:pt>
                <c:pt idx="183">
                  <c:v>0.01</c:v>
                </c:pt>
                <c:pt idx="184">
                  <c:v>0.01</c:v>
                </c:pt>
                <c:pt idx="185">
                  <c:v>0.01</c:v>
                </c:pt>
                <c:pt idx="186">
                  <c:v>0.01</c:v>
                </c:pt>
                <c:pt idx="187">
                  <c:v>0.01</c:v>
                </c:pt>
                <c:pt idx="188">
                  <c:v>0.01</c:v>
                </c:pt>
                <c:pt idx="189">
                  <c:v>0.01</c:v>
                </c:pt>
                <c:pt idx="190">
                  <c:v>0</c:v>
                </c:pt>
                <c:pt idx="191">
                  <c:v>0</c:v>
                </c:pt>
                <c:pt idx="192">
                  <c:v>0</c:v>
                </c:pt>
                <c:pt idx="193">
                  <c:v>0</c:v>
                </c:pt>
                <c:pt idx="194">
                  <c:v>0</c:v>
                </c:pt>
                <c:pt idx="195">
                  <c:v>0</c:v>
                </c:pt>
                <c:pt idx="196">
                  <c:v>0</c:v>
                </c:pt>
                <c:pt idx="197">
                  <c:v>0</c:v>
                </c:pt>
                <c:pt idx="198">
                  <c:v>0</c:v>
                </c:pt>
                <c:pt idx="199">
                  <c:v>0</c:v>
                </c:pt>
                <c:pt idx="200">
                  <c:v>0</c:v>
                </c:pt>
                <c:pt idx="201">
                  <c:v>0</c:v>
                </c:pt>
                <c:pt idx="202">
                  <c:v>0</c:v>
                </c:pt>
                <c:pt idx="203">
                  <c:v>0</c:v>
                </c:pt>
                <c:pt idx="204">
                  <c:v>0</c:v>
                </c:pt>
                <c:pt idx="205">
                  <c:v>0</c:v>
                </c:pt>
                <c:pt idx="206">
                  <c:v>0</c:v>
                </c:pt>
                <c:pt idx="207">
                  <c:v>0</c:v>
                </c:pt>
                <c:pt idx="208">
                  <c:v>0</c:v>
                </c:pt>
                <c:pt idx="209">
                  <c:v>0</c:v>
                </c:pt>
                <c:pt idx="210">
                  <c:v>0</c:v>
                </c:pt>
                <c:pt idx="211">
                  <c:v>0</c:v>
                </c:pt>
                <c:pt idx="212">
                  <c:v>0</c:v>
                </c:pt>
                <c:pt idx="213">
                  <c:v>0</c:v>
                </c:pt>
                <c:pt idx="214">
                  <c:v>0</c:v>
                </c:pt>
                <c:pt idx="215">
                  <c:v>0</c:v>
                </c:pt>
                <c:pt idx="216">
                  <c:v>0</c:v>
                </c:pt>
                <c:pt idx="217">
                  <c:v>0</c:v>
                </c:pt>
                <c:pt idx="218">
                  <c:v>0</c:v>
                </c:pt>
                <c:pt idx="219">
                  <c:v>0</c:v>
                </c:pt>
                <c:pt idx="220">
                  <c:v>0</c:v>
                </c:pt>
                <c:pt idx="221">
                  <c:v>0</c:v>
                </c:pt>
                <c:pt idx="222">
                  <c:v>0</c:v>
                </c:pt>
                <c:pt idx="223">
                  <c:v>0</c:v>
                </c:pt>
                <c:pt idx="224">
                  <c:v>0</c:v>
                </c:pt>
                <c:pt idx="225">
                  <c:v>0</c:v>
                </c:pt>
                <c:pt idx="226">
                  <c:v>0</c:v>
                </c:pt>
                <c:pt idx="227">
                  <c:v>0</c:v>
                </c:pt>
                <c:pt idx="228">
                  <c:v>0</c:v>
                </c:pt>
                <c:pt idx="229">
                  <c:v>0</c:v>
                </c:pt>
                <c:pt idx="230">
                  <c:v>0</c:v>
                </c:pt>
                <c:pt idx="231">
                  <c:v>0</c:v>
                </c:pt>
                <c:pt idx="232">
                  <c:v>0</c:v>
                </c:pt>
                <c:pt idx="233">
                  <c:v>0</c:v>
                </c:pt>
                <c:pt idx="234">
                  <c:v>0</c:v>
                </c:pt>
                <c:pt idx="235">
                  <c:v>0</c:v>
                </c:pt>
                <c:pt idx="236">
                  <c:v>0</c:v>
                </c:pt>
                <c:pt idx="237">
                  <c:v>0</c:v>
                </c:pt>
                <c:pt idx="238">
                  <c:v>0</c:v>
                </c:pt>
                <c:pt idx="239">
                  <c:v>0</c:v>
                </c:pt>
                <c:pt idx="240">
                  <c:v>0</c:v>
                </c:pt>
              </c:numCache>
            </c:numRef>
          </c:yVal>
          <c:smooth val="1"/>
          <c:extLst xmlns:c16r2="http://schemas.microsoft.com/office/drawing/2015/06/chart">
            <c:ext xmlns:c16="http://schemas.microsoft.com/office/drawing/2014/chart" uri="{C3380CC4-5D6E-409C-BE32-E72D297353CC}">
              <c16:uniqueId val="{00000000-A397-4565-8D55-63F05AA4FE1C}"/>
            </c:ext>
          </c:extLst>
        </c:ser>
        <c:ser>
          <c:idx val="4"/>
          <c:order val="1"/>
          <c:tx>
            <c:v>0.2 Percent Annual Chance</c:v>
          </c:tx>
          <c:spPr>
            <a:ln>
              <a:solidFill>
                <a:schemeClr val="accent2"/>
              </a:solidFill>
            </a:ln>
          </c:spPr>
          <c:marker>
            <c:symbol val="none"/>
          </c:marker>
          <c:xVal>
            <c:numRef>
              <c:f>Precip_YHD5!$A$3:$A$243</c:f>
              <c:numCache>
                <c:formatCode>h:mm;@</c:formatCode>
                <c:ptCount val="241"/>
                <c:pt idx="0">
                  <c:v>0</c:v>
                </c:pt>
                <c:pt idx="1">
                  <c:v>4.1666666666666666E-3</c:v>
                </c:pt>
                <c:pt idx="2">
                  <c:v>8.3333333333333332E-3</c:v>
                </c:pt>
                <c:pt idx="3">
                  <c:v>1.2499999999999999E-2</c:v>
                </c:pt>
                <c:pt idx="4">
                  <c:v>1.6666666666666666E-2</c:v>
                </c:pt>
                <c:pt idx="5">
                  <c:v>2.0833333333333332E-2</c:v>
                </c:pt>
                <c:pt idx="6">
                  <c:v>2.4999999999999998E-2</c:v>
                </c:pt>
                <c:pt idx="7">
                  <c:v>2.9166666666666664E-2</c:v>
                </c:pt>
                <c:pt idx="8">
                  <c:v>3.3333333333333333E-2</c:v>
                </c:pt>
                <c:pt idx="9">
                  <c:v>3.7499999999999999E-2</c:v>
                </c:pt>
                <c:pt idx="10">
                  <c:v>4.1666666666666664E-2</c:v>
                </c:pt>
                <c:pt idx="11">
                  <c:v>4.5833333333333337E-2</c:v>
                </c:pt>
                <c:pt idx="12">
                  <c:v>4.9999999999999996E-2</c:v>
                </c:pt>
                <c:pt idx="13">
                  <c:v>5.4166666666666669E-2</c:v>
                </c:pt>
                <c:pt idx="14">
                  <c:v>5.8333333333333327E-2</c:v>
                </c:pt>
                <c:pt idx="15">
                  <c:v>6.25E-2</c:v>
                </c:pt>
                <c:pt idx="16">
                  <c:v>6.6666666666666666E-2</c:v>
                </c:pt>
                <c:pt idx="17">
                  <c:v>7.0833333333333331E-2</c:v>
                </c:pt>
                <c:pt idx="18">
                  <c:v>7.4999999999999997E-2</c:v>
                </c:pt>
                <c:pt idx="19">
                  <c:v>7.9166666666666663E-2</c:v>
                </c:pt>
                <c:pt idx="20">
                  <c:v>8.3333333333333329E-2</c:v>
                </c:pt>
                <c:pt idx="21">
                  <c:v>8.7500000000000008E-2</c:v>
                </c:pt>
                <c:pt idx="22">
                  <c:v>9.1666666666666674E-2</c:v>
                </c:pt>
                <c:pt idx="23">
                  <c:v>9.5833333333333326E-2</c:v>
                </c:pt>
                <c:pt idx="24">
                  <c:v>9.9999999999999992E-2</c:v>
                </c:pt>
                <c:pt idx="25">
                  <c:v>0.10416666666666667</c:v>
                </c:pt>
                <c:pt idx="26">
                  <c:v>0.10833333333333334</c:v>
                </c:pt>
                <c:pt idx="27">
                  <c:v>0.1125</c:v>
                </c:pt>
                <c:pt idx="28">
                  <c:v>0.11666666666666665</c:v>
                </c:pt>
                <c:pt idx="29">
                  <c:v>0.12083333333333333</c:v>
                </c:pt>
                <c:pt idx="30">
                  <c:v>0.125</c:v>
                </c:pt>
                <c:pt idx="31">
                  <c:v>0.12916666666666668</c:v>
                </c:pt>
                <c:pt idx="32">
                  <c:v>0.13333333333333333</c:v>
                </c:pt>
                <c:pt idx="33">
                  <c:v>0.13749999999999998</c:v>
                </c:pt>
                <c:pt idx="34">
                  <c:v>0.14166666666666666</c:v>
                </c:pt>
                <c:pt idx="35">
                  <c:v>0.14583333333333334</c:v>
                </c:pt>
                <c:pt idx="36">
                  <c:v>0.15</c:v>
                </c:pt>
                <c:pt idx="37">
                  <c:v>0.15416666666666667</c:v>
                </c:pt>
                <c:pt idx="38">
                  <c:v>0.15833333333333333</c:v>
                </c:pt>
                <c:pt idx="39">
                  <c:v>0.16250000000000001</c:v>
                </c:pt>
                <c:pt idx="40">
                  <c:v>0.16666666666666666</c:v>
                </c:pt>
                <c:pt idx="41">
                  <c:v>0.17083333333333331</c:v>
                </c:pt>
                <c:pt idx="42">
                  <c:v>0.17500000000000002</c:v>
                </c:pt>
                <c:pt idx="43">
                  <c:v>0.17916666666666667</c:v>
                </c:pt>
                <c:pt idx="44">
                  <c:v>0.18333333333333335</c:v>
                </c:pt>
                <c:pt idx="45">
                  <c:v>0.1875</c:v>
                </c:pt>
                <c:pt idx="46">
                  <c:v>0.19166666666666665</c:v>
                </c:pt>
                <c:pt idx="47">
                  <c:v>0.19583333333333333</c:v>
                </c:pt>
                <c:pt idx="48">
                  <c:v>0.19999999999999998</c:v>
                </c:pt>
                <c:pt idx="49">
                  <c:v>0.20416666666666669</c:v>
                </c:pt>
                <c:pt idx="50">
                  <c:v>0.20833333333333334</c:v>
                </c:pt>
                <c:pt idx="51">
                  <c:v>0.21249999999999999</c:v>
                </c:pt>
                <c:pt idx="52">
                  <c:v>0.21666666666666667</c:v>
                </c:pt>
                <c:pt idx="53">
                  <c:v>0.22083333333333333</c:v>
                </c:pt>
                <c:pt idx="54">
                  <c:v>0.22500000000000001</c:v>
                </c:pt>
                <c:pt idx="55">
                  <c:v>0.22916666666666666</c:v>
                </c:pt>
                <c:pt idx="56">
                  <c:v>0.23333333333333331</c:v>
                </c:pt>
                <c:pt idx="57">
                  <c:v>0.23750000000000002</c:v>
                </c:pt>
                <c:pt idx="58">
                  <c:v>0.24166666666666667</c:v>
                </c:pt>
                <c:pt idx="59">
                  <c:v>0.24583333333333335</c:v>
                </c:pt>
                <c:pt idx="60">
                  <c:v>0.25</c:v>
                </c:pt>
                <c:pt idx="61">
                  <c:v>0.25416666666666665</c:v>
                </c:pt>
                <c:pt idx="62">
                  <c:v>0.25833333333333336</c:v>
                </c:pt>
                <c:pt idx="63">
                  <c:v>0.26250000000000001</c:v>
                </c:pt>
                <c:pt idx="64">
                  <c:v>0.26666666666666666</c:v>
                </c:pt>
                <c:pt idx="65">
                  <c:v>0.27083333333333331</c:v>
                </c:pt>
                <c:pt idx="66">
                  <c:v>0.27499999999999997</c:v>
                </c:pt>
                <c:pt idx="67">
                  <c:v>0.27916666666666667</c:v>
                </c:pt>
                <c:pt idx="68">
                  <c:v>0.28333333333333333</c:v>
                </c:pt>
                <c:pt idx="69">
                  <c:v>0.28750000000000003</c:v>
                </c:pt>
                <c:pt idx="70">
                  <c:v>0.29166666666666669</c:v>
                </c:pt>
                <c:pt idx="71">
                  <c:v>0.29583333333333334</c:v>
                </c:pt>
                <c:pt idx="72">
                  <c:v>0.3</c:v>
                </c:pt>
                <c:pt idx="73">
                  <c:v>0.30416666666666664</c:v>
                </c:pt>
                <c:pt idx="74">
                  <c:v>0.30833333333333335</c:v>
                </c:pt>
                <c:pt idx="75">
                  <c:v>0.3125</c:v>
                </c:pt>
                <c:pt idx="76">
                  <c:v>0.31666666666666665</c:v>
                </c:pt>
                <c:pt idx="77">
                  <c:v>0.32083333333333336</c:v>
                </c:pt>
                <c:pt idx="78">
                  <c:v>0.32500000000000001</c:v>
                </c:pt>
                <c:pt idx="79">
                  <c:v>0.32916666666666666</c:v>
                </c:pt>
                <c:pt idx="80">
                  <c:v>0.33333333333333331</c:v>
                </c:pt>
                <c:pt idx="81">
                  <c:v>0.33749999999999997</c:v>
                </c:pt>
                <c:pt idx="82">
                  <c:v>0.34166666666666662</c:v>
                </c:pt>
                <c:pt idx="83">
                  <c:v>0.34583333333333338</c:v>
                </c:pt>
                <c:pt idx="84">
                  <c:v>0.35000000000000003</c:v>
                </c:pt>
                <c:pt idx="85">
                  <c:v>0.35416666666666669</c:v>
                </c:pt>
                <c:pt idx="86">
                  <c:v>0.35833333333333334</c:v>
                </c:pt>
                <c:pt idx="87">
                  <c:v>0.36249999999999999</c:v>
                </c:pt>
                <c:pt idx="88">
                  <c:v>0.3666666666666667</c:v>
                </c:pt>
                <c:pt idx="89">
                  <c:v>0.37083333333333335</c:v>
                </c:pt>
                <c:pt idx="90">
                  <c:v>0.375</c:v>
                </c:pt>
                <c:pt idx="91">
                  <c:v>0.37916666666666665</c:v>
                </c:pt>
                <c:pt idx="92">
                  <c:v>0.3833333333333333</c:v>
                </c:pt>
                <c:pt idx="93">
                  <c:v>0.38750000000000001</c:v>
                </c:pt>
                <c:pt idx="94">
                  <c:v>0.39166666666666666</c:v>
                </c:pt>
                <c:pt idx="95">
                  <c:v>0.39583333333333331</c:v>
                </c:pt>
                <c:pt idx="96">
                  <c:v>0.39999999999999997</c:v>
                </c:pt>
                <c:pt idx="97">
                  <c:v>0.40416666666666662</c:v>
                </c:pt>
                <c:pt idx="98">
                  <c:v>0.40833333333333338</c:v>
                </c:pt>
                <c:pt idx="99">
                  <c:v>0.41250000000000003</c:v>
                </c:pt>
                <c:pt idx="100">
                  <c:v>0.41666666666666669</c:v>
                </c:pt>
                <c:pt idx="101">
                  <c:v>0.42083333333333334</c:v>
                </c:pt>
                <c:pt idx="102">
                  <c:v>0.42499999999999999</c:v>
                </c:pt>
                <c:pt idx="103">
                  <c:v>0.4291666666666667</c:v>
                </c:pt>
                <c:pt idx="104">
                  <c:v>0.43333333333333335</c:v>
                </c:pt>
                <c:pt idx="105">
                  <c:v>0.4375</c:v>
                </c:pt>
                <c:pt idx="106">
                  <c:v>0.44166666666666665</c:v>
                </c:pt>
                <c:pt idx="107">
                  <c:v>0.4458333333333333</c:v>
                </c:pt>
                <c:pt idx="108">
                  <c:v>0.45</c:v>
                </c:pt>
                <c:pt idx="109">
                  <c:v>0.45416666666666666</c:v>
                </c:pt>
                <c:pt idx="110">
                  <c:v>0.45833333333333331</c:v>
                </c:pt>
                <c:pt idx="111">
                  <c:v>0.46249999999999997</c:v>
                </c:pt>
                <c:pt idx="112">
                  <c:v>0.46666666666666662</c:v>
                </c:pt>
                <c:pt idx="113">
                  <c:v>0.47083333333333338</c:v>
                </c:pt>
                <c:pt idx="114">
                  <c:v>0.47500000000000003</c:v>
                </c:pt>
                <c:pt idx="115">
                  <c:v>0.47916666666666669</c:v>
                </c:pt>
                <c:pt idx="116">
                  <c:v>0.48333333333333334</c:v>
                </c:pt>
                <c:pt idx="117">
                  <c:v>0.48749999999999999</c:v>
                </c:pt>
                <c:pt idx="118">
                  <c:v>0.4916666666666667</c:v>
                </c:pt>
                <c:pt idx="119">
                  <c:v>0.49583333333333335</c:v>
                </c:pt>
                <c:pt idx="120">
                  <c:v>0.5</c:v>
                </c:pt>
                <c:pt idx="121">
                  <c:v>0.50416666666666665</c:v>
                </c:pt>
                <c:pt idx="122">
                  <c:v>0.5083333333333333</c:v>
                </c:pt>
                <c:pt idx="123">
                  <c:v>0.51250000000000007</c:v>
                </c:pt>
                <c:pt idx="124">
                  <c:v>0.51666666666666672</c:v>
                </c:pt>
                <c:pt idx="125">
                  <c:v>0.52083333333333337</c:v>
                </c:pt>
                <c:pt idx="126">
                  <c:v>0.52500000000000002</c:v>
                </c:pt>
                <c:pt idx="127">
                  <c:v>0.52916666666666667</c:v>
                </c:pt>
                <c:pt idx="128">
                  <c:v>0.53333333333333333</c:v>
                </c:pt>
                <c:pt idx="129">
                  <c:v>0.53749999999999998</c:v>
                </c:pt>
                <c:pt idx="130">
                  <c:v>0.54166666666666663</c:v>
                </c:pt>
                <c:pt idx="131">
                  <c:v>0.54583333333333328</c:v>
                </c:pt>
                <c:pt idx="132">
                  <c:v>0.54999999999999993</c:v>
                </c:pt>
                <c:pt idx="133">
                  <c:v>0.5541666666666667</c:v>
                </c:pt>
                <c:pt idx="134">
                  <c:v>0.55833333333333335</c:v>
                </c:pt>
                <c:pt idx="135">
                  <c:v>0.5625</c:v>
                </c:pt>
                <c:pt idx="136">
                  <c:v>0.56666666666666665</c:v>
                </c:pt>
                <c:pt idx="137">
                  <c:v>0.5708333333333333</c:v>
                </c:pt>
                <c:pt idx="138">
                  <c:v>0.57500000000000007</c:v>
                </c:pt>
                <c:pt idx="139">
                  <c:v>0.57916666666666672</c:v>
                </c:pt>
                <c:pt idx="140">
                  <c:v>0.58333333333333337</c:v>
                </c:pt>
                <c:pt idx="141">
                  <c:v>0.58750000000000002</c:v>
                </c:pt>
                <c:pt idx="142">
                  <c:v>0.59166666666666667</c:v>
                </c:pt>
                <c:pt idx="143">
                  <c:v>0.59583333333333333</c:v>
                </c:pt>
                <c:pt idx="144">
                  <c:v>0.6</c:v>
                </c:pt>
                <c:pt idx="145">
                  <c:v>0.60416666666666663</c:v>
                </c:pt>
                <c:pt idx="146">
                  <c:v>0.60833333333333328</c:v>
                </c:pt>
                <c:pt idx="147">
                  <c:v>0.61249999999999993</c:v>
                </c:pt>
                <c:pt idx="148">
                  <c:v>0.6166666666666667</c:v>
                </c:pt>
                <c:pt idx="149">
                  <c:v>0.62083333333333335</c:v>
                </c:pt>
                <c:pt idx="150">
                  <c:v>0.625</c:v>
                </c:pt>
                <c:pt idx="151">
                  <c:v>0.62916666666666665</c:v>
                </c:pt>
                <c:pt idx="152">
                  <c:v>0.6333333333333333</c:v>
                </c:pt>
                <c:pt idx="153">
                  <c:v>0.63750000000000007</c:v>
                </c:pt>
                <c:pt idx="154">
                  <c:v>0.64166666666666672</c:v>
                </c:pt>
                <c:pt idx="155">
                  <c:v>0.64583333333333337</c:v>
                </c:pt>
                <c:pt idx="156">
                  <c:v>0.65</c:v>
                </c:pt>
                <c:pt idx="157">
                  <c:v>0.65416666666666667</c:v>
                </c:pt>
                <c:pt idx="158">
                  <c:v>0.65833333333333333</c:v>
                </c:pt>
                <c:pt idx="159">
                  <c:v>0.66249999999999998</c:v>
                </c:pt>
                <c:pt idx="160">
                  <c:v>0.66666666666666663</c:v>
                </c:pt>
                <c:pt idx="161">
                  <c:v>0.67083333333333339</c:v>
                </c:pt>
                <c:pt idx="162">
                  <c:v>0.67499999999999993</c:v>
                </c:pt>
                <c:pt idx="163">
                  <c:v>0.6791666666666667</c:v>
                </c:pt>
                <c:pt idx="164">
                  <c:v>0.68333333333333324</c:v>
                </c:pt>
                <c:pt idx="165">
                  <c:v>0.6875</c:v>
                </c:pt>
                <c:pt idx="166">
                  <c:v>0.69166666666666676</c:v>
                </c:pt>
                <c:pt idx="167">
                  <c:v>0.6958333333333333</c:v>
                </c:pt>
                <c:pt idx="168">
                  <c:v>0.70000000000000007</c:v>
                </c:pt>
                <c:pt idx="169">
                  <c:v>0.70416666666666661</c:v>
                </c:pt>
                <c:pt idx="170">
                  <c:v>0.70833333333333337</c:v>
                </c:pt>
                <c:pt idx="171">
                  <c:v>0.71250000000000002</c:v>
                </c:pt>
                <c:pt idx="172">
                  <c:v>0.71666666666666667</c:v>
                </c:pt>
                <c:pt idx="173">
                  <c:v>0.72083333333333333</c:v>
                </c:pt>
                <c:pt idx="174">
                  <c:v>0.72499999999999998</c:v>
                </c:pt>
                <c:pt idx="175">
                  <c:v>0.72916666666666663</c:v>
                </c:pt>
                <c:pt idx="176">
                  <c:v>0.73333333333333339</c:v>
                </c:pt>
                <c:pt idx="177">
                  <c:v>0.73749999999999993</c:v>
                </c:pt>
                <c:pt idx="178">
                  <c:v>0.7416666666666667</c:v>
                </c:pt>
                <c:pt idx="179">
                  <c:v>0.74583333333333324</c:v>
                </c:pt>
                <c:pt idx="180">
                  <c:v>0.75</c:v>
                </c:pt>
                <c:pt idx="181">
                  <c:v>0.75416666666666676</c:v>
                </c:pt>
                <c:pt idx="182">
                  <c:v>0.7583333333333333</c:v>
                </c:pt>
                <c:pt idx="183">
                  <c:v>0.76250000000000007</c:v>
                </c:pt>
                <c:pt idx="184">
                  <c:v>0.76666666666666661</c:v>
                </c:pt>
                <c:pt idx="185">
                  <c:v>0.77083333333333337</c:v>
                </c:pt>
                <c:pt idx="186">
                  <c:v>0.77500000000000002</c:v>
                </c:pt>
                <c:pt idx="187">
                  <c:v>0.77916666666666667</c:v>
                </c:pt>
                <c:pt idx="188">
                  <c:v>0.78333333333333333</c:v>
                </c:pt>
                <c:pt idx="189">
                  <c:v>0.78749999999999998</c:v>
                </c:pt>
                <c:pt idx="190">
                  <c:v>0.79166666666666663</c:v>
                </c:pt>
                <c:pt idx="191">
                  <c:v>0.79583333333333339</c:v>
                </c:pt>
                <c:pt idx="192">
                  <c:v>0.79999999999999993</c:v>
                </c:pt>
                <c:pt idx="193">
                  <c:v>0.8041666666666667</c:v>
                </c:pt>
                <c:pt idx="194">
                  <c:v>0.80833333333333324</c:v>
                </c:pt>
                <c:pt idx="195">
                  <c:v>0.8125</c:v>
                </c:pt>
                <c:pt idx="196">
                  <c:v>0.81666666666666676</c:v>
                </c:pt>
                <c:pt idx="197">
                  <c:v>0.8208333333333333</c:v>
                </c:pt>
                <c:pt idx="198">
                  <c:v>0.82500000000000007</c:v>
                </c:pt>
                <c:pt idx="199">
                  <c:v>0.82916666666666661</c:v>
                </c:pt>
                <c:pt idx="200">
                  <c:v>0.83333333333333337</c:v>
                </c:pt>
                <c:pt idx="201">
                  <c:v>0.83750000000000002</c:v>
                </c:pt>
                <c:pt idx="202">
                  <c:v>0.84166666666666667</c:v>
                </c:pt>
                <c:pt idx="203">
                  <c:v>0.84583333333333333</c:v>
                </c:pt>
                <c:pt idx="204">
                  <c:v>0.85</c:v>
                </c:pt>
                <c:pt idx="205">
                  <c:v>0.85416666666666663</c:v>
                </c:pt>
                <c:pt idx="206">
                  <c:v>0.85833333333333339</c:v>
                </c:pt>
                <c:pt idx="207">
                  <c:v>0.86249999999999993</c:v>
                </c:pt>
                <c:pt idx="208">
                  <c:v>0.8666666666666667</c:v>
                </c:pt>
                <c:pt idx="209">
                  <c:v>0.87083333333333324</c:v>
                </c:pt>
                <c:pt idx="210">
                  <c:v>0.875</c:v>
                </c:pt>
                <c:pt idx="211">
                  <c:v>0.87916666666666676</c:v>
                </c:pt>
                <c:pt idx="212">
                  <c:v>0.8833333333333333</c:v>
                </c:pt>
                <c:pt idx="213">
                  <c:v>0.88750000000000007</c:v>
                </c:pt>
                <c:pt idx="214">
                  <c:v>0.89166666666666661</c:v>
                </c:pt>
                <c:pt idx="215">
                  <c:v>0.89583333333333337</c:v>
                </c:pt>
                <c:pt idx="216">
                  <c:v>0.9</c:v>
                </c:pt>
                <c:pt idx="217">
                  <c:v>0.90416666666666667</c:v>
                </c:pt>
                <c:pt idx="218">
                  <c:v>0.90833333333333333</c:v>
                </c:pt>
                <c:pt idx="219">
                  <c:v>0.91249999999999998</c:v>
                </c:pt>
                <c:pt idx="220">
                  <c:v>0.91666666666666663</c:v>
                </c:pt>
                <c:pt idx="221">
                  <c:v>0.92083333333333339</c:v>
                </c:pt>
                <c:pt idx="222">
                  <c:v>0.92499999999999993</c:v>
                </c:pt>
                <c:pt idx="223">
                  <c:v>0.9291666666666667</c:v>
                </c:pt>
                <c:pt idx="224">
                  <c:v>0.93333333333333324</c:v>
                </c:pt>
                <c:pt idx="225">
                  <c:v>0.9375</c:v>
                </c:pt>
                <c:pt idx="226">
                  <c:v>0.94166666666666676</c:v>
                </c:pt>
                <c:pt idx="227">
                  <c:v>0.9458333333333333</c:v>
                </c:pt>
                <c:pt idx="228">
                  <c:v>0.95000000000000007</c:v>
                </c:pt>
                <c:pt idx="229">
                  <c:v>0.95416666666666661</c:v>
                </c:pt>
                <c:pt idx="230">
                  <c:v>0.95833333333333337</c:v>
                </c:pt>
                <c:pt idx="231">
                  <c:v>0.96250000000000002</c:v>
                </c:pt>
                <c:pt idx="232">
                  <c:v>0.96666666666666667</c:v>
                </c:pt>
                <c:pt idx="233">
                  <c:v>0.97083333333333333</c:v>
                </c:pt>
                <c:pt idx="234">
                  <c:v>0.97499999999999998</c:v>
                </c:pt>
                <c:pt idx="235">
                  <c:v>0.97916666666666663</c:v>
                </c:pt>
                <c:pt idx="236">
                  <c:v>0.98333333333333339</c:v>
                </c:pt>
                <c:pt idx="237">
                  <c:v>0.98749999999999993</c:v>
                </c:pt>
                <c:pt idx="238">
                  <c:v>0.9916666666666667</c:v>
                </c:pt>
                <c:pt idx="239">
                  <c:v>0.99583333333333324</c:v>
                </c:pt>
                <c:pt idx="240">
                  <c:v>1</c:v>
                </c:pt>
              </c:numCache>
            </c:numRef>
          </c:xVal>
          <c:yVal>
            <c:numRef>
              <c:f>Precip_YHD5!$F$3:$F$243</c:f>
              <c:numCache>
                <c:formatCode>General</c:formatCode>
                <c:ptCount val="241"/>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c:v>
                </c:pt>
                <c:pt idx="76">
                  <c:v>0</c:v>
                </c:pt>
                <c:pt idx="77">
                  <c:v>0</c:v>
                </c:pt>
                <c:pt idx="78">
                  <c:v>0</c:v>
                </c:pt>
                <c:pt idx="79">
                  <c:v>0</c:v>
                </c:pt>
                <c:pt idx="80">
                  <c:v>0.01</c:v>
                </c:pt>
                <c:pt idx="81">
                  <c:v>0.01</c:v>
                </c:pt>
                <c:pt idx="82">
                  <c:v>0.01</c:v>
                </c:pt>
                <c:pt idx="83">
                  <c:v>0.01</c:v>
                </c:pt>
                <c:pt idx="84">
                  <c:v>0.01</c:v>
                </c:pt>
                <c:pt idx="85">
                  <c:v>0.01</c:v>
                </c:pt>
                <c:pt idx="86">
                  <c:v>0.01</c:v>
                </c:pt>
                <c:pt idx="87">
                  <c:v>0.01</c:v>
                </c:pt>
                <c:pt idx="88">
                  <c:v>0.01</c:v>
                </c:pt>
                <c:pt idx="89">
                  <c:v>0.01</c:v>
                </c:pt>
                <c:pt idx="90">
                  <c:v>0.01</c:v>
                </c:pt>
                <c:pt idx="91">
                  <c:v>0.01</c:v>
                </c:pt>
                <c:pt idx="92">
                  <c:v>0.01</c:v>
                </c:pt>
                <c:pt idx="93">
                  <c:v>0.01</c:v>
                </c:pt>
                <c:pt idx="94">
                  <c:v>0.01</c:v>
                </c:pt>
                <c:pt idx="95">
                  <c:v>0.01</c:v>
                </c:pt>
                <c:pt idx="96">
                  <c:v>0.01</c:v>
                </c:pt>
                <c:pt idx="97">
                  <c:v>0.01</c:v>
                </c:pt>
                <c:pt idx="98">
                  <c:v>0.01</c:v>
                </c:pt>
                <c:pt idx="99">
                  <c:v>0.02</c:v>
                </c:pt>
                <c:pt idx="100">
                  <c:v>0.02</c:v>
                </c:pt>
                <c:pt idx="101">
                  <c:v>0.02</c:v>
                </c:pt>
                <c:pt idx="102">
                  <c:v>0.02</c:v>
                </c:pt>
                <c:pt idx="103">
                  <c:v>0.02</c:v>
                </c:pt>
                <c:pt idx="104">
                  <c:v>0.02</c:v>
                </c:pt>
                <c:pt idx="105">
                  <c:v>0.02</c:v>
                </c:pt>
                <c:pt idx="106">
                  <c:v>0.03</c:v>
                </c:pt>
                <c:pt idx="107">
                  <c:v>0.03</c:v>
                </c:pt>
                <c:pt idx="108">
                  <c:v>0.03</c:v>
                </c:pt>
                <c:pt idx="109">
                  <c:v>0.04</c:v>
                </c:pt>
                <c:pt idx="110">
                  <c:v>0.04</c:v>
                </c:pt>
                <c:pt idx="111">
                  <c:v>0.06</c:v>
                </c:pt>
                <c:pt idx="112">
                  <c:v>0.06</c:v>
                </c:pt>
                <c:pt idx="113">
                  <c:v>7.0000000000000007E-2</c:v>
                </c:pt>
                <c:pt idx="114">
                  <c:v>0.08</c:v>
                </c:pt>
                <c:pt idx="115">
                  <c:v>0.09</c:v>
                </c:pt>
                <c:pt idx="116">
                  <c:v>0.16</c:v>
                </c:pt>
                <c:pt idx="117">
                  <c:v>0.18</c:v>
                </c:pt>
                <c:pt idx="118">
                  <c:v>0.21</c:v>
                </c:pt>
                <c:pt idx="119">
                  <c:v>0.18</c:v>
                </c:pt>
                <c:pt idx="120">
                  <c:v>0.4</c:v>
                </c:pt>
                <c:pt idx="121">
                  <c:v>0.77</c:v>
                </c:pt>
                <c:pt idx="122">
                  <c:v>0.27</c:v>
                </c:pt>
                <c:pt idx="123">
                  <c:v>0.17</c:v>
                </c:pt>
                <c:pt idx="124">
                  <c:v>0.23</c:v>
                </c:pt>
                <c:pt idx="125">
                  <c:v>0.21</c:v>
                </c:pt>
                <c:pt idx="126">
                  <c:v>0.12</c:v>
                </c:pt>
                <c:pt idx="127">
                  <c:v>0.11</c:v>
                </c:pt>
                <c:pt idx="128">
                  <c:v>0.1</c:v>
                </c:pt>
                <c:pt idx="129">
                  <c:v>0.09</c:v>
                </c:pt>
                <c:pt idx="130">
                  <c:v>0.08</c:v>
                </c:pt>
                <c:pt idx="131">
                  <c:v>0.06</c:v>
                </c:pt>
                <c:pt idx="132">
                  <c:v>0.06</c:v>
                </c:pt>
                <c:pt idx="133">
                  <c:v>0.06</c:v>
                </c:pt>
                <c:pt idx="134">
                  <c:v>0.05</c:v>
                </c:pt>
                <c:pt idx="135">
                  <c:v>0.05</c:v>
                </c:pt>
                <c:pt idx="136">
                  <c:v>0.04</c:v>
                </c:pt>
                <c:pt idx="137">
                  <c:v>0.04</c:v>
                </c:pt>
                <c:pt idx="138">
                  <c:v>0.04</c:v>
                </c:pt>
                <c:pt idx="139">
                  <c:v>0.03</c:v>
                </c:pt>
                <c:pt idx="140">
                  <c:v>0.03</c:v>
                </c:pt>
                <c:pt idx="141">
                  <c:v>0.03</c:v>
                </c:pt>
                <c:pt idx="142">
                  <c:v>0.03</c:v>
                </c:pt>
                <c:pt idx="143">
                  <c:v>0.03</c:v>
                </c:pt>
                <c:pt idx="144">
                  <c:v>0.03</c:v>
                </c:pt>
                <c:pt idx="145">
                  <c:v>0.03</c:v>
                </c:pt>
                <c:pt idx="146">
                  <c:v>0.03</c:v>
                </c:pt>
                <c:pt idx="147">
                  <c:v>0.03</c:v>
                </c:pt>
                <c:pt idx="148">
                  <c:v>0.03</c:v>
                </c:pt>
                <c:pt idx="149">
                  <c:v>0.02</c:v>
                </c:pt>
                <c:pt idx="150">
                  <c:v>0.02</c:v>
                </c:pt>
                <c:pt idx="151">
                  <c:v>0.02</c:v>
                </c:pt>
                <c:pt idx="152">
                  <c:v>0.02</c:v>
                </c:pt>
                <c:pt idx="153">
                  <c:v>0.02</c:v>
                </c:pt>
                <c:pt idx="154">
                  <c:v>0.02</c:v>
                </c:pt>
                <c:pt idx="155">
                  <c:v>0.02</c:v>
                </c:pt>
                <c:pt idx="156">
                  <c:v>0.02</c:v>
                </c:pt>
                <c:pt idx="157">
                  <c:v>0.02</c:v>
                </c:pt>
                <c:pt idx="158">
                  <c:v>0.02</c:v>
                </c:pt>
                <c:pt idx="159">
                  <c:v>0.02</c:v>
                </c:pt>
                <c:pt idx="160">
                  <c:v>0.02</c:v>
                </c:pt>
                <c:pt idx="161">
                  <c:v>0.02</c:v>
                </c:pt>
                <c:pt idx="162">
                  <c:v>0.02</c:v>
                </c:pt>
                <c:pt idx="163">
                  <c:v>0.02</c:v>
                </c:pt>
                <c:pt idx="164">
                  <c:v>0.02</c:v>
                </c:pt>
                <c:pt idx="165">
                  <c:v>0.02</c:v>
                </c:pt>
                <c:pt idx="166">
                  <c:v>0.02</c:v>
                </c:pt>
                <c:pt idx="167">
                  <c:v>0.02</c:v>
                </c:pt>
                <c:pt idx="168">
                  <c:v>0.01</c:v>
                </c:pt>
                <c:pt idx="169">
                  <c:v>0.01</c:v>
                </c:pt>
                <c:pt idx="170">
                  <c:v>0.01</c:v>
                </c:pt>
                <c:pt idx="171">
                  <c:v>0.01</c:v>
                </c:pt>
                <c:pt idx="172">
                  <c:v>0.01</c:v>
                </c:pt>
                <c:pt idx="173">
                  <c:v>0.01</c:v>
                </c:pt>
                <c:pt idx="174">
                  <c:v>0.01</c:v>
                </c:pt>
                <c:pt idx="175">
                  <c:v>0.01</c:v>
                </c:pt>
                <c:pt idx="176">
                  <c:v>0.01</c:v>
                </c:pt>
                <c:pt idx="177">
                  <c:v>0.01</c:v>
                </c:pt>
                <c:pt idx="178">
                  <c:v>0.01</c:v>
                </c:pt>
                <c:pt idx="179">
                  <c:v>0.01</c:v>
                </c:pt>
                <c:pt idx="180">
                  <c:v>0.01</c:v>
                </c:pt>
                <c:pt idx="181">
                  <c:v>0.01</c:v>
                </c:pt>
                <c:pt idx="182">
                  <c:v>0.01</c:v>
                </c:pt>
                <c:pt idx="183">
                  <c:v>0.01</c:v>
                </c:pt>
                <c:pt idx="184">
                  <c:v>0.01</c:v>
                </c:pt>
                <c:pt idx="185">
                  <c:v>0.01</c:v>
                </c:pt>
                <c:pt idx="186">
                  <c:v>0.01</c:v>
                </c:pt>
                <c:pt idx="187">
                  <c:v>0.01</c:v>
                </c:pt>
                <c:pt idx="188">
                  <c:v>0.01</c:v>
                </c:pt>
                <c:pt idx="189">
                  <c:v>0.01</c:v>
                </c:pt>
                <c:pt idx="190">
                  <c:v>0.01</c:v>
                </c:pt>
                <c:pt idx="191">
                  <c:v>0.01</c:v>
                </c:pt>
                <c:pt idx="192">
                  <c:v>0.01</c:v>
                </c:pt>
                <c:pt idx="193">
                  <c:v>0.01</c:v>
                </c:pt>
                <c:pt idx="194">
                  <c:v>0.01</c:v>
                </c:pt>
                <c:pt idx="195">
                  <c:v>0.01</c:v>
                </c:pt>
                <c:pt idx="196">
                  <c:v>0.01</c:v>
                </c:pt>
                <c:pt idx="197">
                  <c:v>0.01</c:v>
                </c:pt>
                <c:pt idx="198">
                  <c:v>0.01</c:v>
                </c:pt>
                <c:pt idx="199">
                  <c:v>0.01</c:v>
                </c:pt>
                <c:pt idx="200">
                  <c:v>0.01</c:v>
                </c:pt>
                <c:pt idx="201">
                  <c:v>0.01</c:v>
                </c:pt>
                <c:pt idx="202">
                  <c:v>0.01</c:v>
                </c:pt>
                <c:pt idx="203">
                  <c:v>0.01</c:v>
                </c:pt>
                <c:pt idx="204">
                  <c:v>0.01</c:v>
                </c:pt>
                <c:pt idx="205">
                  <c:v>0.01</c:v>
                </c:pt>
                <c:pt idx="206">
                  <c:v>0.01</c:v>
                </c:pt>
                <c:pt idx="207">
                  <c:v>0.01</c:v>
                </c:pt>
                <c:pt idx="208">
                  <c:v>0.01</c:v>
                </c:pt>
                <c:pt idx="209">
                  <c:v>0.01</c:v>
                </c:pt>
                <c:pt idx="210">
                  <c:v>0.01</c:v>
                </c:pt>
                <c:pt idx="211">
                  <c:v>0.01</c:v>
                </c:pt>
                <c:pt idx="212">
                  <c:v>0.01</c:v>
                </c:pt>
                <c:pt idx="213">
                  <c:v>0.01</c:v>
                </c:pt>
                <c:pt idx="214">
                  <c:v>0.01</c:v>
                </c:pt>
                <c:pt idx="215">
                  <c:v>0.01</c:v>
                </c:pt>
                <c:pt idx="216">
                  <c:v>0.01</c:v>
                </c:pt>
                <c:pt idx="217">
                  <c:v>0.01</c:v>
                </c:pt>
                <c:pt idx="218">
                  <c:v>0.01</c:v>
                </c:pt>
                <c:pt idx="219">
                  <c:v>0.01</c:v>
                </c:pt>
                <c:pt idx="220">
                  <c:v>0.01</c:v>
                </c:pt>
                <c:pt idx="221">
                  <c:v>0.01</c:v>
                </c:pt>
                <c:pt idx="222">
                  <c:v>0.01</c:v>
                </c:pt>
                <c:pt idx="223">
                  <c:v>0.01</c:v>
                </c:pt>
                <c:pt idx="224">
                  <c:v>0.01</c:v>
                </c:pt>
                <c:pt idx="225">
                  <c:v>0.01</c:v>
                </c:pt>
                <c:pt idx="226">
                  <c:v>0.01</c:v>
                </c:pt>
                <c:pt idx="227">
                  <c:v>0.01</c:v>
                </c:pt>
                <c:pt idx="228">
                  <c:v>0.01</c:v>
                </c:pt>
                <c:pt idx="229">
                  <c:v>0.01</c:v>
                </c:pt>
                <c:pt idx="230">
                  <c:v>0.01</c:v>
                </c:pt>
                <c:pt idx="231">
                  <c:v>0.01</c:v>
                </c:pt>
                <c:pt idx="232">
                  <c:v>0.01</c:v>
                </c:pt>
                <c:pt idx="233">
                  <c:v>0.01</c:v>
                </c:pt>
                <c:pt idx="234">
                  <c:v>0.01</c:v>
                </c:pt>
                <c:pt idx="235">
                  <c:v>0.01</c:v>
                </c:pt>
                <c:pt idx="236">
                  <c:v>0.01</c:v>
                </c:pt>
                <c:pt idx="237">
                  <c:v>0.01</c:v>
                </c:pt>
                <c:pt idx="238">
                  <c:v>0.01</c:v>
                </c:pt>
                <c:pt idx="239">
                  <c:v>0.01</c:v>
                </c:pt>
                <c:pt idx="240">
                  <c:v>0.01</c:v>
                </c:pt>
              </c:numCache>
            </c:numRef>
          </c:yVal>
          <c:smooth val="1"/>
          <c:extLst xmlns:c16r2="http://schemas.microsoft.com/office/drawing/2015/06/chart">
            <c:ext xmlns:c16="http://schemas.microsoft.com/office/drawing/2014/chart" uri="{C3380CC4-5D6E-409C-BE32-E72D297353CC}">
              <c16:uniqueId val="{00000001-A397-4565-8D55-63F05AA4FE1C}"/>
            </c:ext>
          </c:extLst>
        </c:ser>
        <c:ser>
          <c:idx val="3"/>
          <c:order val="2"/>
          <c:tx>
            <c:v>1 Percent Annual Chance</c:v>
          </c:tx>
          <c:spPr>
            <a:ln>
              <a:solidFill>
                <a:schemeClr val="tx1"/>
              </a:solidFill>
            </a:ln>
          </c:spPr>
          <c:marker>
            <c:symbol val="none"/>
          </c:marker>
          <c:xVal>
            <c:numRef>
              <c:f>Precip_YHD5!$A$3:$A$243</c:f>
              <c:numCache>
                <c:formatCode>h:mm;@</c:formatCode>
                <c:ptCount val="241"/>
                <c:pt idx="0">
                  <c:v>0</c:v>
                </c:pt>
                <c:pt idx="1">
                  <c:v>4.1666666666666666E-3</c:v>
                </c:pt>
                <c:pt idx="2">
                  <c:v>8.3333333333333332E-3</c:v>
                </c:pt>
                <c:pt idx="3">
                  <c:v>1.2499999999999999E-2</c:v>
                </c:pt>
                <c:pt idx="4">
                  <c:v>1.6666666666666666E-2</c:v>
                </c:pt>
                <c:pt idx="5">
                  <c:v>2.0833333333333332E-2</c:v>
                </c:pt>
                <c:pt idx="6">
                  <c:v>2.4999999999999998E-2</c:v>
                </c:pt>
                <c:pt idx="7">
                  <c:v>2.9166666666666664E-2</c:v>
                </c:pt>
                <c:pt idx="8">
                  <c:v>3.3333333333333333E-2</c:v>
                </c:pt>
                <c:pt idx="9">
                  <c:v>3.7499999999999999E-2</c:v>
                </c:pt>
                <c:pt idx="10">
                  <c:v>4.1666666666666664E-2</c:v>
                </c:pt>
                <c:pt idx="11">
                  <c:v>4.5833333333333337E-2</c:v>
                </c:pt>
                <c:pt idx="12">
                  <c:v>4.9999999999999996E-2</c:v>
                </c:pt>
                <c:pt idx="13">
                  <c:v>5.4166666666666669E-2</c:v>
                </c:pt>
                <c:pt idx="14">
                  <c:v>5.8333333333333327E-2</c:v>
                </c:pt>
                <c:pt idx="15">
                  <c:v>6.25E-2</c:v>
                </c:pt>
                <c:pt idx="16">
                  <c:v>6.6666666666666666E-2</c:v>
                </c:pt>
                <c:pt idx="17">
                  <c:v>7.0833333333333331E-2</c:v>
                </c:pt>
                <c:pt idx="18">
                  <c:v>7.4999999999999997E-2</c:v>
                </c:pt>
                <c:pt idx="19">
                  <c:v>7.9166666666666663E-2</c:v>
                </c:pt>
                <c:pt idx="20">
                  <c:v>8.3333333333333329E-2</c:v>
                </c:pt>
                <c:pt idx="21">
                  <c:v>8.7500000000000008E-2</c:v>
                </c:pt>
                <c:pt idx="22">
                  <c:v>9.1666666666666674E-2</c:v>
                </c:pt>
                <c:pt idx="23">
                  <c:v>9.5833333333333326E-2</c:v>
                </c:pt>
                <c:pt idx="24">
                  <c:v>9.9999999999999992E-2</c:v>
                </c:pt>
                <c:pt idx="25">
                  <c:v>0.10416666666666667</c:v>
                </c:pt>
                <c:pt idx="26">
                  <c:v>0.10833333333333334</c:v>
                </c:pt>
                <c:pt idx="27">
                  <c:v>0.1125</c:v>
                </c:pt>
                <c:pt idx="28">
                  <c:v>0.11666666666666665</c:v>
                </c:pt>
                <c:pt idx="29">
                  <c:v>0.12083333333333333</c:v>
                </c:pt>
                <c:pt idx="30">
                  <c:v>0.125</c:v>
                </c:pt>
                <c:pt idx="31">
                  <c:v>0.12916666666666668</c:v>
                </c:pt>
                <c:pt idx="32">
                  <c:v>0.13333333333333333</c:v>
                </c:pt>
                <c:pt idx="33">
                  <c:v>0.13749999999999998</c:v>
                </c:pt>
                <c:pt idx="34">
                  <c:v>0.14166666666666666</c:v>
                </c:pt>
                <c:pt idx="35">
                  <c:v>0.14583333333333334</c:v>
                </c:pt>
                <c:pt idx="36">
                  <c:v>0.15</c:v>
                </c:pt>
                <c:pt idx="37">
                  <c:v>0.15416666666666667</c:v>
                </c:pt>
                <c:pt idx="38">
                  <c:v>0.15833333333333333</c:v>
                </c:pt>
                <c:pt idx="39">
                  <c:v>0.16250000000000001</c:v>
                </c:pt>
                <c:pt idx="40">
                  <c:v>0.16666666666666666</c:v>
                </c:pt>
                <c:pt idx="41">
                  <c:v>0.17083333333333331</c:v>
                </c:pt>
                <c:pt idx="42">
                  <c:v>0.17500000000000002</c:v>
                </c:pt>
                <c:pt idx="43">
                  <c:v>0.17916666666666667</c:v>
                </c:pt>
                <c:pt idx="44">
                  <c:v>0.18333333333333335</c:v>
                </c:pt>
                <c:pt idx="45">
                  <c:v>0.1875</c:v>
                </c:pt>
                <c:pt idx="46">
                  <c:v>0.19166666666666665</c:v>
                </c:pt>
                <c:pt idx="47">
                  <c:v>0.19583333333333333</c:v>
                </c:pt>
                <c:pt idx="48">
                  <c:v>0.19999999999999998</c:v>
                </c:pt>
                <c:pt idx="49">
                  <c:v>0.20416666666666669</c:v>
                </c:pt>
                <c:pt idx="50">
                  <c:v>0.20833333333333334</c:v>
                </c:pt>
                <c:pt idx="51">
                  <c:v>0.21249999999999999</c:v>
                </c:pt>
                <c:pt idx="52">
                  <c:v>0.21666666666666667</c:v>
                </c:pt>
                <c:pt idx="53">
                  <c:v>0.22083333333333333</c:v>
                </c:pt>
                <c:pt idx="54">
                  <c:v>0.22500000000000001</c:v>
                </c:pt>
                <c:pt idx="55">
                  <c:v>0.22916666666666666</c:v>
                </c:pt>
                <c:pt idx="56">
                  <c:v>0.23333333333333331</c:v>
                </c:pt>
                <c:pt idx="57">
                  <c:v>0.23750000000000002</c:v>
                </c:pt>
                <c:pt idx="58">
                  <c:v>0.24166666666666667</c:v>
                </c:pt>
                <c:pt idx="59">
                  <c:v>0.24583333333333335</c:v>
                </c:pt>
                <c:pt idx="60">
                  <c:v>0.25</c:v>
                </c:pt>
                <c:pt idx="61">
                  <c:v>0.25416666666666665</c:v>
                </c:pt>
                <c:pt idx="62">
                  <c:v>0.25833333333333336</c:v>
                </c:pt>
                <c:pt idx="63">
                  <c:v>0.26250000000000001</c:v>
                </c:pt>
                <c:pt idx="64">
                  <c:v>0.26666666666666666</c:v>
                </c:pt>
                <c:pt idx="65">
                  <c:v>0.27083333333333331</c:v>
                </c:pt>
                <c:pt idx="66">
                  <c:v>0.27499999999999997</c:v>
                </c:pt>
                <c:pt idx="67">
                  <c:v>0.27916666666666667</c:v>
                </c:pt>
                <c:pt idx="68">
                  <c:v>0.28333333333333333</c:v>
                </c:pt>
                <c:pt idx="69">
                  <c:v>0.28750000000000003</c:v>
                </c:pt>
                <c:pt idx="70">
                  <c:v>0.29166666666666669</c:v>
                </c:pt>
                <c:pt idx="71">
                  <c:v>0.29583333333333334</c:v>
                </c:pt>
                <c:pt idx="72">
                  <c:v>0.3</c:v>
                </c:pt>
                <c:pt idx="73">
                  <c:v>0.30416666666666664</c:v>
                </c:pt>
                <c:pt idx="74">
                  <c:v>0.30833333333333335</c:v>
                </c:pt>
                <c:pt idx="75">
                  <c:v>0.3125</c:v>
                </c:pt>
                <c:pt idx="76">
                  <c:v>0.31666666666666665</c:v>
                </c:pt>
                <c:pt idx="77">
                  <c:v>0.32083333333333336</c:v>
                </c:pt>
                <c:pt idx="78">
                  <c:v>0.32500000000000001</c:v>
                </c:pt>
                <c:pt idx="79">
                  <c:v>0.32916666666666666</c:v>
                </c:pt>
                <c:pt idx="80">
                  <c:v>0.33333333333333331</c:v>
                </c:pt>
                <c:pt idx="81">
                  <c:v>0.33749999999999997</c:v>
                </c:pt>
                <c:pt idx="82">
                  <c:v>0.34166666666666662</c:v>
                </c:pt>
                <c:pt idx="83">
                  <c:v>0.34583333333333338</c:v>
                </c:pt>
                <c:pt idx="84">
                  <c:v>0.35000000000000003</c:v>
                </c:pt>
                <c:pt idx="85">
                  <c:v>0.35416666666666669</c:v>
                </c:pt>
                <c:pt idx="86">
                  <c:v>0.35833333333333334</c:v>
                </c:pt>
                <c:pt idx="87">
                  <c:v>0.36249999999999999</c:v>
                </c:pt>
                <c:pt idx="88">
                  <c:v>0.3666666666666667</c:v>
                </c:pt>
                <c:pt idx="89">
                  <c:v>0.37083333333333335</c:v>
                </c:pt>
                <c:pt idx="90">
                  <c:v>0.375</c:v>
                </c:pt>
                <c:pt idx="91">
                  <c:v>0.37916666666666665</c:v>
                </c:pt>
                <c:pt idx="92">
                  <c:v>0.3833333333333333</c:v>
                </c:pt>
                <c:pt idx="93">
                  <c:v>0.38750000000000001</c:v>
                </c:pt>
                <c:pt idx="94">
                  <c:v>0.39166666666666666</c:v>
                </c:pt>
                <c:pt idx="95">
                  <c:v>0.39583333333333331</c:v>
                </c:pt>
                <c:pt idx="96">
                  <c:v>0.39999999999999997</c:v>
                </c:pt>
                <c:pt idx="97">
                  <c:v>0.40416666666666662</c:v>
                </c:pt>
                <c:pt idx="98">
                  <c:v>0.40833333333333338</c:v>
                </c:pt>
                <c:pt idx="99">
                  <c:v>0.41250000000000003</c:v>
                </c:pt>
                <c:pt idx="100">
                  <c:v>0.41666666666666669</c:v>
                </c:pt>
                <c:pt idx="101">
                  <c:v>0.42083333333333334</c:v>
                </c:pt>
                <c:pt idx="102">
                  <c:v>0.42499999999999999</c:v>
                </c:pt>
                <c:pt idx="103">
                  <c:v>0.4291666666666667</c:v>
                </c:pt>
                <c:pt idx="104">
                  <c:v>0.43333333333333335</c:v>
                </c:pt>
                <c:pt idx="105">
                  <c:v>0.4375</c:v>
                </c:pt>
                <c:pt idx="106">
                  <c:v>0.44166666666666665</c:v>
                </c:pt>
                <c:pt idx="107">
                  <c:v>0.4458333333333333</c:v>
                </c:pt>
                <c:pt idx="108">
                  <c:v>0.45</c:v>
                </c:pt>
                <c:pt idx="109">
                  <c:v>0.45416666666666666</c:v>
                </c:pt>
                <c:pt idx="110">
                  <c:v>0.45833333333333331</c:v>
                </c:pt>
                <c:pt idx="111">
                  <c:v>0.46249999999999997</c:v>
                </c:pt>
                <c:pt idx="112">
                  <c:v>0.46666666666666662</c:v>
                </c:pt>
                <c:pt idx="113">
                  <c:v>0.47083333333333338</c:v>
                </c:pt>
                <c:pt idx="114">
                  <c:v>0.47500000000000003</c:v>
                </c:pt>
                <c:pt idx="115">
                  <c:v>0.47916666666666669</c:v>
                </c:pt>
                <c:pt idx="116">
                  <c:v>0.48333333333333334</c:v>
                </c:pt>
                <c:pt idx="117">
                  <c:v>0.48749999999999999</c:v>
                </c:pt>
                <c:pt idx="118">
                  <c:v>0.4916666666666667</c:v>
                </c:pt>
                <c:pt idx="119">
                  <c:v>0.49583333333333335</c:v>
                </c:pt>
                <c:pt idx="120">
                  <c:v>0.5</c:v>
                </c:pt>
                <c:pt idx="121">
                  <c:v>0.50416666666666665</c:v>
                </c:pt>
                <c:pt idx="122">
                  <c:v>0.5083333333333333</c:v>
                </c:pt>
                <c:pt idx="123">
                  <c:v>0.51250000000000007</c:v>
                </c:pt>
                <c:pt idx="124">
                  <c:v>0.51666666666666672</c:v>
                </c:pt>
                <c:pt idx="125">
                  <c:v>0.52083333333333337</c:v>
                </c:pt>
                <c:pt idx="126">
                  <c:v>0.52500000000000002</c:v>
                </c:pt>
                <c:pt idx="127">
                  <c:v>0.52916666666666667</c:v>
                </c:pt>
                <c:pt idx="128">
                  <c:v>0.53333333333333333</c:v>
                </c:pt>
                <c:pt idx="129">
                  <c:v>0.53749999999999998</c:v>
                </c:pt>
                <c:pt idx="130">
                  <c:v>0.54166666666666663</c:v>
                </c:pt>
                <c:pt idx="131">
                  <c:v>0.54583333333333328</c:v>
                </c:pt>
                <c:pt idx="132">
                  <c:v>0.54999999999999993</c:v>
                </c:pt>
                <c:pt idx="133">
                  <c:v>0.5541666666666667</c:v>
                </c:pt>
                <c:pt idx="134">
                  <c:v>0.55833333333333335</c:v>
                </c:pt>
                <c:pt idx="135">
                  <c:v>0.5625</c:v>
                </c:pt>
                <c:pt idx="136">
                  <c:v>0.56666666666666665</c:v>
                </c:pt>
                <c:pt idx="137">
                  <c:v>0.5708333333333333</c:v>
                </c:pt>
                <c:pt idx="138">
                  <c:v>0.57500000000000007</c:v>
                </c:pt>
                <c:pt idx="139">
                  <c:v>0.57916666666666672</c:v>
                </c:pt>
                <c:pt idx="140">
                  <c:v>0.58333333333333337</c:v>
                </c:pt>
                <c:pt idx="141">
                  <c:v>0.58750000000000002</c:v>
                </c:pt>
                <c:pt idx="142">
                  <c:v>0.59166666666666667</c:v>
                </c:pt>
                <c:pt idx="143">
                  <c:v>0.59583333333333333</c:v>
                </c:pt>
                <c:pt idx="144">
                  <c:v>0.6</c:v>
                </c:pt>
                <c:pt idx="145">
                  <c:v>0.60416666666666663</c:v>
                </c:pt>
                <c:pt idx="146">
                  <c:v>0.60833333333333328</c:v>
                </c:pt>
                <c:pt idx="147">
                  <c:v>0.61249999999999993</c:v>
                </c:pt>
                <c:pt idx="148">
                  <c:v>0.6166666666666667</c:v>
                </c:pt>
                <c:pt idx="149">
                  <c:v>0.62083333333333335</c:v>
                </c:pt>
                <c:pt idx="150">
                  <c:v>0.625</c:v>
                </c:pt>
                <c:pt idx="151">
                  <c:v>0.62916666666666665</c:v>
                </c:pt>
                <c:pt idx="152">
                  <c:v>0.6333333333333333</c:v>
                </c:pt>
                <c:pt idx="153">
                  <c:v>0.63750000000000007</c:v>
                </c:pt>
                <c:pt idx="154">
                  <c:v>0.64166666666666672</c:v>
                </c:pt>
                <c:pt idx="155">
                  <c:v>0.64583333333333337</c:v>
                </c:pt>
                <c:pt idx="156">
                  <c:v>0.65</c:v>
                </c:pt>
                <c:pt idx="157">
                  <c:v>0.65416666666666667</c:v>
                </c:pt>
                <c:pt idx="158">
                  <c:v>0.65833333333333333</c:v>
                </c:pt>
                <c:pt idx="159">
                  <c:v>0.66249999999999998</c:v>
                </c:pt>
                <c:pt idx="160">
                  <c:v>0.66666666666666663</c:v>
                </c:pt>
                <c:pt idx="161">
                  <c:v>0.67083333333333339</c:v>
                </c:pt>
                <c:pt idx="162">
                  <c:v>0.67499999999999993</c:v>
                </c:pt>
                <c:pt idx="163">
                  <c:v>0.6791666666666667</c:v>
                </c:pt>
                <c:pt idx="164">
                  <c:v>0.68333333333333324</c:v>
                </c:pt>
                <c:pt idx="165">
                  <c:v>0.6875</c:v>
                </c:pt>
                <c:pt idx="166">
                  <c:v>0.69166666666666676</c:v>
                </c:pt>
                <c:pt idx="167">
                  <c:v>0.6958333333333333</c:v>
                </c:pt>
                <c:pt idx="168">
                  <c:v>0.70000000000000007</c:v>
                </c:pt>
                <c:pt idx="169">
                  <c:v>0.70416666666666661</c:v>
                </c:pt>
                <c:pt idx="170">
                  <c:v>0.70833333333333337</c:v>
                </c:pt>
                <c:pt idx="171">
                  <c:v>0.71250000000000002</c:v>
                </c:pt>
                <c:pt idx="172">
                  <c:v>0.71666666666666667</c:v>
                </c:pt>
                <c:pt idx="173">
                  <c:v>0.72083333333333333</c:v>
                </c:pt>
                <c:pt idx="174">
                  <c:v>0.72499999999999998</c:v>
                </c:pt>
                <c:pt idx="175">
                  <c:v>0.72916666666666663</c:v>
                </c:pt>
                <c:pt idx="176">
                  <c:v>0.73333333333333339</c:v>
                </c:pt>
                <c:pt idx="177">
                  <c:v>0.73749999999999993</c:v>
                </c:pt>
                <c:pt idx="178">
                  <c:v>0.7416666666666667</c:v>
                </c:pt>
                <c:pt idx="179">
                  <c:v>0.74583333333333324</c:v>
                </c:pt>
                <c:pt idx="180">
                  <c:v>0.75</c:v>
                </c:pt>
                <c:pt idx="181">
                  <c:v>0.75416666666666676</c:v>
                </c:pt>
                <c:pt idx="182">
                  <c:v>0.7583333333333333</c:v>
                </c:pt>
                <c:pt idx="183">
                  <c:v>0.76250000000000007</c:v>
                </c:pt>
                <c:pt idx="184">
                  <c:v>0.76666666666666661</c:v>
                </c:pt>
                <c:pt idx="185">
                  <c:v>0.77083333333333337</c:v>
                </c:pt>
                <c:pt idx="186">
                  <c:v>0.77500000000000002</c:v>
                </c:pt>
                <c:pt idx="187">
                  <c:v>0.77916666666666667</c:v>
                </c:pt>
                <c:pt idx="188">
                  <c:v>0.78333333333333333</c:v>
                </c:pt>
                <c:pt idx="189">
                  <c:v>0.78749999999999998</c:v>
                </c:pt>
                <c:pt idx="190">
                  <c:v>0.79166666666666663</c:v>
                </c:pt>
                <c:pt idx="191">
                  <c:v>0.79583333333333339</c:v>
                </c:pt>
                <c:pt idx="192">
                  <c:v>0.79999999999999993</c:v>
                </c:pt>
                <c:pt idx="193">
                  <c:v>0.8041666666666667</c:v>
                </c:pt>
                <c:pt idx="194">
                  <c:v>0.80833333333333324</c:v>
                </c:pt>
                <c:pt idx="195">
                  <c:v>0.8125</c:v>
                </c:pt>
                <c:pt idx="196">
                  <c:v>0.81666666666666676</c:v>
                </c:pt>
                <c:pt idx="197">
                  <c:v>0.8208333333333333</c:v>
                </c:pt>
                <c:pt idx="198">
                  <c:v>0.82500000000000007</c:v>
                </c:pt>
                <c:pt idx="199">
                  <c:v>0.82916666666666661</c:v>
                </c:pt>
                <c:pt idx="200">
                  <c:v>0.83333333333333337</c:v>
                </c:pt>
                <c:pt idx="201">
                  <c:v>0.83750000000000002</c:v>
                </c:pt>
                <c:pt idx="202">
                  <c:v>0.84166666666666667</c:v>
                </c:pt>
                <c:pt idx="203">
                  <c:v>0.84583333333333333</c:v>
                </c:pt>
                <c:pt idx="204">
                  <c:v>0.85</c:v>
                </c:pt>
                <c:pt idx="205">
                  <c:v>0.85416666666666663</c:v>
                </c:pt>
                <c:pt idx="206">
                  <c:v>0.85833333333333339</c:v>
                </c:pt>
                <c:pt idx="207">
                  <c:v>0.86249999999999993</c:v>
                </c:pt>
                <c:pt idx="208">
                  <c:v>0.8666666666666667</c:v>
                </c:pt>
                <c:pt idx="209">
                  <c:v>0.87083333333333324</c:v>
                </c:pt>
                <c:pt idx="210">
                  <c:v>0.875</c:v>
                </c:pt>
                <c:pt idx="211">
                  <c:v>0.87916666666666676</c:v>
                </c:pt>
                <c:pt idx="212">
                  <c:v>0.8833333333333333</c:v>
                </c:pt>
                <c:pt idx="213">
                  <c:v>0.88750000000000007</c:v>
                </c:pt>
                <c:pt idx="214">
                  <c:v>0.89166666666666661</c:v>
                </c:pt>
                <c:pt idx="215">
                  <c:v>0.89583333333333337</c:v>
                </c:pt>
                <c:pt idx="216">
                  <c:v>0.9</c:v>
                </c:pt>
                <c:pt idx="217">
                  <c:v>0.90416666666666667</c:v>
                </c:pt>
                <c:pt idx="218">
                  <c:v>0.90833333333333333</c:v>
                </c:pt>
                <c:pt idx="219">
                  <c:v>0.91249999999999998</c:v>
                </c:pt>
                <c:pt idx="220">
                  <c:v>0.91666666666666663</c:v>
                </c:pt>
                <c:pt idx="221">
                  <c:v>0.92083333333333339</c:v>
                </c:pt>
                <c:pt idx="222">
                  <c:v>0.92499999999999993</c:v>
                </c:pt>
                <c:pt idx="223">
                  <c:v>0.9291666666666667</c:v>
                </c:pt>
                <c:pt idx="224">
                  <c:v>0.93333333333333324</c:v>
                </c:pt>
                <c:pt idx="225">
                  <c:v>0.9375</c:v>
                </c:pt>
                <c:pt idx="226">
                  <c:v>0.94166666666666676</c:v>
                </c:pt>
                <c:pt idx="227">
                  <c:v>0.9458333333333333</c:v>
                </c:pt>
                <c:pt idx="228">
                  <c:v>0.95000000000000007</c:v>
                </c:pt>
                <c:pt idx="229">
                  <c:v>0.95416666666666661</c:v>
                </c:pt>
                <c:pt idx="230">
                  <c:v>0.95833333333333337</c:v>
                </c:pt>
                <c:pt idx="231">
                  <c:v>0.96250000000000002</c:v>
                </c:pt>
                <c:pt idx="232">
                  <c:v>0.96666666666666667</c:v>
                </c:pt>
                <c:pt idx="233">
                  <c:v>0.97083333333333333</c:v>
                </c:pt>
                <c:pt idx="234">
                  <c:v>0.97499999999999998</c:v>
                </c:pt>
                <c:pt idx="235">
                  <c:v>0.97916666666666663</c:v>
                </c:pt>
                <c:pt idx="236">
                  <c:v>0.98333333333333339</c:v>
                </c:pt>
                <c:pt idx="237">
                  <c:v>0.98749999999999993</c:v>
                </c:pt>
                <c:pt idx="238">
                  <c:v>0.9916666666666667</c:v>
                </c:pt>
                <c:pt idx="239">
                  <c:v>0.99583333333333324</c:v>
                </c:pt>
                <c:pt idx="240">
                  <c:v>1</c:v>
                </c:pt>
              </c:numCache>
            </c:numRef>
          </c:xVal>
          <c:yVal>
            <c:numRef>
              <c:f>Precip_YHD5!$E$3:$E$243</c:f>
              <c:numCache>
                <c:formatCode>General</c:formatCode>
                <c:ptCount val="241"/>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c:v>
                </c:pt>
                <c:pt idx="76">
                  <c:v>0</c:v>
                </c:pt>
                <c:pt idx="77">
                  <c:v>0</c:v>
                </c:pt>
                <c:pt idx="78">
                  <c:v>0</c:v>
                </c:pt>
                <c:pt idx="79">
                  <c:v>0</c:v>
                </c:pt>
                <c:pt idx="80">
                  <c:v>0</c:v>
                </c:pt>
                <c:pt idx="81">
                  <c:v>0</c:v>
                </c:pt>
                <c:pt idx="82">
                  <c:v>0</c:v>
                </c:pt>
                <c:pt idx="83">
                  <c:v>0</c:v>
                </c:pt>
                <c:pt idx="84">
                  <c:v>0</c:v>
                </c:pt>
                <c:pt idx="85">
                  <c:v>0</c:v>
                </c:pt>
                <c:pt idx="86">
                  <c:v>0</c:v>
                </c:pt>
                <c:pt idx="87">
                  <c:v>0</c:v>
                </c:pt>
                <c:pt idx="88">
                  <c:v>0</c:v>
                </c:pt>
                <c:pt idx="89">
                  <c:v>0</c:v>
                </c:pt>
                <c:pt idx="90">
                  <c:v>0</c:v>
                </c:pt>
                <c:pt idx="91">
                  <c:v>0.01</c:v>
                </c:pt>
                <c:pt idx="92">
                  <c:v>0.01</c:v>
                </c:pt>
                <c:pt idx="93">
                  <c:v>0.01</c:v>
                </c:pt>
                <c:pt idx="94">
                  <c:v>0.01</c:v>
                </c:pt>
                <c:pt idx="95">
                  <c:v>0.01</c:v>
                </c:pt>
                <c:pt idx="96">
                  <c:v>0.01</c:v>
                </c:pt>
                <c:pt idx="97">
                  <c:v>0.01</c:v>
                </c:pt>
                <c:pt idx="98">
                  <c:v>0.01</c:v>
                </c:pt>
                <c:pt idx="99">
                  <c:v>0.01</c:v>
                </c:pt>
                <c:pt idx="100">
                  <c:v>0.01</c:v>
                </c:pt>
                <c:pt idx="101">
                  <c:v>0.01</c:v>
                </c:pt>
                <c:pt idx="102">
                  <c:v>0.01</c:v>
                </c:pt>
                <c:pt idx="103">
                  <c:v>0.01</c:v>
                </c:pt>
                <c:pt idx="104">
                  <c:v>0.01</c:v>
                </c:pt>
                <c:pt idx="105">
                  <c:v>0.01</c:v>
                </c:pt>
                <c:pt idx="106">
                  <c:v>0.02</c:v>
                </c:pt>
                <c:pt idx="107">
                  <c:v>0.02</c:v>
                </c:pt>
                <c:pt idx="108">
                  <c:v>0.02</c:v>
                </c:pt>
                <c:pt idx="109">
                  <c:v>0.02</c:v>
                </c:pt>
                <c:pt idx="110">
                  <c:v>0.03</c:v>
                </c:pt>
                <c:pt idx="111">
                  <c:v>0.04</c:v>
                </c:pt>
                <c:pt idx="112">
                  <c:v>0.04</c:v>
                </c:pt>
                <c:pt idx="113">
                  <c:v>0.04</c:v>
                </c:pt>
                <c:pt idx="114">
                  <c:v>0.05</c:v>
                </c:pt>
                <c:pt idx="115">
                  <c:v>0.06</c:v>
                </c:pt>
                <c:pt idx="116">
                  <c:v>0.1</c:v>
                </c:pt>
                <c:pt idx="117">
                  <c:v>0.12</c:v>
                </c:pt>
                <c:pt idx="118">
                  <c:v>0.14000000000000001</c:v>
                </c:pt>
                <c:pt idx="119">
                  <c:v>0.12</c:v>
                </c:pt>
                <c:pt idx="120">
                  <c:v>0.27</c:v>
                </c:pt>
                <c:pt idx="121">
                  <c:v>0.52</c:v>
                </c:pt>
                <c:pt idx="122">
                  <c:v>0.19</c:v>
                </c:pt>
                <c:pt idx="123">
                  <c:v>0.12</c:v>
                </c:pt>
                <c:pt idx="124">
                  <c:v>0.16</c:v>
                </c:pt>
                <c:pt idx="125">
                  <c:v>0.14000000000000001</c:v>
                </c:pt>
                <c:pt idx="126">
                  <c:v>0.08</c:v>
                </c:pt>
                <c:pt idx="127">
                  <c:v>0.08</c:v>
                </c:pt>
                <c:pt idx="128">
                  <c:v>7.0000000000000007E-2</c:v>
                </c:pt>
                <c:pt idx="129">
                  <c:v>7.0000000000000007E-2</c:v>
                </c:pt>
                <c:pt idx="130">
                  <c:v>0.06</c:v>
                </c:pt>
                <c:pt idx="131">
                  <c:v>0.05</c:v>
                </c:pt>
                <c:pt idx="132">
                  <c:v>0.04</c:v>
                </c:pt>
                <c:pt idx="133">
                  <c:v>0.04</c:v>
                </c:pt>
                <c:pt idx="134">
                  <c:v>0.04</c:v>
                </c:pt>
                <c:pt idx="135">
                  <c:v>0.04</c:v>
                </c:pt>
                <c:pt idx="136">
                  <c:v>0.03</c:v>
                </c:pt>
                <c:pt idx="137">
                  <c:v>0.03</c:v>
                </c:pt>
                <c:pt idx="138">
                  <c:v>0.03</c:v>
                </c:pt>
                <c:pt idx="139">
                  <c:v>0.03</c:v>
                </c:pt>
                <c:pt idx="140">
                  <c:v>0.02</c:v>
                </c:pt>
                <c:pt idx="141">
                  <c:v>0.02</c:v>
                </c:pt>
                <c:pt idx="142">
                  <c:v>0.02</c:v>
                </c:pt>
                <c:pt idx="143">
                  <c:v>0.02</c:v>
                </c:pt>
                <c:pt idx="144">
                  <c:v>0.02</c:v>
                </c:pt>
                <c:pt idx="145">
                  <c:v>0.02</c:v>
                </c:pt>
                <c:pt idx="146">
                  <c:v>0.02</c:v>
                </c:pt>
                <c:pt idx="147">
                  <c:v>0.02</c:v>
                </c:pt>
                <c:pt idx="148">
                  <c:v>0.02</c:v>
                </c:pt>
                <c:pt idx="149">
                  <c:v>0.02</c:v>
                </c:pt>
                <c:pt idx="150">
                  <c:v>0.02</c:v>
                </c:pt>
                <c:pt idx="151">
                  <c:v>0.02</c:v>
                </c:pt>
                <c:pt idx="152">
                  <c:v>0.02</c:v>
                </c:pt>
                <c:pt idx="153">
                  <c:v>0.01</c:v>
                </c:pt>
                <c:pt idx="154">
                  <c:v>0.01</c:v>
                </c:pt>
                <c:pt idx="155">
                  <c:v>0.01</c:v>
                </c:pt>
                <c:pt idx="156">
                  <c:v>0.01</c:v>
                </c:pt>
                <c:pt idx="157">
                  <c:v>0.01</c:v>
                </c:pt>
                <c:pt idx="158">
                  <c:v>0.01</c:v>
                </c:pt>
                <c:pt idx="159">
                  <c:v>0.01</c:v>
                </c:pt>
                <c:pt idx="160">
                  <c:v>0.01</c:v>
                </c:pt>
                <c:pt idx="161">
                  <c:v>0.01</c:v>
                </c:pt>
                <c:pt idx="162">
                  <c:v>0.01</c:v>
                </c:pt>
                <c:pt idx="163">
                  <c:v>0.01</c:v>
                </c:pt>
                <c:pt idx="164">
                  <c:v>0.01</c:v>
                </c:pt>
                <c:pt idx="165">
                  <c:v>0.01</c:v>
                </c:pt>
                <c:pt idx="166">
                  <c:v>0.01</c:v>
                </c:pt>
                <c:pt idx="167">
                  <c:v>0.01</c:v>
                </c:pt>
                <c:pt idx="168">
                  <c:v>0.01</c:v>
                </c:pt>
                <c:pt idx="169">
                  <c:v>0.01</c:v>
                </c:pt>
                <c:pt idx="170">
                  <c:v>0.01</c:v>
                </c:pt>
                <c:pt idx="171">
                  <c:v>0.01</c:v>
                </c:pt>
                <c:pt idx="172">
                  <c:v>0.01</c:v>
                </c:pt>
                <c:pt idx="173">
                  <c:v>0.01</c:v>
                </c:pt>
                <c:pt idx="174">
                  <c:v>0.01</c:v>
                </c:pt>
                <c:pt idx="175">
                  <c:v>0.01</c:v>
                </c:pt>
                <c:pt idx="176">
                  <c:v>0.01</c:v>
                </c:pt>
                <c:pt idx="177">
                  <c:v>0.01</c:v>
                </c:pt>
                <c:pt idx="178">
                  <c:v>0.01</c:v>
                </c:pt>
                <c:pt idx="179">
                  <c:v>0.01</c:v>
                </c:pt>
                <c:pt idx="180">
                  <c:v>0.01</c:v>
                </c:pt>
                <c:pt idx="181">
                  <c:v>0.01</c:v>
                </c:pt>
                <c:pt idx="182">
                  <c:v>0.01</c:v>
                </c:pt>
                <c:pt idx="183">
                  <c:v>0.01</c:v>
                </c:pt>
                <c:pt idx="184">
                  <c:v>0.01</c:v>
                </c:pt>
                <c:pt idx="185">
                  <c:v>0.01</c:v>
                </c:pt>
                <c:pt idx="186">
                  <c:v>0.01</c:v>
                </c:pt>
                <c:pt idx="187">
                  <c:v>0.01</c:v>
                </c:pt>
                <c:pt idx="188">
                  <c:v>0.01</c:v>
                </c:pt>
                <c:pt idx="189">
                  <c:v>0.01</c:v>
                </c:pt>
                <c:pt idx="190">
                  <c:v>0.01</c:v>
                </c:pt>
                <c:pt idx="191">
                  <c:v>0.01</c:v>
                </c:pt>
                <c:pt idx="192">
                  <c:v>0.01</c:v>
                </c:pt>
                <c:pt idx="193">
                  <c:v>0.01</c:v>
                </c:pt>
                <c:pt idx="194">
                  <c:v>0.01</c:v>
                </c:pt>
                <c:pt idx="195">
                  <c:v>0.01</c:v>
                </c:pt>
                <c:pt idx="196">
                  <c:v>0.01</c:v>
                </c:pt>
                <c:pt idx="197">
                  <c:v>0.01</c:v>
                </c:pt>
                <c:pt idx="198">
                  <c:v>0.01</c:v>
                </c:pt>
                <c:pt idx="199">
                  <c:v>0.01</c:v>
                </c:pt>
                <c:pt idx="200">
                  <c:v>0.01</c:v>
                </c:pt>
                <c:pt idx="201">
                  <c:v>0.01</c:v>
                </c:pt>
                <c:pt idx="202">
                  <c:v>0.01</c:v>
                </c:pt>
                <c:pt idx="203">
                  <c:v>0.01</c:v>
                </c:pt>
                <c:pt idx="204">
                  <c:v>0.01</c:v>
                </c:pt>
                <c:pt idx="205">
                  <c:v>0.01</c:v>
                </c:pt>
                <c:pt idx="206">
                  <c:v>0.01</c:v>
                </c:pt>
                <c:pt idx="207">
                  <c:v>0.01</c:v>
                </c:pt>
                <c:pt idx="208">
                  <c:v>0.01</c:v>
                </c:pt>
                <c:pt idx="209">
                  <c:v>0.01</c:v>
                </c:pt>
                <c:pt idx="210">
                  <c:v>0.01</c:v>
                </c:pt>
                <c:pt idx="211">
                  <c:v>0.01</c:v>
                </c:pt>
                <c:pt idx="212">
                  <c:v>0.01</c:v>
                </c:pt>
                <c:pt idx="213">
                  <c:v>0.01</c:v>
                </c:pt>
                <c:pt idx="214">
                  <c:v>0.01</c:v>
                </c:pt>
                <c:pt idx="215">
                  <c:v>0.01</c:v>
                </c:pt>
                <c:pt idx="216">
                  <c:v>0.01</c:v>
                </c:pt>
                <c:pt idx="217">
                  <c:v>0.01</c:v>
                </c:pt>
                <c:pt idx="218">
                  <c:v>0.01</c:v>
                </c:pt>
                <c:pt idx="219">
                  <c:v>0.01</c:v>
                </c:pt>
                <c:pt idx="220">
                  <c:v>0.01</c:v>
                </c:pt>
                <c:pt idx="221">
                  <c:v>0.01</c:v>
                </c:pt>
                <c:pt idx="222">
                  <c:v>0.01</c:v>
                </c:pt>
                <c:pt idx="223">
                  <c:v>0.01</c:v>
                </c:pt>
                <c:pt idx="224">
                  <c:v>0.01</c:v>
                </c:pt>
                <c:pt idx="225">
                  <c:v>0.01</c:v>
                </c:pt>
                <c:pt idx="226">
                  <c:v>0.01</c:v>
                </c:pt>
                <c:pt idx="227">
                  <c:v>0.01</c:v>
                </c:pt>
                <c:pt idx="228">
                  <c:v>0.01</c:v>
                </c:pt>
                <c:pt idx="229">
                  <c:v>0.01</c:v>
                </c:pt>
                <c:pt idx="230">
                  <c:v>0.01</c:v>
                </c:pt>
                <c:pt idx="231">
                  <c:v>0.01</c:v>
                </c:pt>
                <c:pt idx="232">
                  <c:v>0.01</c:v>
                </c:pt>
                <c:pt idx="233">
                  <c:v>0.01</c:v>
                </c:pt>
                <c:pt idx="234">
                  <c:v>0.01</c:v>
                </c:pt>
                <c:pt idx="235">
                  <c:v>0.01</c:v>
                </c:pt>
                <c:pt idx="236">
                  <c:v>0.01</c:v>
                </c:pt>
                <c:pt idx="237">
                  <c:v>0</c:v>
                </c:pt>
                <c:pt idx="238">
                  <c:v>0</c:v>
                </c:pt>
                <c:pt idx="239">
                  <c:v>0</c:v>
                </c:pt>
                <c:pt idx="240">
                  <c:v>0</c:v>
                </c:pt>
              </c:numCache>
            </c:numRef>
          </c:yVal>
          <c:smooth val="1"/>
          <c:extLst xmlns:c16r2="http://schemas.microsoft.com/office/drawing/2015/06/chart">
            <c:ext xmlns:c16="http://schemas.microsoft.com/office/drawing/2014/chart" uri="{C3380CC4-5D6E-409C-BE32-E72D297353CC}">
              <c16:uniqueId val="{00000002-A397-4565-8D55-63F05AA4FE1C}"/>
            </c:ext>
          </c:extLst>
        </c:ser>
        <c:ser>
          <c:idx val="2"/>
          <c:order val="3"/>
          <c:tx>
            <c:v>2 Percent Annual Chance</c:v>
          </c:tx>
          <c:spPr>
            <a:ln>
              <a:solidFill>
                <a:schemeClr val="tx2">
                  <a:lumMod val="60000"/>
                  <a:lumOff val="40000"/>
                </a:schemeClr>
              </a:solidFill>
            </a:ln>
          </c:spPr>
          <c:marker>
            <c:symbol val="none"/>
          </c:marker>
          <c:xVal>
            <c:numRef>
              <c:f>Precip_YHD5!$A$3:$A$243</c:f>
              <c:numCache>
                <c:formatCode>h:mm;@</c:formatCode>
                <c:ptCount val="241"/>
                <c:pt idx="0">
                  <c:v>0</c:v>
                </c:pt>
                <c:pt idx="1">
                  <c:v>4.1666666666666666E-3</c:v>
                </c:pt>
                <c:pt idx="2">
                  <c:v>8.3333333333333332E-3</c:v>
                </c:pt>
                <c:pt idx="3">
                  <c:v>1.2499999999999999E-2</c:v>
                </c:pt>
                <c:pt idx="4">
                  <c:v>1.6666666666666666E-2</c:v>
                </c:pt>
                <c:pt idx="5">
                  <c:v>2.0833333333333332E-2</c:v>
                </c:pt>
                <c:pt idx="6">
                  <c:v>2.4999999999999998E-2</c:v>
                </c:pt>
                <c:pt idx="7">
                  <c:v>2.9166666666666664E-2</c:v>
                </c:pt>
                <c:pt idx="8">
                  <c:v>3.3333333333333333E-2</c:v>
                </c:pt>
                <c:pt idx="9">
                  <c:v>3.7499999999999999E-2</c:v>
                </c:pt>
                <c:pt idx="10">
                  <c:v>4.1666666666666664E-2</c:v>
                </c:pt>
                <c:pt idx="11">
                  <c:v>4.5833333333333337E-2</c:v>
                </c:pt>
                <c:pt idx="12">
                  <c:v>4.9999999999999996E-2</c:v>
                </c:pt>
                <c:pt idx="13">
                  <c:v>5.4166666666666669E-2</c:v>
                </c:pt>
                <c:pt idx="14">
                  <c:v>5.8333333333333327E-2</c:v>
                </c:pt>
                <c:pt idx="15">
                  <c:v>6.25E-2</c:v>
                </c:pt>
                <c:pt idx="16">
                  <c:v>6.6666666666666666E-2</c:v>
                </c:pt>
                <c:pt idx="17">
                  <c:v>7.0833333333333331E-2</c:v>
                </c:pt>
                <c:pt idx="18">
                  <c:v>7.4999999999999997E-2</c:v>
                </c:pt>
                <c:pt idx="19">
                  <c:v>7.9166666666666663E-2</c:v>
                </c:pt>
                <c:pt idx="20">
                  <c:v>8.3333333333333329E-2</c:v>
                </c:pt>
                <c:pt idx="21">
                  <c:v>8.7500000000000008E-2</c:v>
                </c:pt>
                <c:pt idx="22">
                  <c:v>9.1666666666666674E-2</c:v>
                </c:pt>
                <c:pt idx="23">
                  <c:v>9.5833333333333326E-2</c:v>
                </c:pt>
                <c:pt idx="24">
                  <c:v>9.9999999999999992E-2</c:v>
                </c:pt>
                <c:pt idx="25">
                  <c:v>0.10416666666666667</c:v>
                </c:pt>
                <c:pt idx="26">
                  <c:v>0.10833333333333334</c:v>
                </c:pt>
                <c:pt idx="27">
                  <c:v>0.1125</c:v>
                </c:pt>
                <c:pt idx="28">
                  <c:v>0.11666666666666665</c:v>
                </c:pt>
                <c:pt idx="29">
                  <c:v>0.12083333333333333</c:v>
                </c:pt>
                <c:pt idx="30">
                  <c:v>0.125</c:v>
                </c:pt>
                <c:pt idx="31">
                  <c:v>0.12916666666666668</c:v>
                </c:pt>
                <c:pt idx="32">
                  <c:v>0.13333333333333333</c:v>
                </c:pt>
                <c:pt idx="33">
                  <c:v>0.13749999999999998</c:v>
                </c:pt>
                <c:pt idx="34">
                  <c:v>0.14166666666666666</c:v>
                </c:pt>
                <c:pt idx="35">
                  <c:v>0.14583333333333334</c:v>
                </c:pt>
                <c:pt idx="36">
                  <c:v>0.15</c:v>
                </c:pt>
                <c:pt idx="37">
                  <c:v>0.15416666666666667</c:v>
                </c:pt>
                <c:pt idx="38">
                  <c:v>0.15833333333333333</c:v>
                </c:pt>
                <c:pt idx="39">
                  <c:v>0.16250000000000001</c:v>
                </c:pt>
                <c:pt idx="40">
                  <c:v>0.16666666666666666</c:v>
                </c:pt>
                <c:pt idx="41">
                  <c:v>0.17083333333333331</c:v>
                </c:pt>
                <c:pt idx="42">
                  <c:v>0.17500000000000002</c:v>
                </c:pt>
                <c:pt idx="43">
                  <c:v>0.17916666666666667</c:v>
                </c:pt>
                <c:pt idx="44">
                  <c:v>0.18333333333333335</c:v>
                </c:pt>
                <c:pt idx="45">
                  <c:v>0.1875</c:v>
                </c:pt>
                <c:pt idx="46">
                  <c:v>0.19166666666666665</c:v>
                </c:pt>
                <c:pt idx="47">
                  <c:v>0.19583333333333333</c:v>
                </c:pt>
                <c:pt idx="48">
                  <c:v>0.19999999999999998</c:v>
                </c:pt>
                <c:pt idx="49">
                  <c:v>0.20416666666666669</c:v>
                </c:pt>
                <c:pt idx="50">
                  <c:v>0.20833333333333334</c:v>
                </c:pt>
                <c:pt idx="51">
                  <c:v>0.21249999999999999</c:v>
                </c:pt>
                <c:pt idx="52">
                  <c:v>0.21666666666666667</c:v>
                </c:pt>
                <c:pt idx="53">
                  <c:v>0.22083333333333333</c:v>
                </c:pt>
                <c:pt idx="54">
                  <c:v>0.22500000000000001</c:v>
                </c:pt>
                <c:pt idx="55">
                  <c:v>0.22916666666666666</c:v>
                </c:pt>
                <c:pt idx="56">
                  <c:v>0.23333333333333331</c:v>
                </c:pt>
                <c:pt idx="57">
                  <c:v>0.23750000000000002</c:v>
                </c:pt>
                <c:pt idx="58">
                  <c:v>0.24166666666666667</c:v>
                </c:pt>
                <c:pt idx="59">
                  <c:v>0.24583333333333335</c:v>
                </c:pt>
                <c:pt idx="60">
                  <c:v>0.25</c:v>
                </c:pt>
                <c:pt idx="61">
                  <c:v>0.25416666666666665</c:v>
                </c:pt>
                <c:pt idx="62">
                  <c:v>0.25833333333333336</c:v>
                </c:pt>
                <c:pt idx="63">
                  <c:v>0.26250000000000001</c:v>
                </c:pt>
                <c:pt idx="64">
                  <c:v>0.26666666666666666</c:v>
                </c:pt>
                <c:pt idx="65">
                  <c:v>0.27083333333333331</c:v>
                </c:pt>
                <c:pt idx="66">
                  <c:v>0.27499999999999997</c:v>
                </c:pt>
                <c:pt idx="67">
                  <c:v>0.27916666666666667</c:v>
                </c:pt>
                <c:pt idx="68">
                  <c:v>0.28333333333333333</c:v>
                </c:pt>
                <c:pt idx="69">
                  <c:v>0.28750000000000003</c:v>
                </c:pt>
                <c:pt idx="70">
                  <c:v>0.29166666666666669</c:v>
                </c:pt>
                <c:pt idx="71">
                  <c:v>0.29583333333333334</c:v>
                </c:pt>
                <c:pt idx="72">
                  <c:v>0.3</c:v>
                </c:pt>
                <c:pt idx="73">
                  <c:v>0.30416666666666664</c:v>
                </c:pt>
                <c:pt idx="74">
                  <c:v>0.30833333333333335</c:v>
                </c:pt>
                <c:pt idx="75">
                  <c:v>0.3125</c:v>
                </c:pt>
                <c:pt idx="76">
                  <c:v>0.31666666666666665</c:v>
                </c:pt>
                <c:pt idx="77">
                  <c:v>0.32083333333333336</c:v>
                </c:pt>
                <c:pt idx="78">
                  <c:v>0.32500000000000001</c:v>
                </c:pt>
                <c:pt idx="79">
                  <c:v>0.32916666666666666</c:v>
                </c:pt>
                <c:pt idx="80">
                  <c:v>0.33333333333333331</c:v>
                </c:pt>
                <c:pt idx="81">
                  <c:v>0.33749999999999997</c:v>
                </c:pt>
                <c:pt idx="82">
                  <c:v>0.34166666666666662</c:v>
                </c:pt>
                <c:pt idx="83">
                  <c:v>0.34583333333333338</c:v>
                </c:pt>
                <c:pt idx="84">
                  <c:v>0.35000000000000003</c:v>
                </c:pt>
                <c:pt idx="85">
                  <c:v>0.35416666666666669</c:v>
                </c:pt>
                <c:pt idx="86">
                  <c:v>0.35833333333333334</c:v>
                </c:pt>
                <c:pt idx="87">
                  <c:v>0.36249999999999999</c:v>
                </c:pt>
                <c:pt idx="88">
                  <c:v>0.3666666666666667</c:v>
                </c:pt>
                <c:pt idx="89">
                  <c:v>0.37083333333333335</c:v>
                </c:pt>
                <c:pt idx="90">
                  <c:v>0.375</c:v>
                </c:pt>
                <c:pt idx="91">
                  <c:v>0.37916666666666665</c:v>
                </c:pt>
                <c:pt idx="92">
                  <c:v>0.3833333333333333</c:v>
                </c:pt>
                <c:pt idx="93">
                  <c:v>0.38750000000000001</c:v>
                </c:pt>
                <c:pt idx="94">
                  <c:v>0.39166666666666666</c:v>
                </c:pt>
                <c:pt idx="95">
                  <c:v>0.39583333333333331</c:v>
                </c:pt>
                <c:pt idx="96">
                  <c:v>0.39999999999999997</c:v>
                </c:pt>
                <c:pt idx="97">
                  <c:v>0.40416666666666662</c:v>
                </c:pt>
                <c:pt idx="98">
                  <c:v>0.40833333333333338</c:v>
                </c:pt>
                <c:pt idx="99">
                  <c:v>0.41250000000000003</c:v>
                </c:pt>
                <c:pt idx="100">
                  <c:v>0.41666666666666669</c:v>
                </c:pt>
                <c:pt idx="101">
                  <c:v>0.42083333333333334</c:v>
                </c:pt>
                <c:pt idx="102">
                  <c:v>0.42499999999999999</c:v>
                </c:pt>
                <c:pt idx="103">
                  <c:v>0.4291666666666667</c:v>
                </c:pt>
                <c:pt idx="104">
                  <c:v>0.43333333333333335</c:v>
                </c:pt>
                <c:pt idx="105">
                  <c:v>0.4375</c:v>
                </c:pt>
                <c:pt idx="106">
                  <c:v>0.44166666666666665</c:v>
                </c:pt>
                <c:pt idx="107">
                  <c:v>0.4458333333333333</c:v>
                </c:pt>
                <c:pt idx="108">
                  <c:v>0.45</c:v>
                </c:pt>
                <c:pt idx="109">
                  <c:v>0.45416666666666666</c:v>
                </c:pt>
                <c:pt idx="110">
                  <c:v>0.45833333333333331</c:v>
                </c:pt>
                <c:pt idx="111">
                  <c:v>0.46249999999999997</c:v>
                </c:pt>
                <c:pt idx="112">
                  <c:v>0.46666666666666662</c:v>
                </c:pt>
                <c:pt idx="113">
                  <c:v>0.47083333333333338</c:v>
                </c:pt>
                <c:pt idx="114">
                  <c:v>0.47500000000000003</c:v>
                </c:pt>
                <c:pt idx="115">
                  <c:v>0.47916666666666669</c:v>
                </c:pt>
                <c:pt idx="116">
                  <c:v>0.48333333333333334</c:v>
                </c:pt>
                <c:pt idx="117">
                  <c:v>0.48749999999999999</c:v>
                </c:pt>
                <c:pt idx="118">
                  <c:v>0.4916666666666667</c:v>
                </c:pt>
                <c:pt idx="119">
                  <c:v>0.49583333333333335</c:v>
                </c:pt>
                <c:pt idx="120">
                  <c:v>0.5</c:v>
                </c:pt>
                <c:pt idx="121">
                  <c:v>0.50416666666666665</c:v>
                </c:pt>
                <c:pt idx="122">
                  <c:v>0.5083333333333333</c:v>
                </c:pt>
                <c:pt idx="123">
                  <c:v>0.51250000000000007</c:v>
                </c:pt>
                <c:pt idx="124">
                  <c:v>0.51666666666666672</c:v>
                </c:pt>
                <c:pt idx="125">
                  <c:v>0.52083333333333337</c:v>
                </c:pt>
                <c:pt idx="126">
                  <c:v>0.52500000000000002</c:v>
                </c:pt>
                <c:pt idx="127">
                  <c:v>0.52916666666666667</c:v>
                </c:pt>
                <c:pt idx="128">
                  <c:v>0.53333333333333333</c:v>
                </c:pt>
                <c:pt idx="129">
                  <c:v>0.53749999999999998</c:v>
                </c:pt>
                <c:pt idx="130">
                  <c:v>0.54166666666666663</c:v>
                </c:pt>
                <c:pt idx="131">
                  <c:v>0.54583333333333328</c:v>
                </c:pt>
                <c:pt idx="132">
                  <c:v>0.54999999999999993</c:v>
                </c:pt>
                <c:pt idx="133">
                  <c:v>0.5541666666666667</c:v>
                </c:pt>
                <c:pt idx="134">
                  <c:v>0.55833333333333335</c:v>
                </c:pt>
                <c:pt idx="135">
                  <c:v>0.5625</c:v>
                </c:pt>
                <c:pt idx="136">
                  <c:v>0.56666666666666665</c:v>
                </c:pt>
                <c:pt idx="137">
                  <c:v>0.5708333333333333</c:v>
                </c:pt>
                <c:pt idx="138">
                  <c:v>0.57500000000000007</c:v>
                </c:pt>
                <c:pt idx="139">
                  <c:v>0.57916666666666672</c:v>
                </c:pt>
                <c:pt idx="140">
                  <c:v>0.58333333333333337</c:v>
                </c:pt>
                <c:pt idx="141">
                  <c:v>0.58750000000000002</c:v>
                </c:pt>
                <c:pt idx="142">
                  <c:v>0.59166666666666667</c:v>
                </c:pt>
                <c:pt idx="143">
                  <c:v>0.59583333333333333</c:v>
                </c:pt>
                <c:pt idx="144">
                  <c:v>0.6</c:v>
                </c:pt>
                <c:pt idx="145">
                  <c:v>0.60416666666666663</c:v>
                </c:pt>
                <c:pt idx="146">
                  <c:v>0.60833333333333328</c:v>
                </c:pt>
                <c:pt idx="147">
                  <c:v>0.61249999999999993</c:v>
                </c:pt>
                <c:pt idx="148">
                  <c:v>0.6166666666666667</c:v>
                </c:pt>
                <c:pt idx="149">
                  <c:v>0.62083333333333335</c:v>
                </c:pt>
                <c:pt idx="150">
                  <c:v>0.625</c:v>
                </c:pt>
                <c:pt idx="151">
                  <c:v>0.62916666666666665</c:v>
                </c:pt>
                <c:pt idx="152">
                  <c:v>0.6333333333333333</c:v>
                </c:pt>
                <c:pt idx="153">
                  <c:v>0.63750000000000007</c:v>
                </c:pt>
                <c:pt idx="154">
                  <c:v>0.64166666666666672</c:v>
                </c:pt>
                <c:pt idx="155">
                  <c:v>0.64583333333333337</c:v>
                </c:pt>
                <c:pt idx="156">
                  <c:v>0.65</c:v>
                </c:pt>
                <c:pt idx="157">
                  <c:v>0.65416666666666667</c:v>
                </c:pt>
                <c:pt idx="158">
                  <c:v>0.65833333333333333</c:v>
                </c:pt>
                <c:pt idx="159">
                  <c:v>0.66249999999999998</c:v>
                </c:pt>
                <c:pt idx="160">
                  <c:v>0.66666666666666663</c:v>
                </c:pt>
                <c:pt idx="161">
                  <c:v>0.67083333333333339</c:v>
                </c:pt>
                <c:pt idx="162">
                  <c:v>0.67499999999999993</c:v>
                </c:pt>
                <c:pt idx="163">
                  <c:v>0.6791666666666667</c:v>
                </c:pt>
                <c:pt idx="164">
                  <c:v>0.68333333333333324</c:v>
                </c:pt>
                <c:pt idx="165">
                  <c:v>0.6875</c:v>
                </c:pt>
                <c:pt idx="166">
                  <c:v>0.69166666666666676</c:v>
                </c:pt>
                <c:pt idx="167">
                  <c:v>0.6958333333333333</c:v>
                </c:pt>
                <c:pt idx="168">
                  <c:v>0.70000000000000007</c:v>
                </c:pt>
                <c:pt idx="169">
                  <c:v>0.70416666666666661</c:v>
                </c:pt>
                <c:pt idx="170">
                  <c:v>0.70833333333333337</c:v>
                </c:pt>
                <c:pt idx="171">
                  <c:v>0.71250000000000002</c:v>
                </c:pt>
                <c:pt idx="172">
                  <c:v>0.71666666666666667</c:v>
                </c:pt>
                <c:pt idx="173">
                  <c:v>0.72083333333333333</c:v>
                </c:pt>
                <c:pt idx="174">
                  <c:v>0.72499999999999998</c:v>
                </c:pt>
                <c:pt idx="175">
                  <c:v>0.72916666666666663</c:v>
                </c:pt>
                <c:pt idx="176">
                  <c:v>0.73333333333333339</c:v>
                </c:pt>
                <c:pt idx="177">
                  <c:v>0.73749999999999993</c:v>
                </c:pt>
                <c:pt idx="178">
                  <c:v>0.7416666666666667</c:v>
                </c:pt>
                <c:pt idx="179">
                  <c:v>0.74583333333333324</c:v>
                </c:pt>
                <c:pt idx="180">
                  <c:v>0.75</c:v>
                </c:pt>
                <c:pt idx="181">
                  <c:v>0.75416666666666676</c:v>
                </c:pt>
                <c:pt idx="182">
                  <c:v>0.7583333333333333</c:v>
                </c:pt>
                <c:pt idx="183">
                  <c:v>0.76250000000000007</c:v>
                </c:pt>
                <c:pt idx="184">
                  <c:v>0.76666666666666661</c:v>
                </c:pt>
                <c:pt idx="185">
                  <c:v>0.77083333333333337</c:v>
                </c:pt>
                <c:pt idx="186">
                  <c:v>0.77500000000000002</c:v>
                </c:pt>
                <c:pt idx="187">
                  <c:v>0.77916666666666667</c:v>
                </c:pt>
                <c:pt idx="188">
                  <c:v>0.78333333333333333</c:v>
                </c:pt>
                <c:pt idx="189">
                  <c:v>0.78749999999999998</c:v>
                </c:pt>
                <c:pt idx="190">
                  <c:v>0.79166666666666663</c:v>
                </c:pt>
                <c:pt idx="191">
                  <c:v>0.79583333333333339</c:v>
                </c:pt>
                <c:pt idx="192">
                  <c:v>0.79999999999999993</c:v>
                </c:pt>
                <c:pt idx="193">
                  <c:v>0.8041666666666667</c:v>
                </c:pt>
                <c:pt idx="194">
                  <c:v>0.80833333333333324</c:v>
                </c:pt>
                <c:pt idx="195">
                  <c:v>0.8125</c:v>
                </c:pt>
                <c:pt idx="196">
                  <c:v>0.81666666666666676</c:v>
                </c:pt>
                <c:pt idx="197">
                  <c:v>0.8208333333333333</c:v>
                </c:pt>
                <c:pt idx="198">
                  <c:v>0.82500000000000007</c:v>
                </c:pt>
                <c:pt idx="199">
                  <c:v>0.82916666666666661</c:v>
                </c:pt>
                <c:pt idx="200">
                  <c:v>0.83333333333333337</c:v>
                </c:pt>
                <c:pt idx="201">
                  <c:v>0.83750000000000002</c:v>
                </c:pt>
                <c:pt idx="202">
                  <c:v>0.84166666666666667</c:v>
                </c:pt>
                <c:pt idx="203">
                  <c:v>0.84583333333333333</c:v>
                </c:pt>
                <c:pt idx="204">
                  <c:v>0.85</c:v>
                </c:pt>
                <c:pt idx="205">
                  <c:v>0.85416666666666663</c:v>
                </c:pt>
                <c:pt idx="206">
                  <c:v>0.85833333333333339</c:v>
                </c:pt>
                <c:pt idx="207">
                  <c:v>0.86249999999999993</c:v>
                </c:pt>
                <c:pt idx="208">
                  <c:v>0.8666666666666667</c:v>
                </c:pt>
                <c:pt idx="209">
                  <c:v>0.87083333333333324</c:v>
                </c:pt>
                <c:pt idx="210">
                  <c:v>0.875</c:v>
                </c:pt>
                <c:pt idx="211">
                  <c:v>0.87916666666666676</c:v>
                </c:pt>
                <c:pt idx="212">
                  <c:v>0.8833333333333333</c:v>
                </c:pt>
                <c:pt idx="213">
                  <c:v>0.88750000000000007</c:v>
                </c:pt>
                <c:pt idx="214">
                  <c:v>0.89166666666666661</c:v>
                </c:pt>
                <c:pt idx="215">
                  <c:v>0.89583333333333337</c:v>
                </c:pt>
                <c:pt idx="216">
                  <c:v>0.9</c:v>
                </c:pt>
                <c:pt idx="217">
                  <c:v>0.90416666666666667</c:v>
                </c:pt>
                <c:pt idx="218">
                  <c:v>0.90833333333333333</c:v>
                </c:pt>
                <c:pt idx="219">
                  <c:v>0.91249999999999998</c:v>
                </c:pt>
                <c:pt idx="220">
                  <c:v>0.91666666666666663</c:v>
                </c:pt>
                <c:pt idx="221">
                  <c:v>0.92083333333333339</c:v>
                </c:pt>
                <c:pt idx="222">
                  <c:v>0.92499999999999993</c:v>
                </c:pt>
                <c:pt idx="223">
                  <c:v>0.9291666666666667</c:v>
                </c:pt>
                <c:pt idx="224">
                  <c:v>0.93333333333333324</c:v>
                </c:pt>
                <c:pt idx="225">
                  <c:v>0.9375</c:v>
                </c:pt>
                <c:pt idx="226">
                  <c:v>0.94166666666666676</c:v>
                </c:pt>
                <c:pt idx="227">
                  <c:v>0.9458333333333333</c:v>
                </c:pt>
                <c:pt idx="228">
                  <c:v>0.95000000000000007</c:v>
                </c:pt>
                <c:pt idx="229">
                  <c:v>0.95416666666666661</c:v>
                </c:pt>
                <c:pt idx="230">
                  <c:v>0.95833333333333337</c:v>
                </c:pt>
                <c:pt idx="231">
                  <c:v>0.96250000000000002</c:v>
                </c:pt>
                <c:pt idx="232">
                  <c:v>0.96666666666666667</c:v>
                </c:pt>
                <c:pt idx="233">
                  <c:v>0.97083333333333333</c:v>
                </c:pt>
                <c:pt idx="234">
                  <c:v>0.97499999999999998</c:v>
                </c:pt>
                <c:pt idx="235">
                  <c:v>0.97916666666666663</c:v>
                </c:pt>
                <c:pt idx="236">
                  <c:v>0.98333333333333339</c:v>
                </c:pt>
                <c:pt idx="237">
                  <c:v>0.98749999999999993</c:v>
                </c:pt>
                <c:pt idx="238">
                  <c:v>0.9916666666666667</c:v>
                </c:pt>
                <c:pt idx="239">
                  <c:v>0.99583333333333324</c:v>
                </c:pt>
                <c:pt idx="240">
                  <c:v>1</c:v>
                </c:pt>
              </c:numCache>
            </c:numRef>
          </c:xVal>
          <c:yVal>
            <c:numRef>
              <c:f>Precip_YHD5!$D$3:$D$243</c:f>
              <c:numCache>
                <c:formatCode>General</c:formatCode>
                <c:ptCount val="241"/>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c:v>
                </c:pt>
                <c:pt idx="76">
                  <c:v>0</c:v>
                </c:pt>
                <c:pt idx="77">
                  <c:v>0</c:v>
                </c:pt>
                <c:pt idx="78">
                  <c:v>0</c:v>
                </c:pt>
                <c:pt idx="79">
                  <c:v>0</c:v>
                </c:pt>
                <c:pt idx="80">
                  <c:v>0</c:v>
                </c:pt>
                <c:pt idx="81">
                  <c:v>0</c:v>
                </c:pt>
                <c:pt idx="82">
                  <c:v>0</c:v>
                </c:pt>
                <c:pt idx="83">
                  <c:v>0</c:v>
                </c:pt>
                <c:pt idx="84">
                  <c:v>0</c:v>
                </c:pt>
                <c:pt idx="85">
                  <c:v>0</c:v>
                </c:pt>
                <c:pt idx="86">
                  <c:v>0</c:v>
                </c:pt>
                <c:pt idx="87">
                  <c:v>0</c:v>
                </c:pt>
                <c:pt idx="88">
                  <c:v>0</c:v>
                </c:pt>
                <c:pt idx="89">
                  <c:v>0</c:v>
                </c:pt>
                <c:pt idx="90">
                  <c:v>0</c:v>
                </c:pt>
                <c:pt idx="91">
                  <c:v>0</c:v>
                </c:pt>
                <c:pt idx="92">
                  <c:v>0</c:v>
                </c:pt>
                <c:pt idx="93">
                  <c:v>0</c:v>
                </c:pt>
                <c:pt idx="94">
                  <c:v>0</c:v>
                </c:pt>
                <c:pt idx="95">
                  <c:v>0.01</c:v>
                </c:pt>
                <c:pt idx="96">
                  <c:v>0.01</c:v>
                </c:pt>
                <c:pt idx="97">
                  <c:v>0.01</c:v>
                </c:pt>
                <c:pt idx="98">
                  <c:v>0.01</c:v>
                </c:pt>
                <c:pt idx="99">
                  <c:v>0.01</c:v>
                </c:pt>
                <c:pt idx="100">
                  <c:v>0.01</c:v>
                </c:pt>
                <c:pt idx="101">
                  <c:v>0.01</c:v>
                </c:pt>
                <c:pt idx="102">
                  <c:v>0.01</c:v>
                </c:pt>
                <c:pt idx="103">
                  <c:v>0.01</c:v>
                </c:pt>
                <c:pt idx="104">
                  <c:v>0.01</c:v>
                </c:pt>
                <c:pt idx="105">
                  <c:v>0.01</c:v>
                </c:pt>
                <c:pt idx="106">
                  <c:v>0.01</c:v>
                </c:pt>
                <c:pt idx="107">
                  <c:v>0.02</c:v>
                </c:pt>
                <c:pt idx="108">
                  <c:v>0.02</c:v>
                </c:pt>
                <c:pt idx="109">
                  <c:v>0.02</c:v>
                </c:pt>
                <c:pt idx="110">
                  <c:v>0.02</c:v>
                </c:pt>
                <c:pt idx="111">
                  <c:v>0.03</c:v>
                </c:pt>
                <c:pt idx="112">
                  <c:v>0.03</c:v>
                </c:pt>
                <c:pt idx="113">
                  <c:v>0.04</c:v>
                </c:pt>
                <c:pt idx="114">
                  <c:v>0.04</c:v>
                </c:pt>
                <c:pt idx="115">
                  <c:v>0.05</c:v>
                </c:pt>
                <c:pt idx="116">
                  <c:v>0.08</c:v>
                </c:pt>
                <c:pt idx="117">
                  <c:v>0.09</c:v>
                </c:pt>
                <c:pt idx="118">
                  <c:v>0.11</c:v>
                </c:pt>
                <c:pt idx="119">
                  <c:v>0.09</c:v>
                </c:pt>
                <c:pt idx="120">
                  <c:v>0.22</c:v>
                </c:pt>
                <c:pt idx="121">
                  <c:v>0.43</c:v>
                </c:pt>
                <c:pt idx="122">
                  <c:v>0.16</c:v>
                </c:pt>
                <c:pt idx="123">
                  <c:v>0.1</c:v>
                </c:pt>
                <c:pt idx="124">
                  <c:v>0.13</c:v>
                </c:pt>
                <c:pt idx="125">
                  <c:v>0.12</c:v>
                </c:pt>
                <c:pt idx="126">
                  <c:v>7.0000000000000007E-2</c:v>
                </c:pt>
                <c:pt idx="127">
                  <c:v>0.06</c:v>
                </c:pt>
                <c:pt idx="128">
                  <c:v>0.06</c:v>
                </c:pt>
                <c:pt idx="129">
                  <c:v>0.06</c:v>
                </c:pt>
                <c:pt idx="130">
                  <c:v>0.05</c:v>
                </c:pt>
                <c:pt idx="131">
                  <c:v>0.04</c:v>
                </c:pt>
                <c:pt idx="132">
                  <c:v>0.04</c:v>
                </c:pt>
                <c:pt idx="133">
                  <c:v>0.04</c:v>
                </c:pt>
                <c:pt idx="134">
                  <c:v>0.03</c:v>
                </c:pt>
                <c:pt idx="135">
                  <c:v>0.03</c:v>
                </c:pt>
                <c:pt idx="136">
                  <c:v>0.02</c:v>
                </c:pt>
                <c:pt idx="137">
                  <c:v>0.02</c:v>
                </c:pt>
                <c:pt idx="138">
                  <c:v>0.02</c:v>
                </c:pt>
                <c:pt idx="139">
                  <c:v>0.02</c:v>
                </c:pt>
                <c:pt idx="140">
                  <c:v>0.02</c:v>
                </c:pt>
                <c:pt idx="141">
                  <c:v>0.02</c:v>
                </c:pt>
                <c:pt idx="142">
                  <c:v>0.02</c:v>
                </c:pt>
                <c:pt idx="143">
                  <c:v>0.02</c:v>
                </c:pt>
                <c:pt idx="144">
                  <c:v>0.02</c:v>
                </c:pt>
                <c:pt idx="145">
                  <c:v>0.02</c:v>
                </c:pt>
                <c:pt idx="146">
                  <c:v>0.02</c:v>
                </c:pt>
                <c:pt idx="147">
                  <c:v>0.02</c:v>
                </c:pt>
                <c:pt idx="148">
                  <c:v>0.02</c:v>
                </c:pt>
                <c:pt idx="149">
                  <c:v>0.02</c:v>
                </c:pt>
                <c:pt idx="150">
                  <c:v>0.02</c:v>
                </c:pt>
                <c:pt idx="151">
                  <c:v>0.01</c:v>
                </c:pt>
                <c:pt idx="152">
                  <c:v>0.01</c:v>
                </c:pt>
                <c:pt idx="153">
                  <c:v>0.01</c:v>
                </c:pt>
                <c:pt idx="154">
                  <c:v>0.01</c:v>
                </c:pt>
                <c:pt idx="155">
                  <c:v>0.01</c:v>
                </c:pt>
                <c:pt idx="156">
                  <c:v>0.01</c:v>
                </c:pt>
                <c:pt idx="157">
                  <c:v>0.01</c:v>
                </c:pt>
                <c:pt idx="158">
                  <c:v>0.01</c:v>
                </c:pt>
                <c:pt idx="159">
                  <c:v>0.01</c:v>
                </c:pt>
                <c:pt idx="160">
                  <c:v>0.01</c:v>
                </c:pt>
                <c:pt idx="161">
                  <c:v>0.01</c:v>
                </c:pt>
                <c:pt idx="162">
                  <c:v>0.01</c:v>
                </c:pt>
                <c:pt idx="163">
                  <c:v>0.01</c:v>
                </c:pt>
                <c:pt idx="164">
                  <c:v>0.01</c:v>
                </c:pt>
                <c:pt idx="165">
                  <c:v>0.01</c:v>
                </c:pt>
                <c:pt idx="166">
                  <c:v>0.01</c:v>
                </c:pt>
                <c:pt idx="167">
                  <c:v>0.01</c:v>
                </c:pt>
                <c:pt idx="168">
                  <c:v>0.01</c:v>
                </c:pt>
                <c:pt idx="169">
                  <c:v>0.01</c:v>
                </c:pt>
                <c:pt idx="170">
                  <c:v>0.01</c:v>
                </c:pt>
                <c:pt idx="171">
                  <c:v>0.01</c:v>
                </c:pt>
                <c:pt idx="172">
                  <c:v>0.01</c:v>
                </c:pt>
                <c:pt idx="173">
                  <c:v>0.01</c:v>
                </c:pt>
                <c:pt idx="174">
                  <c:v>0.01</c:v>
                </c:pt>
                <c:pt idx="175">
                  <c:v>0.01</c:v>
                </c:pt>
                <c:pt idx="176">
                  <c:v>0.01</c:v>
                </c:pt>
                <c:pt idx="177">
                  <c:v>0.01</c:v>
                </c:pt>
                <c:pt idx="178">
                  <c:v>0.01</c:v>
                </c:pt>
                <c:pt idx="179">
                  <c:v>0.01</c:v>
                </c:pt>
                <c:pt idx="180">
                  <c:v>0.01</c:v>
                </c:pt>
                <c:pt idx="181">
                  <c:v>0.01</c:v>
                </c:pt>
                <c:pt idx="182">
                  <c:v>0.01</c:v>
                </c:pt>
                <c:pt idx="183">
                  <c:v>0.01</c:v>
                </c:pt>
                <c:pt idx="184">
                  <c:v>0.01</c:v>
                </c:pt>
                <c:pt idx="185">
                  <c:v>0.01</c:v>
                </c:pt>
                <c:pt idx="186">
                  <c:v>0.01</c:v>
                </c:pt>
                <c:pt idx="187">
                  <c:v>0.01</c:v>
                </c:pt>
                <c:pt idx="188">
                  <c:v>0.01</c:v>
                </c:pt>
                <c:pt idx="189">
                  <c:v>0.01</c:v>
                </c:pt>
                <c:pt idx="190">
                  <c:v>0.01</c:v>
                </c:pt>
                <c:pt idx="191">
                  <c:v>0.01</c:v>
                </c:pt>
                <c:pt idx="192">
                  <c:v>0.01</c:v>
                </c:pt>
                <c:pt idx="193">
                  <c:v>0.01</c:v>
                </c:pt>
                <c:pt idx="194">
                  <c:v>0.01</c:v>
                </c:pt>
                <c:pt idx="195">
                  <c:v>0.01</c:v>
                </c:pt>
                <c:pt idx="196">
                  <c:v>0.01</c:v>
                </c:pt>
                <c:pt idx="197">
                  <c:v>0.01</c:v>
                </c:pt>
                <c:pt idx="198">
                  <c:v>0.01</c:v>
                </c:pt>
                <c:pt idx="199">
                  <c:v>0.01</c:v>
                </c:pt>
                <c:pt idx="200">
                  <c:v>0.01</c:v>
                </c:pt>
                <c:pt idx="201">
                  <c:v>0.01</c:v>
                </c:pt>
                <c:pt idx="202">
                  <c:v>0.01</c:v>
                </c:pt>
                <c:pt idx="203">
                  <c:v>0.01</c:v>
                </c:pt>
                <c:pt idx="204">
                  <c:v>0.01</c:v>
                </c:pt>
                <c:pt idx="205">
                  <c:v>0.01</c:v>
                </c:pt>
                <c:pt idx="206">
                  <c:v>0.01</c:v>
                </c:pt>
                <c:pt idx="207">
                  <c:v>0.01</c:v>
                </c:pt>
                <c:pt idx="208">
                  <c:v>0.01</c:v>
                </c:pt>
                <c:pt idx="209">
                  <c:v>0.01</c:v>
                </c:pt>
                <c:pt idx="210">
                  <c:v>0.01</c:v>
                </c:pt>
                <c:pt idx="211">
                  <c:v>0.01</c:v>
                </c:pt>
                <c:pt idx="212">
                  <c:v>0.01</c:v>
                </c:pt>
                <c:pt idx="213">
                  <c:v>0.01</c:v>
                </c:pt>
                <c:pt idx="214">
                  <c:v>0.01</c:v>
                </c:pt>
                <c:pt idx="215">
                  <c:v>0.01</c:v>
                </c:pt>
                <c:pt idx="216">
                  <c:v>0.01</c:v>
                </c:pt>
                <c:pt idx="217">
                  <c:v>0.01</c:v>
                </c:pt>
                <c:pt idx="218">
                  <c:v>0.01</c:v>
                </c:pt>
                <c:pt idx="219">
                  <c:v>0</c:v>
                </c:pt>
                <c:pt idx="220">
                  <c:v>0</c:v>
                </c:pt>
                <c:pt idx="221">
                  <c:v>0</c:v>
                </c:pt>
                <c:pt idx="222">
                  <c:v>0</c:v>
                </c:pt>
                <c:pt idx="223">
                  <c:v>0</c:v>
                </c:pt>
                <c:pt idx="224">
                  <c:v>0</c:v>
                </c:pt>
                <c:pt idx="225">
                  <c:v>0</c:v>
                </c:pt>
                <c:pt idx="226">
                  <c:v>0</c:v>
                </c:pt>
                <c:pt idx="227">
                  <c:v>0</c:v>
                </c:pt>
                <c:pt idx="228">
                  <c:v>0</c:v>
                </c:pt>
                <c:pt idx="229">
                  <c:v>0</c:v>
                </c:pt>
                <c:pt idx="230">
                  <c:v>0</c:v>
                </c:pt>
                <c:pt idx="231">
                  <c:v>0</c:v>
                </c:pt>
                <c:pt idx="232">
                  <c:v>0</c:v>
                </c:pt>
                <c:pt idx="233">
                  <c:v>0</c:v>
                </c:pt>
                <c:pt idx="234">
                  <c:v>0</c:v>
                </c:pt>
                <c:pt idx="235">
                  <c:v>0</c:v>
                </c:pt>
                <c:pt idx="236">
                  <c:v>0</c:v>
                </c:pt>
                <c:pt idx="237">
                  <c:v>0</c:v>
                </c:pt>
                <c:pt idx="238">
                  <c:v>0</c:v>
                </c:pt>
                <c:pt idx="239">
                  <c:v>0</c:v>
                </c:pt>
                <c:pt idx="240">
                  <c:v>0</c:v>
                </c:pt>
              </c:numCache>
            </c:numRef>
          </c:yVal>
          <c:smooth val="1"/>
          <c:extLst xmlns:c16r2="http://schemas.microsoft.com/office/drawing/2015/06/chart">
            <c:ext xmlns:c16="http://schemas.microsoft.com/office/drawing/2014/chart" uri="{C3380CC4-5D6E-409C-BE32-E72D297353CC}">
              <c16:uniqueId val="{00000003-A397-4565-8D55-63F05AA4FE1C}"/>
            </c:ext>
          </c:extLst>
        </c:ser>
        <c:ser>
          <c:idx val="1"/>
          <c:order val="4"/>
          <c:tx>
            <c:v>4 Percent Annual Chance</c:v>
          </c:tx>
          <c:spPr>
            <a:ln>
              <a:solidFill>
                <a:srgbClr val="FFCC00"/>
              </a:solidFill>
            </a:ln>
          </c:spPr>
          <c:marker>
            <c:symbol val="none"/>
          </c:marker>
          <c:xVal>
            <c:numRef>
              <c:f>Precip_YHD5!$A$3:$A$243</c:f>
              <c:numCache>
                <c:formatCode>h:mm;@</c:formatCode>
                <c:ptCount val="241"/>
                <c:pt idx="0">
                  <c:v>0</c:v>
                </c:pt>
                <c:pt idx="1">
                  <c:v>4.1666666666666666E-3</c:v>
                </c:pt>
                <c:pt idx="2">
                  <c:v>8.3333333333333332E-3</c:v>
                </c:pt>
                <c:pt idx="3">
                  <c:v>1.2499999999999999E-2</c:v>
                </c:pt>
                <c:pt idx="4">
                  <c:v>1.6666666666666666E-2</c:v>
                </c:pt>
                <c:pt idx="5">
                  <c:v>2.0833333333333332E-2</c:v>
                </c:pt>
                <c:pt idx="6">
                  <c:v>2.4999999999999998E-2</c:v>
                </c:pt>
                <c:pt idx="7">
                  <c:v>2.9166666666666664E-2</c:v>
                </c:pt>
                <c:pt idx="8">
                  <c:v>3.3333333333333333E-2</c:v>
                </c:pt>
                <c:pt idx="9">
                  <c:v>3.7499999999999999E-2</c:v>
                </c:pt>
                <c:pt idx="10">
                  <c:v>4.1666666666666664E-2</c:v>
                </c:pt>
                <c:pt idx="11">
                  <c:v>4.5833333333333337E-2</c:v>
                </c:pt>
                <c:pt idx="12">
                  <c:v>4.9999999999999996E-2</c:v>
                </c:pt>
                <c:pt idx="13">
                  <c:v>5.4166666666666669E-2</c:v>
                </c:pt>
                <c:pt idx="14">
                  <c:v>5.8333333333333327E-2</c:v>
                </c:pt>
                <c:pt idx="15">
                  <c:v>6.25E-2</c:v>
                </c:pt>
                <c:pt idx="16">
                  <c:v>6.6666666666666666E-2</c:v>
                </c:pt>
                <c:pt idx="17">
                  <c:v>7.0833333333333331E-2</c:v>
                </c:pt>
                <c:pt idx="18">
                  <c:v>7.4999999999999997E-2</c:v>
                </c:pt>
                <c:pt idx="19">
                  <c:v>7.9166666666666663E-2</c:v>
                </c:pt>
                <c:pt idx="20">
                  <c:v>8.3333333333333329E-2</c:v>
                </c:pt>
                <c:pt idx="21">
                  <c:v>8.7500000000000008E-2</c:v>
                </c:pt>
                <c:pt idx="22">
                  <c:v>9.1666666666666674E-2</c:v>
                </c:pt>
                <c:pt idx="23">
                  <c:v>9.5833333333333326E-2</c:v>
                </c:pt>
                <c:pt idx="24">
                  <c:v>9.9999999999999992E-2</c:v>
                </c:pt>
                <c:pt idx="25">
                  <c:v>0.10416666666666667</c:v>
                </c:pt>
                <c:pt idx="26">
                  <c:v>0.10833333333333334</c:v>
                </c:pt>
                <c:pt idx="27">
                  <c:v>0.1125</c:v>
                </c:pt>
                <c:pt idx="28">
                  <c:v>0.11666666666666665</c:v>
                </c:pt>
                <c:pt idx="29">
                  <c:v>0.12083333333333333</c:v>
                </c:pt>
                <c:pt idx="30">
                  <c:v>0.125</c:v>
                </c:pt>
                <c:pt idx="31">
                  <c:v>0.12916666666666668</c:v>
                </c:pt>
                <c:pt idx="32">
                  <c:v>0.13333333333333333</c:v>
                </c:pt>
                <c:pt idx="33">
                  <c:v>0.13749999999999998</c:v>
                </c:pt>
                <c:pt idx="34">
                  <c:v>0.14166666666666666</c:v>
                </c:pt>
                <c:pt idx="35">
                  <c:v>0.14583333333333334</c:v>
                </c:pt>
                <c:pt idx="36">
                  <c:v>0.15</c:v>
                </c:pt>
                <c:pt idx="37">
                  <c:v>0.15416666666666667</c:v>
                </c:pt>
                <c:pt idx="38">
                  <c:v>0.15833333333333333</c:v>
                </c:pt>
                <c:pt idx="39">
                  <c:v>0.16250000000000001</c:v>
                </c:pt>
                <c:pt idx="40">
                  <c:v>0.16666666666666666</c:v>
                </c:pt>
                <c:pt idx="41">
                  <c:v>0.17083333333333331</c:v>
                </c:pt>
                <c:pt idx="42">
                  <c:v>0.17500000000000002</c:v>
                </c:pt>
                <c:pt idx="43">
                  <c:v>0.17916666666666667</c:v>
                </c:pt>
                <c:pt idx="44">
                  <c:v>0.18333333333333335</c:v>
                </c:pt>
                <c:pt idx="45">
                  <c:v>0.1875</c:v>
                </c:pt>
                <c:pt idx="46">
                  <c:v>0.19166666666666665</c:v>
                </c:pt>
                <c:pt idx="47">
                  <c:v>0.19583333333333333</c:v>
                </c:pt>
                <c:pt idx="48">
                  <c:v>0.19999999999999998</c:v>
                </c:pt>
                <c:pt idx="49">
                  <c:v>0.20416666666666669</c:v>
                </c:pt>
                <c:pt idx="50">
                  <c:v>0.20833333333333334</c:v>
                </c:pt>
                <c:pt idx="51">
                  <c:v>0.21249999999999999</c:v>
                </c:pt>
                <c:pt idx="52">
                  <c:v>0.21666666666666667</c:v>
                </c:pt>
                <c:pt idx="53">
                  <c:v>0.22083333333333333</c:v>
                </c:pt>
                <c:pt idx="54">
                  <c:v>0.22500000000000001</c:v>
                </c:pt>
                <c:pt idx="55">
                  <c:v>0.22916666666666666</c:v>
                </c:pt>
                <c:pt idx="56">
                  <c:v>0.23333333333333331</c:v>
                </c:pt>
                <c:pt idx="57">
                  <c:v>0.23750000000000002</c:v>
                </c:pt>
                <c:pt idx="58">
                  <c:v>0.24166666666666667</c:v>
                </c:pt>
                <c:pt idx="59">
                  <c:v>0.24583333333333335</c:v>
                </c:pt>
                <c:pt idx="60">
                  <c:v>0.25</c:v>
                </c:pt>
                <c:pt idx="61">
                  <c:v>0.25416666666666665</c:v>
                </c:pt>
                <c:pt idx="62">
                  <c:v>0.25833333333333336</c:v>
                </c:pt>
                <c:pt idx="63">
                  <c:v>0.26250000000000001</c:v>
                </c:pt>
                <c:pt idx="64">
                  <c:v>0.26666666666666666</c:v>
                </c:pt>
                <c:pt idx="65">
                  <c:v>0.27083333333333331</c:v>
                </c:pt>
                <c:pt idx="66">
                  <c:v>0.27499999999999997</c:v>
                </c:pt>
                <c:pt idx="67">
                  <c:v>0.27916666666666667</c:v>
                </c:pt>
                <c:pt idx="68">
                  <c:v>0.28333333333333333</c:v>
                </c:pt>
                <c:pt idx="69">
                  <c:v>0.28750000000000003</c:v>
                </c:pt>
                <c:pt idx="70">
                  <c:v>0.29166666666666669</c:v>
                </c:pt>
                <c:pt idx="71">
                  <c:v>0.29583333333333334</c:v>
                </c:pt>
                <c:pt idx="72">
                  <c:v>0.3</c:v>
                </c:pt>
                <c:pt idx="73">
                  <c:v>0.30416666666666664</c:v>
                </c:pt>
                <c:pt idx="74">
                  <c:v>0.30833333333333335</c:v>
                </c:pt>
                <c:pt idx="75">
                  <c:v>0.3125</c:v>
                </c:pt>
                <c:pt idx="76">
                  <c:v>0.31666666666666665</c:v>
                </c:pt>
                <c:pt idx="77">
                  <c:v>0.32083333333333336</c:v>
                </c:pt>
                <c:pt idx="78">
                  <c:v>0.32500000000000001</c:v>
                </c:pt>
                <c:pt idx="79">
                  <c:v>0.32916666666666666</c:v>
                </c:pt>
                <c:pt idx="80">
                  <c:v>0.33333333333333331</c:v>
                </c:pt>
                <c:pt idx="81">
                  <c:v>0.33749999999999997</c:v>
                </c:pt>
                <c:pt idx="82">
                  <c:v>0.34166666666666662</c:v>
                </c:pt>
                <c:pt idx="83">
                  <c:v>0.34583333333333338</c:v>
                </c:pt>
                <c:pt idx="84">
                  <c:v>0.35000000000000003</c:v>
                </c:pt>
                <c:pt idx="85">
                  <c:v>0.35416666666666669</c:v>
                </c:pt>
                <c:pt idx="86">
                  <c:v>0.35833333333333334</c:v>
                </c:pt>
                <c:pt idx="87">
                  <c:v>0.36249999999999999</c:v>
                </c:pt>
                <c:pt idx="88">
                  <c:v>0.3666666666666667</c:v>
                </c:pt>
                <c:pt idx="89">
                  <c:v>0.37083333333333335</c:v>
                </c:pt>
                <c:pt idx="90">
                  <c:v>0.375</c:v>
                </c:pt>
                <c:pt idx="91">
                  <c:v>0.37916666666666665</c:v>
                </c:pt>
                <c:pt idx="92">
                  <c:v>0.3833333333333333</c:v>
                </c:pt>
                <c:pt idx="93">
                  <c:v>0.38750000000000001</c:v>
                </c:pt>
                <c:pt idx="94">
                  <c:v>0.39166666666666666</c:v>
                </c:pt>
                <c:pt idx="95">
                  <c:v>0.39583333333333331</c:v>
                </c:pt>
                <c:pt idx="96">
                  <c:v>0.39999999999999997</c:v>
                </c:pt>
                <c:pt idx="97">
                  <c:v>0.40416666666666662</c:v>
                </c:pt>
                <c:pt idx="98">
                  <c:v>0.40833333333333338</c:v>
                </c:pt>
                <c:pt idx="99">
                  <c:v>0.41250000000000003</c:v>
                </c:pt>
                <c:pt idx="100">
                  <c:v>0.41666666666666669</c:v>
                </c:pt>
                <c:pt idx="101">
                  <c:v>0.42083333333333334</c:v>
                </c:pt>
                <c:pt idx="102">
                  <c:v>0.42499999999999999</c:v>
                </c:pt>
                <c:pt idx="103">
                  <c:v>0.4291666666666667</c:v>
                </c:pt>
                <c:pt idx="104">
                  <c:v>0.43333333333333335</c:v>
                </c:pt>
                <c:pt idx="105">
                  <c:v>0.4375</c:v>
                </c:pt>
                <c:pt idx="106">
                  <c:v>0.44166666666666665</c:v>
                </c:pt>
                <c:pt idx="107">
                  <c:v>0.4458333333333333</c:v>
                </c:pt>
                <c:pt idx="108">
                  <c:v>0.45</c:v>
                </c:pt>
                <c:pt idx="109">
                  <c:v>0.45416666666666666</c:v>
                </c:pt>
                <c:pt idx="110">
                  <c:v>0.45833333333333331</c:v>
                </c:pt>
                <c:pt idx="111">
                  <c:v>0.46249999999999997</c:v>
                </c:pt>
                <c:pt idx="112">
                  <c:v>0.46666666666666662</c:v>
                </c:pt>
                <c:pt idx="113">
                  <c:v>0.47083333333333338</c:v>
                </c:pt>
                <c:pt idx="114">
                  <c:v>0.47500000000000003</c:v>
                </c:pt>
                <c:pt idx="115">
                  <c:v>0.47916666666666669</c:v>
                </c:pt>
                <c:pt idx="116">
                  <c:v>0.48333333333333334</c:v>
                </c:pt>
                <c:pt idx="117">
                  <c:v>0.48749999999999999</c:v>
                </c:pt>
                <c:pt idx="118">
                  <c:v>0.4916666666666667</c:v>
                </c:pt>
                <c:pt idx="119">
                  <c:v>0.49583333333333335</c:v>
                </c:pt>
                <c:pt idx="120">
                  <c:v>0.5</c:v>
                </c:pt>
                <c:pt idx="121">
                  <c:v>0.50416666666666665</c:v>
                </c:pt>
                <c:pt idx="122">
                  <c:v>0.5083333333333333</c:v>
                </c:pt>
                <c:pt idx="123">
                  <c:v>0.51250000000000007</c:v>
                </c:pt>
                <c:pt idx="124">
                  <c:v>0.51666666666666672</c:v>
                </c:pt>
                <c:pt idx="125">
                  <c:v>0.52083333333333337</c:v>
                </c:pt>
                <c:pt idx="126">
                  <c:v>0.52500000000000002</c:v>
                </c:pt>
                <c:pt idx="127">
                  <c:v>0.52916666666666667</c:v>
                </c:pt>
                <c:pt idx="128">
                  <c:v>0.53333333333333333</c:v>
                </c:pt>
                <c:pt idx="129">
                  <c:v>0.53749999999999998</c:v>
                </c:pt>
                <c:pt idx="130">
                  <c:v>0.54166666666666663</c:v>
                </c:pt>
                <c:pt idx="131">
                  <c:v>0.54583333333333328</c:v>
                </c:pt>
                <c:pt idx="132">
                  <c:v>0.54999999999999993</c:v>
                </c:pt>
                <c:pt idx="133">
                  <c:v>0.5541666666666667</c:v>
                </c:pt>
                <c:pt idx="134">
                  <c:v>0.55833333333333335</c:v>
                </c:pt>
                <c:pt idx="135">
                  <c:v>0.5625</c:v>
                </c:pt>
                <c:pt idx="136">
                  <c:v>0.56666666666666665</c:v>
                </c:pt>
                <c:pt idx="137">
                  <c:v>0.5708333333333333</c:v>
                </c:pt>
                <c:pt idx="138">
                  <c:v>0.57500000000000007</c:v>
                </c:pt>
                <c:pt idx="139">
                  <c:v>0.57916666666666672</c:v>
                </c:pt>
                <c:pt idx="140">
                  <c:v>0.58333333333333337</c:v>
                </c:pt>
                <c:pt idx="141">
                  <c:v>0.58750000000000002</c:v>
                </c:pt>
                <c:pt idx="142">
                  <c:v>0.59166666666666667</c:v>
                </c:pt>
                <c:pt idx="143">
                  <c:v>0.59583333333333333</c:v>
                </c:pt>
                <c:pt idx="144">
                  <c:v>0.6</c:v>
                </c:pt>
                <c:pt idx="145">
                  <c:v>0.60416666666666663</c:v>
                </c:pt>
                <c:pt idx="146">
                  <c:v>0.60833333333333328</c:v>
                </c:pt>
                <c:pt idx="147">
                  <c:v>0.61249999999999993</c:v>
                </c:pt>
                <c:pt idx="148">
                  <c:v>0.6166666666666667</c:v>
                </c:pt>
                <c:pt idx="149">
                  <c:v>0.62083333333333335</c:v>
                </c:pt>
                <c:pt idx="150">
                  <c:v>0.625</c:v>
                </c:pt>
                <c:pt idx="151">
                  <c:v>0.62916666666666665</c:v>
                </c:pt>
                <c:pt idx="152">
                  <c:v>0.6333333333333333</c:v>
                </c:pt>
                <c:pt idx="153">
                  <c:v>0.63750000000000007</c:v>
                </c:pt>
                <c:pt idx="154">
                  <c:v>0.64166666666666672</c:v>
                </c:pt>
                <c:pt idx="155">
                  <c:v>0.64583333333333337</c:v>
                </c:pt>
                <c:pt idx="156">
                  <c:v>0.65</c:v>
                </c:pt>
                <c:pt idx="157">
                  <c:v>0.65416666666666667</c:v>
                </c:pt>
                <c:pt idx="158">
                  <c:v>0.65833333333333333</c:v>
                </c:pt>
                <c:pt idx="159">
                  <c:v>0.66249999999999998</c:v>
                </c:pt>
                <c:pt idx="160">
                  <c:v>0.66666666666666663</c:v>
                </c:pt>
                <c:pt idx="161">
                  <c:v>0.67083333333333339</c:v>
                </c:pt>
                <c:pt idx="162">
                  <c:v>0.67499999999999993</c:v>
                </c:pt>
                <c:pt idx="163">
                  <c:v>0.6791666666666667</c:v>
                </c:pt>
                <c:pt idx="164">
                  <c:v>0.68333333333333324</c:v>
                </c:pt>
                <c:pt idx="165">
                  <c:v>0.6875</c:v>
                </c:pt>
                <c:pt idx="166">
                  <c:v>0.69166666666666676</c:v>
                </c:pt>
                <c:pt idx="167">
                  <c:v>0.6958333333333333</c:v>
                </c:pt>
                <c:pt idx="168">
                  <c:v>0.70000000000000007</c:v>
                </c:pt>
                <c:pt idx="169">
                  <c:v>0.70416666666666661</c:v>
                </c:pt>
                <c:pt idx="170">
                  <c:v>0.70833333333333337</c:v>
                </c:pt>
                <c:pt idx="171">
                  <c:v>0.71250000000000002</c:v>
                </c:pt>
                <c:pt idx="172">
                  <c:v>0.71666666666666667</c:v>
                </c:pt>
                <c:pt idx="173">
                  <c:v>0.72083333333333333</c:v>
                </c:pt>
                <c:pt idx="174">
                  <c:v>0.72499999999999998</c:v>
                </c:pt>
                <c:pt idx="175">
                  <c:v>0.72916666666666663</c:v>
                </c:pt>
                <c:pt idx="176">
                  <c:v>0.73333333333333339</c:v>
                </c:pt>
                <c:pt idx="177">
                  <c:v>0.73749999999999993</c:v>
                </c:pt>
                <c:pt idx="178">
                  <c:v>0.7416666666666667</c:v>
                </c:pt>
                <c:pt idx="179">
                  <c:v>0.74583333333333324</c:v>
                </c:pt>
                <c:pt idx="180">
                  <c:v>0.75</c:v>
                </c:pt>
                <c:pt idx="181">
                  <c:v>0.75416666666666676</c:v>
                </c:pt>
                <c:pt idx="182">
                  <c:v>0.7583333333333333</c:v>
                </c:pt>
                <c:pt idx="183">
                  <c:v>0.76250000000000007</c:v>
                </c:pt>
                <c:pt idx="184">
                  <c:v>0.76666666666666661</c:v>
                </c:pt>
                <c:pt idx="185">
                  <c:v>0.77083333333333337</c:v>
                </c:pt>
                <c:pt idx="186">
                  <c:v>0.77500000000000002</c:v>
                </c:pt>
                <c:pt idx="187">
                  <c:v>0.77916666666666667</c:v>
                </c:pt>
                <c:pt idx="188">
                  <c:v>0.78333333333333333</c:v>
                </c:pt>
                <c:pt idx="189">
                  <c:v>0.78749999999999998</c:v>
                </c:pt>
                <c:pt idx="190">
                  <c:v>0.79166666666666663</c:v>
                </c:pt>
                <c:pt idx="191">
                  <c:v>0.79583333333333339</c:v>
                </c:pt>
                <c:pt idx="192">
                  <c:v>0.79999999999999993</c:v>
                </c:pt>
                <c:pt idx="193">
                  <c:v>0.8041666666666667</c:v>
                </c:pt>
                <c:pt idx="194">
                  <c:v>0.80833333333333324</c:v>
                </c:pt>
                <c:pt idx="195">
                  <c:v>0.8125</c:v>
                </c:pt>
                <c:pt idx="196">
                  <c:v>0.81666666666666676</c:v>
                </c:pt>
                <c:pt idx="197">
                  <c:v>0.8208333333333333</c:v>
                </c:pt>
                <c:pt idx="198">
                  <c:v>0.82500000000000007</c:v>
                </c:pt>
                <c:pt idx="199">
                  <c:v>0.82916666666666661</c:v>
                </c:pt>
                <c:pt idx="200">
                  <c:v>0.83333333333333337</c:v>
                </c:pt>
                <c:pt idx="201">
                  <c:v>0.83750000000000002</c:v>
                </c:pt>
                <c:pt idx="202">
                  <c:v>0.84166666666666667</c:v>
                </c:pt>
                <c:pt idx="203">
                  <c:v>0.84583333333333333</c:v>
                </c:pt>
                <c:pt idx="204">
                  <c:v>0.85</c:v>
                </c:pt>
                <c:pt idx="205">
                  <c:v>0.85416666666666663</c:v>
                </c:pt>
                <c:pt idx="206">
                  <c:v>0.85833333333333339</c:v>
                </c:pt>
                <c:pt idx="207">
                  <c:v>0.86249999999999993</c:v>
                </c:pt>
                <c:pt idx="208">
                  <c:v>0.8666666666666667</c:v>
                </c:pt>
                <c:pt idx="209">
                  <c:v>0.87083333333333324</c:v>
                </c:pt>
                <c:pt idx="210">
                  <c:v>0.875</c:v>
                </c:pt>
                <c:pt idx="211">
                  <c:v>0.87916666666666676</c:v>
                </c:pt>
                <c:pt idx="212">
                  <c:v>0.8833333333333333</c:v>
                </c:pt>
                <c:pt idx="213">
                  <c:v>0.88750000000000007</c:v>
                </c:pt>
                <c:pt idx="214">
                  <c:v>0.89166666666666661</c:v>
                </c:pt>
                <c:pt idx="215">
                  <c:v>0.89583333333333337</c:v>
                </c:pt>
                <c:pt idx="216">
                  <c:v>0.9</c:v>
                </c:pt>
                <c:pt idx="217">
                  <c:v>0.90416666666666667</c:v>
                </c:pt>
                <c:pt idx="218">
                  <c:v>0.90833333333333333</c:v>
                </c:pt>
                <c:pt idx="219">
                  <c:v>0.91249999999999998</c:v>
                </c:pt>
                <c:pt idx="220">
                  <c:v>0.91666666666666663</c:v>
                </c:pt>
                <c:pt idx="221">
                  <c:v>0.92083333333333339</c:v>
                </c:pt>
                <c:pt idx="222">
                  <c:v>0.92499999999999993</c:v>
                </c:pt>
                <c:pt idx="223">
                  <c:v>0.9291666666666667</c:v>
                </c:pt>
                <c:pt idx="224">
                  <c:v>0.93333333333333324</c:v>
                </c:pt>
                <c:pt idx="225">
                  <c:v>0.9375</c:v>
                </c:pt>
                <c:pt idx="226">
                  <c:v>0.94166666666666676</c:v>
                </c:pt>
                <c:pt idx="227">
                  <c:v>0.9458333333333333</c:v>
                </c:pt>
                <c:pt idx="228">
                  <c:v>0.95000000000000007</c:v>
                </c:pt>
                <c:pt idx="229">
                  <c:v>0.95416666666666661</c:v>
                </c:pt>
                <c:pt idx="230">
                  <c:v>0.95833333333333337</c:v>
                </c:pt>
                <c:pt idx="231">
                  <c:v>0.96250000000000002</c:v>
                </c:pt>
                <c:pt idx="232">
                  <c:v>0.96666666666666667</c:v>
                </c:pt>
                <c:pt idx="233">
                  <c:v>0.97083333333333333</c:v>
                </c:pt>
                <c:pt idx="234">
                  <c:v>0.97499999999999998</c:v>
                </c:pt>
                <c:pt idx="235">
                  <c:v>0.97916666666666663</c:v>
                </c:pt>
                <c:pt idx="236">
                  <c:v>0.98333333333333339</c:v>
                </c:pt>
                <c:pt idx="237">
                  <c:v>0.98749999999999993</c:v>
                </c:pt>
                <c:pt idx="238">
                  <c:v>0.9916666666666667</c:v>
                </c:pt>
                <c:pt idx="239">
                  <c:v>0.99583333333333324</c:v>
                </c:pt>
                <c:pt idx="240">
                  <c:v>1</c:v>
                </c:pt>
              </c:numCache>
            </c:numRef>
          </c:xVal>
          <c:yVal>
            <c:numRef>
              <c:f>Precip_YHD5!$C$3:$C$243</c:f>
              <c:numCache>
                <c:formatCode>General</c:formatCode>
                <c:ptCount val="241"/>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c:v>
                </c:pt>
                <c:pt idx="76">
                  <c:v>0</c:v>
                </c:pt>
                <c:pt idx="77">
                  <c:v>0</c:v>
                </c:pt>
                <c:pt idx="78">
                  <c:v>0</c:v>
                </c:pt>
                <c:pt idx="79">
                  <c:v>0</c:v>
                </c:pt>
                <c:pt idx="80">
                  <c:v>0</c:v>
                </c:pt>
                <c:pt idx="81">
                  <c:v>0</c:v>
                </c:pt>
                <c:pt idx="82">
                  <c:v>0</c:v>
                </c:pt>
                <c:pt idx="83">
                  <c:v>0</c:v>
                </c:pt>
                <c:pt idx="84">
                  <c:v>0</c:v>
                </c:pt>
                <c:pt idx="85">
                  <c:v>0</c:v>
                </c:pt>
                <c:pt idx="86">
                  <c:v>0</c:v>
                </c:pt>
                <c:pt idx="87">
                  <c:v>0</c:v>
                </c:pt>
                <c:pt idx="88">
                  <c:v>0</c:v>
                </c:pt>
                <c:pt idx="89">
                  <c:v>0</c:v>
                </c:pt>
                <c:pt idx="90">
                  <c:v>0</c:v>
                </c:pt>
                <c:pt idx="91">
                  <c:v>0</c:v>
                </c:pt>
                <c:pt idx="92">
                  <c:v>0</c:v>
                </c:pt>
                <c:pt idx="93">
                  <c:v>0</c:v>
                </c:pt>
                <c:pt idx="94">
                  <c:v>0</c:v>
                </c:pt>
                <c:pt idx="95">
                  <c:v>0</c:v>
                </c:pt>
                <c:pt idx="96">
                  <c:v>0</c:v>
                </c:pt>
                <c:pt idx="97">
                  <c:v>0</c:v>
                </c:pt>
                <c:pt idx="98">
                  <c:v>0</c:v>
                </c:pt>
                <c:pt idx="99">
                  <c:v>0.01</c:v>
                </c:pt>
                <c:pt idx="100">
                  <c:v>0.01</c:v>
                </c:pt>
                <c:pt idx="101">
                  <c:v>0.01</c:v>
                </c:pt>
                <c:pt idx="102">
                  <c:v>0.01</c:v>
                </c:pt>
                <c:pt idx="103">
                  <c:v>0.01</c:v>
                </c:pt>
                <c:pt idx="104">
                  <c:v>0.01</c:v>
                </c:pt>
                <c:pt idx="105">
                  <c:v>0.01</c:v>
                </c:pt>
                <c:pt idx="106">
                  <c:v>0.01</c:v>
                </c:pt>
                <c:pt idx="107">
                  <c:v>0.01</c:v>
                </c:pt>
                <c:pt idx="108">
                  <c:v>0.01</c:v>
                </c:pt>
                <c:pt idx="109">
                  <c:v>0.01</c:v>
                </c:pt>
                <c:pt idx="110">
                  <c:v>0.02</c:v>
                </c:pt>
                <c:pt idx="111">
                  <c:v>0.02</c:v>
                </c:pt>
                <c:pt idx="112">
                  <c:v>0.02</c:v>
                </c:pt>
                <c:pt idx="113">
                  <c:v>0.03</c:v>
                </c:pt>
                <c:pt idx="114">
                  <c:v>0.03</c:v>
                </c:pt>
                <c:pt idx="115">
                  <c:v>0.04</c:v>
                </c:pt>
                <c:pt idx="116">
                  <c:v>0.06</c:v>
                </c:pt>
                <c:pt idx="117">
                  <c:v>7.0000000000000007E-2</c:v>
                </c:pt>
                <c:pt idx="118">
                  <c:v>0.09</c:v>
                </c:pt>
                <c:pt idx="119">
                  <c:v>7.0000000000000007E-2</c:v>
                </c:pt>
                <c:pt idx="120">
                  <c:v>0.18</c:v>
                </c:pt>
                <c:pt idx="121">
                  <c:v>0.35</c:v>
                </c:pt>
                <c:pt idx="122">
                  <c:v>0.13</c:v>
                </c:pt>
                <c:pt idx="123">
                  <c:v>0.08</c:v>
                </c:pt>
                <c:pt idx="124">
                  <c:v>0.11</c:v>
                </c:pt>
                <c:pt idx="125">
                  <c:v>0.1</c:v>
                </c:pt>
                <c:pt idx="126">
                  <c:v>0.06</c:v>
                </c:pt>
                <c:pt idx="127">
                  <c:v>0.05</c:v>
                </c:pt>
                <c:pt idx="128">
                  <c:v>0.05</c:v>
                </c:pt>
                <c:pt idx="129">
                  <c:v>0.05</c:v>
                </c:pt>
                <c:pt idx="130">
                  <c:v>0.04</c:v>
                </c:pt>
                <c:pt idx="131">
                  <c:v>0.03</c:v>
                </c:pt>
                <c:pt idx="132">
                  <c:v>0.03</c:v>
                </c:pt>
                <c:pt idx="133">
                  <c:v>0.03</c:v>
                </c:pt>
                <c:pt idx="134">
                  <c:v>0.03</c:v>
                </c:pt>
                <c:pt idx="135">
                  <c:v>0.03</c:v>
                </c:pt>
                <c:pt idx="136">
                  <c:v>0.02</c:v>
                </c:pt>
                <c:pt idx="137">
                  <c:v>0.02</c:v>
                </c:pt>
                <c:pt idx="138">
                  <c:v>0.02</c:v>
                </c:pt>
                <c:pt idx="139">
                  <c:v>0.02</c:v>
                </c:pt>
                <c:pt idx="140">
                  <c:v>0.02</c:v>
                </c:pt>
                <c:pt idx="141">
                  <c:v>0.02</c:v>
                </c:pt>
                <c:pt idx="142">
                  <c:v>0.02</c:v>
                </c:pt>
                <c:pt idx="143">
                  <c:v>0.02</c:v>
                </c:pt>
                <c:pt idx="144">
                  <c:v>0.02</c:v>
                </c:pt>
                <c:pt idx="145">
                  <c:v>0.02</c:v>
                </c:pt>
                <c:pt idx="146">
                  <c:v>0.01</c:v>
                </c:pt>
                <c:pt idx="147">
                  <c:v>0.01</c:v>
                </c:pt>
                <c:pt idx="148">
                  <c:v>0.01</c:v>
                </c:pt>
                <c:pt idx="149">
                  <c:v>0.01</c:v>
                </c:pt>
                <c:pt idx="150">
                  <c:v>0.01</c:v>
                </c:pt>
                <c:pt idx="151">
                  <c:v>0.01</c:v>
                </c:pt>
                <c:pt idx="152">
                  <c:v>0.01</c:v>
                </c:pt>
                <c:pt idx="153">
                  <c:v>0.01</c:v>
                </c:pt>
                <c:pt idx="154">
                  <c:v>0.01</c:v>
                </c:pt>
                <c:pt idx="155">
                  <c:v>0.01</c:v>
                </c:pt>
                <c:pt idx="156">
                  <c:v>0.01</c:v>
                </c:pt>
                <c:pt idx="157">
                  <c:v>0.01</c:v>
                </c:pt>
                <c:pt idx="158">
                  <c:v>0.01</c:v>
                </c:pt>
                <c:pt idx="159">
                  <c:v>0.01</c:v>
                </c:pt>
                <c:pt idx="160">
                  <c:v>0.01</c:v>
                </c:pt>
                <c:pt idx="161">
                  <c:v>0.01</c:v>
                </c:pt>
                <c:pt idx="162">
                  <c:v>0.01</c:v>
                </c:pt>
                <c:pt idx="163">
                  <c:v>0.01</c:v>
                </c:pt>
                <c:pt idx="164">
                  <c:v>0.01</c:v>
                </c:pt>
                <c:pt idx="165">
                  <c:v>0.01</c:v>
                </c:pt>
                <c:pt idx="166">
                  <c:v>0.01</c:v>
                </c:pt>
                <c:pt idx="167">
                  <c:v>0.01</c:v>
                </c:pt>
                <c:pt idx="168">
                  <c:v>0.01</c:v>
                </c:pt>
                <c:pt idx="169">
                  <c:v>0.01</c:v>
                </c:pt>
                <c:pt idx="170">
                  <c:v>0.01</c:v>
                </c:pt>
                <c:pt idx="171">
                  <c:v>0.01</c:v>
                </c:pt>
                <c:pt idx="172">
                  <c:v>0.01</c:v>
                </c:pt>
                <c:pt idx="173">
                  <c:v>0.01</c:v>
                </c:pt>
                <c:pt idx="174">
                  <c:v>0.01</c:v>
                </c:pt>
                <c:pt idx="175">
                  <c:v>0.01</c:v>
                </c:pt>
                <c:pt idx="176">
                  <c:v>0.01</c:v>
                </c:pt>
                <c:pt idx="177">
                  <c:v>0.01</c:v>
                </c:pt>
                <c:pt idx="178">
                  <c:v>0.01</c:v>
                </c:pt>
                <c:pt idx="179">
                  <c:v>0.01</c:v>
                </c:pt>
                <c:pt idx="180">
                  <c:v>0.01</c:v>
                </c:pt>
                <c:pt idx="181">
                  <c:v>0.01</c:v>
                </c:pt>
                <c:pt idx="182">
                  <c:v>0.01</c:v>
                </c:pt>
                <c:pt idx="183">
                  <c:v>0.01</c:v>
                </c:pt>
                <c:pt idx="184">
                  <c:v>0.01</c:v>
                </c:pt>
                <c:pt idx="185">
                  <c:v>0.01</c:v>
                </c:pt>
                <c:pt idx="186">
                  <c:v>0.01</c:v>
                </c:pt>
                <c:pt idx="187">
                  <c:v>0.01</c:v>
                </c:pt>
                <c:pt idx="188">
                  <c:v>0.01</c:v>
                </c:pt>
                <c:pt idx="189">
                  <c:v>0.01</c:v>
                </c:pt>
                <c:pt idx="190">
                  <c:v>0.01</c:v>
                </c:pt>
                <c:pt idx="191">
                  <c:v>0.01</c:v>
                </c:pt>
                <c:pt idx="192">
                  <c:v>0.01</c:v>
                </c:pt>
                <c:pt idx="193">
                  <c:v>0.01</c:v>
                </c:pt>
                <c:pt idx="194">
                  <c:v>0.01</c:v>
                </c:pt>
                <c:pt idx="195">
                  <c:v>0.01</c:v>
                </c:pt>
                <c:pt idx="196">
                  <c:v>0.01</c:v>
                </c:pt>
                <c:pt idx="197">
                  <c:v>0.01</c:v>
                </c:pt>
                <c:pt idx="198">
                  <c:v>0.01</c:v>
                </c:pt>
                <c:pt idx="199">
                  <c:v>0.01</c:v>
                </c:pt>
                <c:pt idx="200">
                  <c:v>0.01</c:v>
                </c:pt>
                <c:pt idx="201">
                  <c:v>0.01</c:v>
                </c:pt>
                <c:pt idx="202">
                  <c:v>0.01</c:v>
                </c:pt>
                <c:pt idx="203">
                  <c:v>0.01</c:v>
                </c:pt>
                <c:pt idx="204">
                  <c:v>0</c:v>
                </c:pt>
                <c:pt idx="205">
                  <c:v>0</c:v>
                </c:pt>
                <c:pt idx="206">
                  <c:v>0</c:v>
                </c:pt>
                <c:pt idx="207">
                  <c:v>0</c:v>
                </c:pt>
                <c:pt idx="208">
                  <c:v>0</c:v>
                </c:pt>
                <c:pt idx="209">
                  <c:v>0</c:v>
                </c:pt>
                <c:pt idx="210">
                  <c:v>0</c:v>
                </c:pt>
                <c:pt idx="211">
                  <c:v>0</c:v>
                </c:pt>
                <c:pt idx="212">
                  <c:v>0</c:v>
                </c:pt>
                <c:pt idx="213">
                  <c:v>0</c:v>
                </c:pt>
                <c:pt idx="214">
                  <c:v>0</c:v>
                </c:pt>
                <c:pt idx="215">
                  <c:v>0</c:v>
                </c:pt>
                <c:pt idx="216">
                  <c:v>0</c:v>
                </c:pt>
                <c:pt idx="217">
                  <c:v>0</c:v>
                </c:pt>
                <c:pt idx="218">
                  <c:v>0</c:v>
                </c:pt>
                <c:pt idx="219">
                  <c:v>0</c:v>
                </c:pt>
                <c:pt idx="220">
                  <c:v>0</c:v>
                </c:pt>
                <c:pt idx="221">
                  <c:v>0</c:v>
                </c:pt>
                <c:pt idx="222">
                  <c:v>0</c:v>
                </c:pt>
                <c:pt idx="223">
                  <c:v>0</c:v>
                </c:pt>
                <c:pt idx="224">
                  <c:v>0</c:v>
                </c:pt>
                <c:pt idx="225">
                  <c:v>0</c:v>
                </c:pt>
                <c:pt idx="226">
                  <c:v>0</c:v>
                </c:pt>
                <c:pt idx="227">
                  <c:v>0</c:v>
                </c:pt>
                <c:pt idx="228">
                  <c:v>0</c:v>
                </c:pt>
                <c:pt idx="229">
                  <c:v>0</c:v>
                </c:pt>
                <c:pt idx="230">
                  <c:v>0</c:v>
                </c:pt>
                <c:pt idx="231">
                  <c:v>0</c:v>
                </c:pt>
                <c:pt idx="232">
                  <c:v>0</c:v>
                </c:pt>
                <c:pt idx="233">
                  <c:v>0</c:v>
                </c:pt>
                <c:pt idx="234">
                  <c:v>0</c:v>
                </c:pt>
                <c:pt idx="235">
                  <c:v>0</c:v>
                </c:pt>
                <c:pt idx="236">
                  <c:v>0</c:v>
                </c:pt>
                <c:pt idx="237">
                  <c:v>0</c:v>
                </c:pt>
                <c:pt idx="238">
                  <c:v>0</c:v>
                </c:pt>
                <c:pt idx="239">
                  <c:v>0</c:v>
                </c:pt>
                <c:pt idx="240">
                  <c:v>0</c:v>
                </c:pt>
              </c:numCache>
            </c:numRef>
          </c:yVal>
          <c:smooth val="1"/>
          <c:extLst xmlns:c16r2="http://schemas.microsoft.com/office/drawing/2015/06/chart">
            <c:ext xmlns:c16="http://schemas.microsoft.com/office/drawing/2014/chart" uri="{C3380CC4-5D6E-409C-BE32-E72D297353CC}">
              <c16:uniqueId val="{00000004-A397-4565-8D55-63F05AA4FE1C}"/>
            </c:ext>
          </c:extLst>
        </c:ser>
        <c:ser>
          <c:idx val="0"/>
          <c:order val="5"/>
          <c:tx>
            <c:v>10 Percent Annual Chance</c:v>
          </c:tx>
          <c:spPr>
            <a:ln>
              <a:solidFill>
                <a:srgbClr val="33CC33"/>
              </a:solidFill>
            </a:ln>
          </c:spPr>
          <c:marker>
            <c:symbol val="none"/>
          </c:marker>
          <c:xVal>
            <c:numRef>
              <c:f>Precip_YHD5!$A$3:$A$243</c:f>
              <c:numCache>
                <c:formatCode>h:mm;@</c:formatCode>
                <c:ptCount val="241"/>
                <c:pt idx="0">
                  <c:v>0</c:v>
                </c:pt>
                <c:pt idx="1">
                  <c:v>4.1666666666666666E-3</c:v>
                </c:pt>
                <c:pt idx="2">
                  <c:v>8.3333333333333332E-3</c:v>
                </c:pt>
                <c:pt idx="3">
                  <c:v>1.2499999999999999E-2</c:v>
                </c:pt>
                <c:pt idx="4">
                  <c:v>1.6666666666666666E-2</c:v>
                </c:pt>
                <c:pt idx="5">
                  <c:v>2.0833333333333332E-2</c:v>
                </c:pt>
                <c:pt idx="6">
                  <c:v>2.4999999999999998E-2</c:v>
                </c:pt>
                <c:pt idx="7">
                  <c:v>2.9166666666666664E-2</c:v>
                </c:pt>
                <c:pt idx="8">
                  <c:v>3.3333333333333333E-2</c:v>
                </c:pt>
                <c:pt idx="9">
                  <c:v>3.7499999999999999E-2</c:v>
                </c:pt>
                <c:pt idx="10">
                  <c:v>4.1666666666666664E-2</c:v>
                </c:pt>
                <c:pt idx="11">
                  <c:v>4.5833333333333337E-2</c:v>
                </c:pt>
                <c:pt idx="12">
                  <c:v>4.9999999999999996E-2</c:v>
                </c:pt>
                <c:pt idx="13">
                  <c:v>5.4166666666666669E-2</c:v>
                </c:pt>
                <c:pt idx="14">
                  <c:v>5.8333333333333327E-2</c:v>
                </c:pt>
                <c:pt idx="15">
                  <c:v>6.25E-2</c:v>
                </c:pt>
                <c:pt idx="16">
                  <c:v>6.6666666666666666E-2</c:v>
                </c:pt>
                <c:pt idx="17">
                  <c:v>7.0833333333333331E-2</c:v>
                </c:pt>
                <c:pt idx="18">
                  <c:v>7.4999999999999997E-2</c:v>
                </c:pt>
                <c:pt idx="19">
                  <c:v>7.9166666666666663E-2</c:v>
                </c:pt>
                <c:pt idx="20">
                  <c:v>8.3333333333333329E-2</c:v>
                </c:pt>
                <c:pt idx="21">
                  <c:v>8.7500000000000008E-2</c:v>
                </c:pt>
                <c:pt idx="22">
                  <c:v>9.1666666666666674E-2</c:v>
                </c:pt>
                <c:pt idx="23">
                  <c:v>9.5833333333333326E-2</c:v>
                </c:pt>
                <c:pt idx="24">
                  <c:v>9.9999999999999992E-2</c:v>
                </c:pt>
                <c:pt idx="25">
                  <c:v>0.10416666666666667</c:v>
                </c:pt>
                <c:pt idx="26">
                  <c:v>0.10833333333333334</c:v>
                </c:pt>
                <c:pt idx="27">
                  <c:v>0.1125</c:v>
                </c:pt>
                <c:pt idx="28">
                  <c:v>0.11666666666666665</c:v>
                </c:pt>
                <c:pt idx="29">
                  <c:v>0.12083333333333333</c:v>
                </c:pt>
                <c:pt idx="30">
                  <c:v>0.125</c:v>
                </c:pt>
                <c:pt idx="31">
                  <c:v>0.12916666666666668</c:v>
                </c:pt>
                <c:pt idx="32">
                  <c:v>0.13333333333333333</c:v>
                </c:pt>
                <c:pt idx="33">
                  <c:v>0.13749999999999998</c:v>
                </c:pt>
                <c:pt idx="34">
                  <c:v>0.14166666666666666</c:v>
                </c:pt>
                <c:pt idx="35">
                  <c:v>0.14583333333333334</c:v>
                </c:pt>
                <c:pt idx="36">
                  <c:v>0.15</c:v>
                </c:pt>
                <c:pt idx="37">
                  <c:v>0.15416666666666667</c:v>
                </c:pt>
                <c:pt idx="38">
                  <c:v>0.15833333333333333</c:v>
                </c:pt>
                <c:pt idx="39">
                  <c:v>0.16250000000000001</c:v>
                </c:pt>
                <c:pt idx="40">
                  <c:v>0.16666666666666666</c:v>
                </c:pt>
                <c:pt idx="41">
                  <c:v>0.17083333333333331</c:v>
                </c:pt>
                <c:pt idx="42">
                  <c:v>0.17500000000000002</c:v>
                </c:pt>
                <c:pt idx="43">
                  <c:v>0.17916666666666667</c:v>
                </c:pt>
                <c:pt idx="44">
                  <c:v>0.18333333333333335</c:v>
                </c:pt>
                <c:pt idx="45">
                  <c:v>0.1875</c:v>
                </c:pt>
                <c:pt idx="46">
                  <c:v>0.19166666666666665</c:v>
                </c:pt>
                <c:pt idx="47">
                  <c:v>0.19583333333333333</c:v>
                </c:pt>
                <c:pt idx="48">
                  <c:v>0.19999999999999998</c:v>
                </c:pt>
                <c:pt idx="49">
                  <c:v>0.20416666666666669</c:v>
                </c:pt>
                <c:pt idx="50">
                  <c:v>0.20833333333333334</c:v>
                </c:pt>
                <c:pt idx="51">
                  <c:v>0.21249999999999999</c:v>
                </c:pt>
                <c:pt idx="52">
                  <c:v>0.21666666666666667</c:v>
                </c:pt>
                <c:pt idx="53">
                  <c:v>0.22083333333333333</c:v>
                </c:pt>
                <c:pt idx="54">
                  <c:v>0.22500000000000001</c:v>
                </c:pt>
                <c:pt idx="55">
                  <c:v>0.22916666666666666</c:v>
                </c:pt>
                <c:pt idx="56">
                  <c:v>0.23333333333333331</c:v>
                </c:pt>
                <c:pt idx="57">
                  <c:v>0.23750000000000002</c:v>
                </c:pt>
                <c:pt idx="58">
                  <c:v>0.24166666666666667</c:v>
                </c:pt>
                <c:pt idx="59">
                  <c:v>0.24583333333333335</c:v>
                </c:pt>
                <c:pt idx="60">
                  <c:v>0.25</c:v>
                </c:pt>
                <c:pt idx="61">
                  <c:v>0.25416666666666665</c:v>
                </c:pt>
                <c:pt idx="62">
                  <c:v>0.25833333333333336</c:v>
                </c:pt>
                <c:pt idx="63">
                  <c:v>0.26250000000000001</c:v>
                </c:pt>
                <c:pt idx="64">
                  <c:v>0.26666666666666666</c:v>
                </c:pt>
                <c:pt idx="65">
                  <c:v>0.27083333333333331</c:v>
                </c:pt>
                <c:pt idx="66">
                  <c:v>0.27499999999999997</c:v>
                </c:pt>
                <c:pt idx="67">
                  <c:v>0.27916666666666667</c:v>
                </c:pt>
                <c:pt idx="68">
                  <c:v>0.28333333333333333</c:v>
                </c:pt>
                <c:pt idx="69">
                  <c:v>0.28750000000000003</c:v>
                </c:pt>
                <c:pt idx="70">
                  <c:v>0.29166666666666669</c:v>
                </c:pt>
                <c:pt idx="71">
                  <c:v>0.29583333333333334</c:v>
                </c:pt>
                <c:pt idx="72">
                  <c:v>0.3</c:v>
                </c:pt>
                <c:pt idx="73">
                  <c:v>0.30416666666666664</c:v>
                </c:pt>
                <c:pt idx="74">
                  <c:v>0.30833333333333335</c:v>
                </c:pt>
                <c:pt idx="75">
                  <c:v>0.3125</c:v>
                </c:pt>
                <c:pt idx="76">
                  <c:v>0.31666666666666665</c:v>
                </c:pt>
                <c:pt idx="77">
                  <c:v>0.32083333333333336</c:v>
                </c:pt>
                <c:pt idx="78">
                  <c:v>0.32500000000000001</c:v>
                </c:pt>
                <c:pt idx="79">
                  <c:v>0.32916666666666666</c:v>
                </c:pt>
                <c:pt idx="80">
                  <c:v>0.33333333333333331</c:v>
                </c:pt>
                <c:pt idx="81">
                  <c:v>0.33749999999999997</c:v>
                </c:pt>
                <c:pt idx="82">
                  <c:v>0.34166666666666662</c:v>
                </c:pt>
                <c:pt idx="83">
                  <c:v>0.34583333333333338</c:v>
                </c:pt>
                <c:pt idx="84">
                  <c:v>0.35000000000000003</c:v>
                </c:pt>
                <c:pt idx="85">
                  <c:v>0.35416666666666669</c:v>
                </c:pt>
                <c:pt idx="86">
                  <c:v>0.35833333333333334</c:v>
                </c:pt>
                <c:pt idx="87">
                  <c:v>0.36249999999999999</c:v>
                </c:pt>
                <c:pt idx="88">
                  <c:v>0.3666666666666667</c:v>
                </c:pt>
                <c:pt idx="89">
                  <c:v>0.37083333333333335</c:v>
                </c:pt>
                <c:pt idx="90">
                  <c:v>0.375</c:v>
                </c:pt>
                <c:pt idx="91">
                  <c:v>0.37916666666666665</c:v>
                </c:pt>
                <c:pt idx="92">
                  <c:v>0.3833333333333333</c:v>
                </c:pt>
                <c:pt idx="93">
                  <c:v>0.38750000000000001</c:v>
                </c:pt>
                <c:pt idx="94">
                  <c:v>0.39166666666666666</c:v>
                </c:pt>
                <c:pt idx="95">
                  <c:v>0.39583333333333331</c:v>
                </c:pt>
                <c:pt idx="96">
                  <c:v>0.39999999999999997</c:v>
                </c:pt>
                <c:pt idx="97">
                  <c:v>0.40416666666666662</c:v>
                </c:pt>
                <c:pt idx="98">
                  <c:v>0.40833333333333338</c:v>
                </c:pt>
                <c:pt idx="99">
                  <c:v>0.41250000000000003</c:v>
                </c:pt>
                <c:pt idx="100">
                  <c:v>0.41666666666666669</c:v>
                </c:pt>
                <c:pt idx="101">
                  <c:v>0.42083333333333334</c:v>
                </c:pt>
                <c:pt idx="102">
                  <c:v>0.42499999999999999</c:v>
                </c:pt>
                <c:pt idx="103">
                  <c:v>0.4291666666666667</c:v>
                </c:pt>
                <c:pt idx="104">
                  <c:v>0.43333333333333335</c:v>
                </c:pt>
                <c:pt idx="105">
                  <c:v>0.4375</c:v>
                </c:pt>
                <c:pt idx="106">
                  <c:v>0.44166666666666665</c:v>
                </c:pt>
                <c:pt idx="107">
                  <c:v>0.4458333333333333</c:v>
                </c:pt>
                <c:pt idx="108">
                  <c:v>0.45</c:v>
                </c:pt>
                <c:pt idx="109">
                  <c:v>0.45416666666666666</c:v>
                </c:pt>
                <c:pt idx="110">
                  <c:v>0.45833333333333331</c:v>
                </c:pt>
                <c:pt idx="111">
                  <c:v>0.46249999999999997</c:v>
                </c:pt>
                <c:pt idx="112">
                  <c:v>0.46666666666666662</c:v>
                </c:pt>
                <c:pt idx="113">
                  <c:v>0.47083333333333338</c:v>
                </c:pt>
                <c:pt idx="114">
                  <c:v>0.47500000000000003</c:v>
                </c:pt>
                <c:pt idx="115">
                  <c:v>0.47916666666666669</c:v>
                </c:pt>
                <c:pt idx="116">
                  <c:v>0.48333333333333334</c:v>
                </c:pt>
                <c:pt idx="117">
                  <c:v>0.48749999999999999</c:v>
                </c:pt>
                <c:pt idx="118">
                  <c:v>0.4916666666666667</c:v>
                </c:pt>
                <c:pt idx="119">
                  <c:v>0.49583333333333335</c:v>
                </c:pt>
                <c:pt idx="120">
                  <c:v>0.5</c:v>
                </c:pt>
                <c:pt idx="121">
                  <c:v>0.50416666666666665</c:v>
                </c:pt>
                <c:pt idx="122">
                  <c:v>0.5083333333333333</c:v>
                </c:pt>
                <c:pt idx="123">
                  <c:v>0.51250000000000007</c:v>
                </c:pt>
                <c:pt idx="124">
                  <c:v>0.51666666666666672</c:v>
                </c:pt>
                <c:pt idx="125">
                  <c:v>0.52083333333333337</c:v>
                </c:pt>
                <c:pt idx="126">
                  <c:v>0.52500000000000002</c:v>
                </c:pt>
                <c:pt idx="127">
                  <c:v>0.52916666666666667</c:v>
                </c:pt>
                <c:pt idx="128">
                  <c:v>0.53333333333333333</c:v>
                </c:pt>
                <c:pt idx="129">
                  <c:v>0.53749999999999998</c:v>
                </c:pt>
                <c:pt idx="130">
                  <c:v>0.54166666666666663</c:v>
                </c:pt>
                <c:pt idx="131">
                  <c:v>0.54583333333333328</c:v>
                </c:pt>
                <c:pt idx="132">
                  <c:v>0.54999999999999993</c:v>
                </c:pt>
                <c:pt idx="133">
                  <c:v>0.5541666666666667</c:v>
                </c:pt>
                <c:pt idx="134">
                  <c:v>0.55833333333333335</c:v>
                </c:pt>
                <c:pt idx="135">
                  <c:v>0.5625</c:v>
                </c:pt>
                <c:pt idx="136">
                  <c:v>0.56666666666666665</c:v>
                </c:pt>
                <c:pt idx="137">
                  <c:v>0.5708333333333333</c:v>
                </c:pt>
                <c:pt idx="138">
                  <c:v>0.57500000000000007</c:v>
                </c:pt>
                <c:pt idx="139">
                  <c:v>0.57916666666666672</c:v>
                </c:pt>
                <c:pt idx="140">
                  <c:v>0.58333333333333337</c:v>
                </c:pt>
                <c:pt idx="141">
                  <c:v>0.58750000000000002</c:v>
                </c:pt>
                <c:pt idx="142">
                  <c:v>0.59166666666666667</c:v>
                </c:pt>
                <c:pt idx="143">
                  <c:v>0.59583333333333333</c:v>
                </c:pt>
                <c:pt idx="144">
                  <c:v>0.6</c:v>
                </c:pt>
                <c:pt idx="145">
                  <c:v>0.60416666666666663</c:v>
                </c:pt>
                <c:pt idx="146">
                  <c:v>0.60833333333333328</c:v>
                </c:pt>
                <c:pt idx="147">
                  <c:v>0.61249999999999993</c:v>
                </c:pt>
                <c:pt idx="148">
                  <c:v>0.6166666666666667</c:v>
                </c:pt>
                <c:pt idx="149">
                  <c:v>0.62083333333333335</c:v>
                </c:pt>
                <c:pt idx="150">
                  <c:v>0.625</c:v>
                </c:pt>
                <c:pt idx="151">
                  <c:v>0.62916666666666665</c:v>
                </c:pt>
                <c:pt idx="152">
                  <c:v>0.6333333333333333</c:v>
                </c:pt>
                <c:pt idx="153">
                  <c:v>0.63750000000000007</c:v>
                </c:pt>
                <c:pt idx="154">
                  <c:v>0.64166666666666672</c:v>
                </c:pt>
                <c:pt idx="155">
                  <c:v>0.64583333333333337</c:v>
                </c:pt>
                <c:pt idx="156">
                  <c:v>0.65</c:v>
                </c:pt>
                <c:pt idx="157">
                  <c:v>0.65416666666666667</c:v>
                </c:pt>
                <c:pt idx="158">
                  <c:v>0.65833333333333333</c:v>
                </c:pt>
                <c:pt idx="159">
                  <c:v>0.66249999999999998</c:v>
                </c:pt>
                <c:pt idx="160">
                  <c:v>0.66666666666666663</c:v>
                </c:pt>
                <c:pt idx="161">
                  <c:v>0.67083333333333339</c:v>
                </c:pt>
                <c:pt idx="162">
                  <c:v>0.67499999999999993</c:v>
                </c:pt>
                <c:pt idx="163">
                  <c:v>0.6791666666666667</c:v>
                </c:pt>
                <c:pt idx="164">
                  <c:v>0.68333333333333324</c:v>
                </c:pt>
                <c:pt idx="165">
                  <c:v>0.6875</c:v>
                </c:pt>
                <c:pt idx="166">
                  <c:v>0.69166666666666676</c:v>
                </c:pt>
                <c:pt idx="167">
                  <c:v>0.6958333333333333</c:v>
                </c:pt>
                <c:pt idx="168">
                  <c:v>0.70000000000000007</c:v>
                </c:pt>
                <c:pt idx="169">
                  <c:v>0.70416666666666661</c:v>
                </c:pt>
                <c:pt idx="170">
                  <c:v>0.70833333333333337</c:v>
                </c:pt>
                <c:pt idx="171">
                  <c:v>0.71250000000000002</c:v>
                </c:pt>
                <c:pt idx="172">
                  <c:v>0.71666666666666667</c:v>
                </c:pt>
                <c:pt idx="173">
                  <c:v>0.72083333333333333</c:v>
                </c:pt>
                <c:pt idx="174">
                  <c:v>0.72499999999999998</c:v>
                </c:pt>
                <c:pt idx="175">
                  <c:v>0.72916666666666663</c:v>
                </c:pt>
                <c:pt idx="176">
                  <c:v>0.73333333333333339</c:v>
                </c:pt>
                <c:pt idx="177">
                  <c:v>0.73749999999999993</c:v>
                </c:pt>
                <c:pt idx="178">
                  <c:v>0.7416666666666667</c:v>
                </c:pt>
                <c:pt idx="179">
                  <c:v>0.74583333333333324</c:v>
                </c:pt>
                <c:pt idx="180">
                  <c:v>0.75</c:v>
                </c:pt>
                <c:pt idx="181">
                  <c:v>0.75416666666666676</c:v>
                </c:pt>
                <c:pt idx="182">
                  <c:v>0.7583333333333333</c:v>
                </c:pt>
                <c:pt idx="183">
                  <c:v>0.76250000000000007</c:v>
                </c:pt>
                <c:pt idx="184">
                  <c:v>0.76666666666666661</c:v>
                </c:pt>
                <c:pt idx="185">
                  <c:v>0.77083333333333337</c:v>
                </c:pt>
                <c:pt idx="186">
                  <c:v>0.77500000000000002</c:v>
                </c:pt>
                <c:pt idx="187">
                  <c:v>0.77916666666666667</c:v>
                </c:pt>
                <c:pt idx="188">
                  <c:v>0.78333333333333333</c:v>
                </c:pt>
                <c:pt idx="189">
                  <c:v>0.78749999999999998</c:v>
                </c:pt>
                <c:pt idx="190">
                  <c:v>0.79166666666666663</c:v>
                </c:pt>
                <c:pt idx="191">
                  <c:v>0.79583333333333339</c:v>
                </c:pt>
                <c:pt idx="192">
                  <c:v>0.79999999999999993</c:v>
                </c:pt>
                <c:pt idx="193">
                  <c:v>0.8041666666666667</c:v>
                </c:pt>
                <c:pt idx="194">
                  <c:v>0.80833333333333324</c:v>
                </c:pt>
                <c:pt idx="195">
                  <c:v>0.8125</c:v>
                </c:pt>
                <c:pt idx="196">
                  <c:v>0.81666666666666676</c:v>
                </c:pt>
                <c:pt idx="197">
                  <c:v>0.8208333333333333</c:v>
                </c:pt>
                <c:pt idx="198">
                  <c:v>0.82500000000000007</c:v>
                </c:pt>
                <c:pt idx="199">
                  <c:v>0.82916666666666661</c:v>
                </c:pt>
                <c:pt idx="200">
                  <c:v>0.83333333333333337</c:v>
                </c:pt>
                <c:pt idx="201">
                  <c:v>0.83750000000000002</c:v>
                </c:pt>
                <c:pt idx="202">
                  <c:v>0.84166666666666667</c:v>
                </c:pt>
                <c:pt idx="203">
                  <c:v>0.84583333333333333</c:v>
                </c:pt>
                <c:pt idx="204">
                  <c:v>0.85</c:v>
                </c:pt>
                <c:pt idx="205">
                  <c:v>0.85416666666666663</c:v>
                </c:pt>
                <c:pt idx="206">
                  <c:v>0.85833333333333339</c:v>
                </c:pt>
                <c:pt idx="207">
                  <c:v>0.86249999999999993</c:v>
                </c:pt>
                <c:pt idx="208">
                  <c:v>0.8666666666666667</c:v>
                </c:pt>
                <c:pt idx="209">
                  <c:v>0.87083333333333324</c:v>
                </c:pt>
                <c:pt idx="210">
                  <c:v>0.875</c:v>
                </c:pt>
                <c:pt idx="211">
                  <c:v>0.87916666666666676</c:v>
                </c:pt>
                <c:pt idx="212">
                  <c:v>0.8833333333333333</c:v>
                </c:pt>
                <c:pt idx="213">
                  <c:v>0.88750000000000007</c:v>
                </c:pt>
                <c:pt idx="214">
                  <c:v>0.89166666666666661</c:v>
                </c:pt>
                <c:pt idx="215">
                  <c:v>0.89583333333333337</c:v>
                </c:pt>
                <c:pt idx="216">
                  <c:v>0.9</c:v>
                </c:pt>
                <c:pt idx="217">
                  <c:v>0.90416666666666667</c:v>
                </c:pt>
                <c:pt idx="218">
                  <c:v>0.90833333333333333</c:v>
                </c:pt>
                <c:pt idx="219">
                  <c:v>0.91249999999999998</c:v>
                </c:pt>
                <c:pt idx="220">
                  <c:v>0.91666666666666663</c:v>
                </c:pt>
                <c:pt idx="221">
                  <c:v>0.92083333333333339</c:v>
                </c:pt>
                <c:pt idx="222">
                  <c:v>0.92499999999999993</c:v>
                </c:pt>
                <c:pt idx="223">
                  <c:v>0.9291666666666667</c:v>
                </c:pt>
                <c:pt idx="224">
                  <c:v>0.93333333333333324</c:v>
                </c:pt>
                <c:pt idx="225">
                  <c:v>0.9375</c:v>
                </c:pt>
                <c:pt idx="226">
                  <c:v>0.94166666666666676</c:v>
                </c:pt>
                <c:pt idx="227">
                  <c:v>0.9458333333333333</c:v>
                </c:pt>
                <c:pt idx="228">
                  <c:v>0.95000000000000007</c:v>
                </c:pt>
                <c:pt idx="229">
                  <c:v>0.95416666666666661</c:v>
                </c:pt>
                <c:pt idx="230">
                  <c:v>0.95833333333333337</c:v>
                </c:pt>
                <c:pt idx="231">
                  <c:v>0.96250000000000002</c:v>
                </c:pt>
                <c:pt idx="232">
                  <c:v>0.96666666666666667</c:v>
                </c:pt>
                <c:pt idx="233">
                  <c:v>0.97083333333333333</c:v>
                </c:pt>
                <c:pt idx="234">
                  <c:v>0.97499999999999998</c:v>
                </c:pt>
                <c:pt idx="235">
                  <c:v>0.97916666666666663</c:v>
                </c:pt>
                <c:pt idx="236">
                  <c:v>0.98333333333333339</c:v>
                </c:pt>
                <c:pt idx="237">
                  <c:v>0.98749999999999993</c:v>
                </c:pt>
                <c:pt idx="238">
                  <c:v>0.9916666666666667</c:v>
                </c:pt>
                <c:pt idx="239">
                  <c:v>0.99583333333333324</c:v>
                </c:pt>
                <c:pt idx="240">
                  <c:v>1</c:v>
                </c:pt>
              </c:numCache>
            </c:numRef>
          </c:xVal>
          <c:yVal>
            <c:numRef>
              <c:f>Precip_YHD5!$B$3:$B$243</c:f>
              <c:numCache>
                <c:formatCode>General</c:formatCode>
                <c:ptCount val="241"/>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c:v>
                </c:pt>
                <c:pt idx="76">
                  <c:v>0</c:v>
                </c:pt>
                <c:pt idx="77">
                  <c:v>0</c:v>
                </c:pt>
                <c:pt idx="78">
                  <c:v>0</c:v>
                </c:pt>
                <c:pt idx="79">
                  <c:v>0</c:v>
                </c:pt>
                <c:pt idx="80">
                  <c:v>0</c:v>
                </c:pt>
                <c:pt idx="81">
                  <c:v>0</c:v>
                </c:pt>
                <c:pt idx="82">
                  <c:v>0</c:v>
                </c:pt>
                <c:pt idx="83">
                  <c:v>0</c:v>
                </c:pt>
                <c:pt idx="84">
                  <c:v>0</c:v>
                </c:pt>
                <c:pt idx="85">
                  <c:v>0</c:v>
                </c:pt>
                <c:pt idx="86">
                  <c:v>0</c:v>
                </c:pt>
                <c:pt idx="87">
                  <c:v>0</c:v>
                </c:pt>
                <c:pt idx="88">
                  <c:v>0</c:v>
                </c:pt>
                <c:pt idx="89">
                  <c:v>0</c:v>
                </c:pt>
                <c:pt idx="90">
                  <c:v>0</c:v>
                </c:pt>
                <c:pt idx="91">
                  <c:v>0</c:v>
                </c:pt>
                <c:pt idx="92">
                  <c:v>0</c:v>
                </c:pt>
                <c:pt idx="93">
                  <c:v>0</c:v>
                </c:pt>
                <c:pt idx="94">
                  <c:v>0</c:v>
                </c:pt>
                <c:pt idx="95">
                  <c:v>0</c:v>
                </c:pt>
                <c:pt idx="96">
                  <c:v>0</c:v>
                </c:pt>
                <c:pt idx="97">
                  <c:v>0</c:v>
                </c:pt>
                <c:pt idx="98">
                  <c:v>0</c:v>
                </c:pt>
                <c:pt idx="99">
                  <c:v>0</c:v>
                </c:pt>
                <c:pt idx="100">
                  <c:v>0</c:v>
                </c:pt>
                <c:pt idx="101">
                  <c:v>0</c:v>
                </c:pt>
                <c:pt idx="102">
                  <c:v>0</c:v>
                </c:pt>
                <c:pt idx="103">
                  <c:v>0</c:v>
                </c:pt>
                <c:pt idx="104">
                  <c:v>0</c:v>
                </c:pt>
                <c:pt idx="105">
                  <c:v>0</c:v>
                </c:pt>
                <c:pt idx="106">
                  <c:v>0.01</c:v>
                </c:pt>
                <c:pt idx="107">
                  <c:v>0.01</c:v>
                </c:pt>
                <c:pt idx="108">
                  <c:v>0.01</c:v>
                </c:pt>
                <c:pt idx="109">
                  <c:v>0.01</c:v>
                </c:pt>
                <c:pt idx="110">
                  <c:v>0.01</c:v>
                </c:pt>
                <c:pt idx="111">
                  <c:v>0.01</c:v>
                </c:pt>
                <c:pt idx="112">
                  <c:v>0.02</c:v>
                </c:pt>
                <c:pt idx="113">
                  <c:v>0.02</c:v>
                </c:pt>
                <c:pt idx="114">
                  <c:v>0.02</c:v>
                </c:pt>
                <c:pt idx="115">
                  <c:v>0.02</c:v>
                </c:pt>
                <c:pt idx="116">
                  <c:v>0.04</c:v>
                </c:pt>
                <c:pt idx="117">
                  <c:v>0.05</c:v>
                </c:pt>
                <c:pt idx="118">
                  <c:v>0.06</c:v>
                </c:pt>
                <c:pt idx="119">
                  <c:v>0.05</c:v>
                </c:pt>
                <c:pt idx="120">
                  <c:v>0.12</c:v>
                </c:pt>
                <c:pt idx="121">
                  <c:v>0.25</c:v>
                </c:pt>
                <c:pt idx="122">
                  <c:v>0.09</c:v>
                </c:pt>
                <c:pt idx="123">
                  <c:v>0.06</c:v>
                </c:pt>
                <c:pt idx="124">
                  <c:v>0.08</c:v>
                </c:pt>
                <c:pt idx="125">
                  <c:v>7.0000000000000007E-2</c:v>
                </c:pt>
                <c:pt idx="126">
                  <c:v>0.04</c:v>
                </c:pt>
                <c:pt idx="127">
                  <c:v>0.04</c:v>
                </c:pt>
                <c:pt idx="128">
                  <c:v>0.04</c:v>
                </c:pt>
                <c:pt idx="129">
                  <c:v>0.03</c:v>
                </c:pt>
                <c:pt idx="130">
                  <c:v>0.03</c:v>
                </c:pt>
                <c:pt idx="131">
                  <c:v>0.02</c:v>
                </c:pt>
                <c:pt idx="132">
                  <c:v>0.02</c:v>
                </c:pt>
                <c:pt idx="133">
                  <c:v>0.02</c:v>
                </c:pt>
                <c:pt idx="134">
                  <c:v>0.02</c:v>
                </c:pt>
                <c:pt idx="135">
                  <c:v>0.02</c:v>
                </c:pt>
                <c:pt idx="136">
                  <c:v>0.02</c:v>
                </c:pt>
                <c:pt idx="137">
                  <c:v>0.02</c:v>
                </c:pt>
                <c:pt idx="138">
                  <c:v>0.01</c:v>
                </c:pt>
                <c:pt idx="139">
                  <c:v>0.01</c:v>
                </c:pt>
                <c:pt idx="140">
                  <c:v>0.01</c:v>
                </c:pt>
                <c:pt idx="141">
                  <c:v>0.01</c:v>
                </c:pt>
                <c:pt idx="142">
                  <c:v>0.01</c:v>
                </c:pt>
                <c:pt idx="143">
                  <c:v>0.01</c:v>
                </c:pt>
                <c:pt idx="144">
                  <c:v>0.01</c:v>
                </c:pt>
                <c:pt idx="145">
                  <c:v>0.01</c:v>
                </c:pt>
                <c:pt idx="146">
                  <c:v>0.01</c:v>
                </c:pt>
                <c:pt idx="147">
                  <c:v>0.01</c:v>
                </c:pt>
                <c:pt idx="148">
                  <c:v>0.01</c:v>
                </c:pt>
                <c:pt idx="149">
                  <c:v>0.01</c:v>
                </c:pt>
                <c:pt idx="150">
                  <c:v>0.01</c:v>
                </c:pt>
                <c:pt idx="151">
                  <c:v>0.01</c:v>
                </c:pt>
                <c:pt idx="152">
                  <c:v>0.01</c:v>
                </c:pt>
                <c:pt idx="153">
                  <c:v>0.01</c:v>
                </c:pt>
                <c:pt idx="154">
                  <c:v>0.01</c:v>
                </c:pt>
                <c:pt idx="155">
                  <c:v>0.01</c:v>
                </c:pt>
                <c:pt idx="156">
                  <c:v>0.01</c:v>
                </c:pt>
                <c:pt idx="157">
                  <c:v>0.01</c:v>
                </c:pt>
                <c:pt idx="158">
                  <c:v>0.01</c:v>
                </c:pt>
                <c:pt idx="159">
                  <c:v>0.01</c:v>
                </c:pt>
                <c:pt idx="160">
                  <c:v>0.01</c:v>
                </c:pt>
                <c:pt idx="161">
                  <c:v>0.01</c:v>
                </c:pt>
                <c:pt idx="162">
                  <c:v>0.01</c:v>
                </c:pt>
                <c:pt idx="163">
                  <c:v>0.01</c:v>
                </c:pt>
                <c:pt idx="164">
                  <c:v>0.01</c:v>
                </c:pt>
                <c:pt idx="165">
                  <c:v>0.01</c:v>
                </c:pt>
                <c:pt idx="166">
                  <c:v>0.01</c:v>
                </c:pt>
                <c:pt idx="167">
                  <c:v>0.01</c:v>
                </c:pt>
                <c:pt idx="168">
                  <c:v>0.01</c:v>
                </c:pt>
                <c:pt idx="169">
                  <c:v>0.01</c:v>
                </c:pt>
                <c:pt idx="170">
                  <c:v>0.01</c:v>
                </c:pt>
                <c:pt idx="171">
                  <c:v>0.01</c:v>
                </c:pt>
                <c:pt idx="172">
                  <c:v>0.01</c:v>
                </c:pt>
                <c:pt idx="173">
                  <c:v>0.01</c:v>
                </c:pt>
                <c:pt idx="174">
                  <c:v>0.01</c:v>
                </c:pt>
                <c:pt idx="175">
                  <c:v>0.01</c:v>
                </c:pt>
                <c:pt idx="176">
                  <c:v>0.01</c:v>
                </c:pt>
                <c:pt idx="177">
                  <c:v>0.01</c:v>
                </c:pt>
                <c:pt idx="178">
                  <c:v>0.01</c:v>
                </c:pt>
                <c:pt idx="179">
                  <c:v>0.01</c:v>
                </c:pt>
                <c:pt idx="180">
                  <c:v>0.01</c:v>
                </c:pt>
                <c:pt idx="181">
                  <c:v>0.01</c:v>
                </c:pt>
                <c:pt idx="182">
                  <c:v>0</c:v>
                </c:pt>
                <c:pt idx="183">
                  <c:v>0</c:v>
                </c:pt>
                <c:pt idx="184">
                  <c:v>0</c:v>
                </c:pt>
                <c:pt idx="185">
                  <c:v>0</c:v>
                </c:pt>
                <c:pt idx="186">
                  <c:v>0</c:v>
                </c:pt>
                <c:pt idx="187">
                  <c:v>0</c:v>
                </c:pt>
                <c:pt idx="188">
                  <c:v>0</c:v>
                </c:pt>
                <c:pt idx="189">
                  <c:v>0</c:v>
                </c:pt>
                <c:pt idx="190">
                  <c:v>0</c:v>
                </c:pt>
                <c:pt idx="191">
                  <c:v>0</c:v>
                </c:pt>
                <c:pt idx="192">
                  <c:v>0</c:v>
                </c:pt>
                <c:pt idx="193">
                  <c:v>0</c:v>
                </c:pt>
                <c:pt idx="194">
                  <c:v>0</c:v>
                </c:pt>
                <c:pt idx="195">
                  <c:v>0</c:v>
                </c:pt>
                <c:pt idx="196">
                  <c:v>0</c:v>
                </c:pt>
                <c:pt idx="197">
                  <c:v>0</c:v>
                </c:pt>
                <c:pt idx="198">
                  <c:v>0</c:v>
                </c:pt>
                <c:pt idx="199">
                  <c:v>0</c:v>
                </c:pt>
                <c:pt idx="200">
                  <c:v>0</c:v>
                </c:pt>
                <c:pt idx="201">
                  <c:v>0</c:v>
                </c:pt>
                <c:pt idx="202">
                  <c:v>0</c:v>
                </c:pt>
                <c:pt idx="203">
                  <c:v>0</c:v>
                </c:pt>
                <c:pt idx="204">
                  <c:v>0</c:v>
                </c:pt>
                <c:pt idx="205">
                  <c:v>0</c:v>
                </c:pt>
                <c:pt idx="206">
                  <c:v>0</c:v>
                </c:pt>
                <c:pt idx="207">
                  <c:v>0</c:v>
                </c:pt>
                <c:pt idx="208">
                  <c:v>0</c:v>
                </c:pt>
                <c:pt idx="209">
                  <c:v>0</c:v>
                </c:pt>
                <c:pt idx="210">
                  <c:v>0</c:v>
                </c:pt>
                <c:pt idx="211">
                  <c:v>0</c:v>
                </c:pt>
                <c:pt idx="212">
                  <c:v>0</c:v>
                </c:pt>
                <c:pt idx="213">
                  <c:v>0</c:v>
                </c:pt>
                <c:pt idx="214">
                  <c:v>0</c:v>
                </c:pt>
                <c:pt idx="215">
                  <c:v>0</c:v>
                </c:pt>
                <c:pt idx="216">
                  <c:v>0</c:v>
                </c:pt>
                <c:pt idx="217">
                  <c:v>0</c:v>
                </c:pt>
                <c:pt idx="218">
                  <c:v>0</c:v>
                </c:pt>
                <c:pt idx="219">
                  <c:v>0</c:v>
                </c:pt>
                <c:pt idx="220">
                  <c:v>0</c:v>
                </c:pt>
                <c:pt idx="221">
                  <c:v>0</c:v>
                </c:pt>
                <c:pt idx="222">
                  <c:v>0</c:v>
                </c:pt>
                <c:pt idx="223">
                  <c:v>0</c:v>
                </c:pt>
                <c:pt idx="224">
                  <c:v>0</c:v>
                </c:pt>
                <c:pt idx="225">
                  <c:v>0</c:v>
                </c:pt>
                <c:pt idx="226">
                  <c:v>0</c:v>
                </c:pt>
                <c:pt idx="227">
                  <c:v>0</c:v>
                </c:pt>
                <c:pt idx="228">
                  <c:v>0</c:v>
                </c:pt>
                <c:pt idx="229">
                  <c:v>0</c:v>
                </c:pt>
                <c:pt idx="230">
                  <c:v>0</c:v>
                </c:pt>
                <c:pt idx="231">
                  <c:v>0</c:v>
                </c:pt>
                <c:pt idx="232">
                  <c:v>0</c:v>
                </c:pt>
                <c:pt idx="233">
                  <c:v>0</c:v>
                </c:pt>
                <c:pt idx="234">
                  <c:v>0</c:v>
                </c:pt>
                <c:pt idx="235">
                  <c:v>0</c:v>
                </c:pt>
                <c:pt idx="236">
                  <c:v>0</c:v>
                </c:pt>
                <c:pt idx="237">
                  <c:v>0</c:v>
                </c:pt>
                <c:pt idx="238">
                  <c:v>0</c:v>
                </c:pt>
                <c:pt idx="239">
                  <c:v>0</c:v>
                </c:pt>
                <c:pt idx="240">
                  <c:v>0</c:v>
                </c:pt>
              </c:numCache>
            </c:numRef>
          </c:yVal>
          <c:smooth val="1"/>
          <c:extLst xmlns:c16r2="http://schemas.microsoft.com/office/drawing/2015/06/chart">
            <c:ext xmlns:c16="http://schemas.microsoft.com/office/drawing/2014/chart" uri="{C3380CC4-5D6E-409C-BE32-E72D297353CC}">
              <c16:uniqueId val="{00000005-A397-4565-8D55-63F05AA4FE1C}"/>
            </c:ext>
          </c:extLst>
        </c:ser>
        <c:ser>
          <c:idx val="6"/>
          <c:order val="6"/>
          <c:tx>
            <c:v>1 Percent Minus Annual Chance</c:v>
          </c:tx>
          <c:marker>
            <c:symbol val="none"/>
          </c:marker>
          <c:xVal>
            <c:strRef>
              <c:f>Precip_YHD5!$B$3:$B$243</c:f>
              <c:strCache>
                <c:ptCount val="241"/>
                <c:pt idx="0">
                  <c:v> </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c:v>
                </c:pt>
                <c:pt idx="76">
                  <c:v>0</c:v>
                </c:pt>
                <c:pt idx="77">
                  <c:v>0</c:v>
                </c:pt>
                <c:pt idx="78">
                  <c:v>0</c:v>
                </c:pt>
                <c:pt idx="79">
                  <c:v>0</c:v>
                </c:pt>
                <c:pt idx="80">
                  <c:v>0</c:v>
                </c:pt>
                <c:pt idx="81">
                  <c:v>0</c:v>
                </c:pt>
                <c:pt idx="82">
                  <c:v>0</c:v>
                </c:pt>
                <c:pt idx="83">
                  <c:v>0</c:v>
                </c:pt>
                <c:pt idx="84">
                  <c:v>0</c:v>
                </c:pt>
                <c:pt idx="85">
                  <c:v>0</c:v>
                </c:pt>
                <c:pt idx="86">
                  <c:v>0</c:v>
                </c:pt>
                <c:pt idx="87">
                  <c:v>0</c:v>
                </c:pt>
                <c:pt idx="88">
                  <c:v>0</c:v>
                </c:pt>
                <c:pt idx="89">
                  <c:v>0</c:v>
                </c:pt>
                <c:pt idx="90">
                  <c:v>0</c:v>
                </c:pt>
                <c:pt idx="91">
                  <c:v>0</c:v>
                </c:pt>
                <c:pt idx="92">
                  <c:v>0</c:v>
                </c:pt>
                <c:pt idx="93">
                  <c:v>0</c:v>
                </c:pt>
                <c:pt idx="94">
                  <c:v>0</c:v>
                </c:pt>
                <c:pt idx="95">
                  <c:v>0</c:v>
                </c:pt>
                <c:pt idx="96">
                  <c:v>0</c:v>
                </c:pt>
                <c:pt idx="97">
                  <c:v>0</c:v>
                </c:pt>
                <c:pt idx="98">
                  <c:v>0</c:v>
                </c:pt>
                <c:pt idx="99">
                  <c:v>0</c:v>
                </c:pt>
                <c:pt idx="100">
                  <c:v>0</c:v>
                </c:pt>
                <c:pt idx="101">
                  <c:v>0</c:v>
                </c:pt>
                <c:pt idx="102">
                  <c:v>0</c:v>
                </c:pt>
                <c:pt idx="103">
                  <c:v>0</c:v>
                </c:pt>
                <c:pt idx="104">
                  <c:v>0</c:v>
                </c:pt>
                <c:pt idx="105">
                  <c:v>0</c:v>
                </c:pt>
                <c:pt idx="106">
                  <c:v>0.01</c:v>
                </c:pt>
                <c:pt idx="107">
                  <c:v>0.01</c:v>
                </c:pt>
                <c:pt idx="108">
                  <c:v>0.01</c:v>
                </c:pt>
                <c:pt idx="109">
                  <c:v>0.01</c:v>
                </c:pt>
                <c:pt idx="110">
                  <c:v>0.01</c:v>
                </c:pt>
                <c:pt idx="111">
                  <c:v>0.01</c:v>
                </c:pt>
                <c:pt idx="112">
                  <c:v>0.02</c:v>
                </c:pt>
                <c:pt idx="113">
                  <c:v>0.02</c:v>
                </c:pt>
                <c:pt idx="114">
                  <c:v>0.02</c:v>
                </c:pt>
                <c:pt idx="115">
                  <c:v>0.02</c:v>
                </c:pt>
                <c:pt idx="116">
                  <c:v>0.04</c:v>
                </c:pt>
                <c:pt idx="117">
                  <c:v>0.05</c:v>
                </c:pt>
                <c:pt idx="118">
                  <c:v>0.06</c:v>
                </c:pt>
                <c:pt idx="119">
                  <c:v>0.05</c:v>
                </c:pt>
                <c:pt idx="120">
                  <c:v>0.12</c:v>
                </c:pt>
                <c:pt idx="121">
                  <c:v>0.25</c:v>
                </c:pt>
                <c:pt idx="122">
                  <c:v>0.09</c:v>
                </c:pt>
                <c:pt idx="123">
                  <c:v>0.06</c:v>
                </c:pt>
                <c:pt idx="124">
                  <c:v>0.08</c:v>
                </c:pt>
                <c:pt idx="125">
                  <c:v>0.07</c:v>
                </c:pt>
                <c:pt idx="126">
                  <c:v>0.04</c:v>
                </c:pt>
                <c:pt idx="127">
                  <c:v>0.04</c:v>
                </c:pt>
                <c:pt idx="128">
                  <c:v>0.04</c:v>
                </c:pt>
                <c:pt idx="129">
                  <c:v>0.03</c:v>
                </c:pt>
                <c:pt idx="130">
                  <c:v>0.03</c:v>
                </c:pt>
                <c:pt idx="131">
                  <c:v>0.02</c:v>
                </c:pt>
                <c:pt idx="132">
                  <c:v>0.02</c:v>
                </c:pt>
                <c:pt idx="133">
                  <c:v>0.02</c:v>
                </c:pt>
                <c:pt idx="134">
                  <c:v>0.02</c:v>
                </c:pt>
                <c:pt idx="135">
                  <c:v>0.02</c:v>
                </c:pt>
                <c:pt idx="136">
                  <c:v>0.02</c:v>
                </c:pt>
                <c:pt idx="137">
                  <c:v>0.02</c:v>
                </c:pt>
                <c:pt idx="138">
                  <c:v>0.01</c:v>
                </c:pt>
                <c:pt idx="139">
                  <c:v>0.01</c:v>
                </c:pt>
                <c:pt idx="140">
                  <c:v>0.01</c:v>
                </c:pt>
                <c:pt idx="141">
                  <c:v>0.01</c:v>
                </c:pt>
                <c:pt idx="142">
                  <c:v>0.01</c:v>
                </c:pt>
                <c:pt idx="143">
                  <c:v>0.01</c:v>
                </c:pt>
                <c:pt idx="144">
                  <c:v>0.01</c:v>
                </c:pt>
                <c:pt idx="145">
                  <c:v>0.01</c:v>
                </c:pt>
                <c:pt idx="146">
                  <c:v>0.01</c:v>
                </c:pt>
                <c:pt idx="147">
                  <c:v>0.01</c:v>
                </c:pt>
                <c:pt idx="148">
                  <c:v>0.01</c:v>
                </c:pt>
                <c:pt idx="149">
                  <c:v>0.01</c:v>
                </c:pt>
                <c:pt idx="150">
                  <c:v>0.01</c:v>
                </c:pt>
                <c:pt idx="151">
                  <c:v>0.01</c:v>
                </c:pt>
                <c:pt idx="152">
                  <c:v>0.01</c:v>
                </c:pt>
                <c:pt idx="153">
                  <c:v>0.01</c:v>
                </c:pt>
                <c:pt idx="154">
                  <c:v>0.01</c:v>
                </c:pt>
                <c:pt idx="155">
                  <c:v>0.01</c:v>
                </c:pt>
                <c:pt idx="156">
                  <c:v>0.01</c:v>
                </c:pt>
                <c:pt idx="157">
                  <c:v>0.01</c:v>
                </c:pt>
                <c:pt idx="158">
                  <c:v>0.01</c:v>
                </c:pt>
                <c:pt idx="159">
                  <c:v>0.01</c:v>
                </c:pt>
                <c:pt idx="160">
                  <c:v>0.01</c:v>
                </c:pt>
                <c:pt idx="161">
                  <c:v>0.01</c:v>
                </c:pt>
                <c:pt idx="162">
                  <c:v>0.01</c:v>
                </c:pt>
                <c:pt idx="163">
                  <c:v>0.01</c:v>
                </c:pt>
                <c:pt idx="164">
                  <c:v>0.01</c:v>
                </c:pt>
                <c:pt idx="165">
                  <c:v>0.01</c:v>
                </c:pt>
                <c:pt idx="166">
                  <c:v>0.01</c:v>
                </c:pt>
                <c:pt idx="167">
                  <c:v>0.01</c:v>
                </c:pt>
                <c:pt idx="168">
                  <c:v>0.01</c:v>
                </c:pt>
                <c:pt idx="169">
                  <c:v>0.01</c:v>
                </c:pt>
                <c:pt idx="170">
                  <c:v>0.01</c:v>
                </c:pt>
                <c:pt idx="171">
                  <c:v>0.01</c:v>
                </c:pt>
                <c:pt idx="172">
                  <c:v>0.01</c:v>
                </c:pt>
                <c:pt idx="173">
                  <c:v>0.01</c:v>
                </c:pt>
                <c:pt idx="174">
                  <c:v>0.01</c:v>
                </c:pt>
                <c:pt idx="175">
                  <c:v>0.01</c:v>
                </c:pt>
                <c:pt idx="176">
                  <c:v>0.01</c:v>
                </c:pt>
                <c:pt idx="177">
                  <c:v>0.01</c:v>
                </c:pt>
                <c:pt idx="178">
                  <c:v>0.01</c:v>
                </c:pt>
                <c:pt idx="179">
                  <c:v>0.01</c:v>
                </c:pt>
                <c:pt idx="180">
                  <c:v>0.01</c:v>
                </c:pt>
                <c:pt idx="181">
                  <c:v>0.01</c:v>
                </c:pt>
                <c:pt idx="182">
                  <c:v>0</c:v>
                </c:pt>
                <c:pt idx="183">
                  <c:v>0</c:v>
                </c:pt>
                <c:pt idx="184">
                  <c:v>0</c:v>
                </c:pt>
                <c:pt idx="185">
                  <c:v>0</c:v>
                </c:pt>
                <c:pt idx="186">
                  <c:v>0</c:v>
                </c:pt>
                <c:pt idx="187">
                  <c:v>0</c:v>
                </c:pt>
                <c:pt idx="188">
                  <c:v>0</c:v>
                </c:pt>
                <c:pt idx="189">
                  <c:v>0</c:v>
                </c:pt>
                <c:pt idx="190">
                  <c:v>0</c:v>
                </c:pt>
                <c:pt idx="191">
                  <c:v>0</c:v>
                </c:pt>
                <c:pt idx="192">
                  <c:v>0</c:v>
                </c:pt>
                <c:pt idx="193">
                  <c:v>0</c:v>
                </c:pt>
                <c:pt idx="194">
                  <c:v>0</c:v>
                </c:pt>
                <c:pt idx="195">
                  <c:v>0</c:v>
                </c:pt>
                <c:pt idx="196">
                  <c:v>0</c:v>
                </c:pt>
                <c:pt idx="197">
                  <c:v>0</c:v>
                </c:pt>
                <c:pt idx="198">
                  <c:v>0</c:v>
                </c:pt>
                <c:pt idx="199">
                  <c:v>0</c:v>
                </c:pt>
                <c:pt idx="200">
                  <c:v>0</c:v>
                </c:pt>
                <c:pt idx="201">
                  <c:v>0</c:v>
                </c:pt>
                <c:pt idx="202">
                  <c:v>0</c:v>
                </c:pt>
                <c:pt idx="203">
                  <c:v>0</c:v>
                </c:pt>
                <c:pt idx="204">
                  <c:v>0</c:v>
                </c:pt>
                <c:pt idx="205">
                  <c:v>0</c:v>
                </c:pt>
                <c:pt idx="206">
                  <c:v>0</c:v>
                </c:pt>
                <c:pt idx="207">
                  <c:v>0</c:v>
                </c:pt>
                <c:pt idx="208">
                  <c:v>0</c:v>
                </c:pt>
                <c:pt idx="209">
                  <c:v>0</c:v>
                </c:pt>
                <c:pt idx="210">
                  <c:v>0</c:v>
                </c:pt>
                <c:pt idx="211">
                  <c:v>0</c:v>
                </c:pt>
                <c:pt idx="212">
                  <c:v>0</c:v>
                </c:pt>
                <c:pt idx="213">
                  <c:v>0</c:v>
                </c:pt>
                <c:pt idx="214">
                  <c:v>0</c:v>
                </c:pt>
                <c:pt idx="215">
                  <c:v>0</c:v>
                </c:pt>
                <c:pt idx="216">
                  <c:v>0</c:v>
                </c:pt>
                <c:pt idx="217">
                  <c:v>0</c:v>
                </c:pt>
                <c:pt idx="218">
                  <c:v>0</c:v>
                </c:pt>
                <c:pt idx="219">
                  <c:v>0</c:v>
                </c:pt>
                <c:pt idx="220">
                  <c:v>0</c:v>
                </c:pt>
                <c:pt idx="221">
                  <c:v>0</c:v>
                </c:pt>
                <c:pt idx="222">
                  <c:v>0</c:v>
                </c:pt>
                <c:pt idx="223">
                  <c:v>0</c:v>
                </c:pt>
                <c:pt idx="224">
                  <c:v>0</c:v>
                </c:pt>
                <c:pt idx="225">
                  <c:v>0</c:v>
                </c:pt>
                <c:pt idx="226">
                  <c:v>0</c:v>
                </c:pt>
                <c:pt idx="227">
                  <c:v>0</c:v>
                </c:pt>
                <c:pt idx="228">
                  <c:v>0</c:v>
                </c:pt>
                <c:pt idx="229">
                  <c:v>0</c:v>
                </c:pt>
                <c:pt idx="230">
                  <c:v>0</c:v>
                </c:pt>
                <c:pt idx="231">
                  <c:v>0</c:v>
                </c:pt>
                <c:pt idx="232">
                  <c:v>0</c:v>
                </c:pt>
                <c:pt idx="233">
                  <c:v>0</c:v>
                </c:pt>
                <c:pt idx="234">
                  <c:v>0</c:v>
                </c:pt>
                <c:pt idx="235">
                  <c:v>0</c:v>
                </c:pt>
                <c:pt idx="236">
                  <c:v>0</c:v>
                </c:pt>
                <c:pt idx="237">
                  <c:v>0</c:v>
                </c:pt>
                <c:pt idx="238">
                  <c:v>0</c:v>
                </c:pt>
                <c:pt idx="239">
                  <c:v>0</c:v>
                </c:pt>
                <c:pt idx="240">
                  <c:v>0</c:v>
                </c:pt>
              </c:strCache>
            </c:strRef>
          </c:xVal>
          <c:yVal>
            <c:numRef>
              <c:f>Precip_YHD5!$H$3:$H$243</c:f>
              <c:numCache>
                <c:formatCode>General</c:formatCode>
                <c:ptCount val="241"/>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c:v>
                </c:pt>
                <c:pt idx="76">
                  <c:v>0</c:v>
                </c:pt>
                <c:pt idx="77">
                  <c:v>0</c:v>
                </c:pt>
                <c:pt idx="78">
                  <c:v>0</c:v>
                </c:pt>
                <c:pt idx="79">
                  <c:v>0</c:v>
                </c:pt>
                <c:pt idx="80">
                  <c:v>0</c:v>
                </c:pt>
                <c:pt idx="81">
                  <c:v>0</c:v>
                </c:pt>
                <c:pt idx="82">
                  <c:v>0</c:v>
                </c:pt>
                <c:pt idx="83">
                  <c:v>0</c:v>
                </c:pt>
                <c:pt idx="84">
                  <c:v>0</c:v>
                </c:pt>
                <c:pt idx="85">
                  <c:v>0</c:v>
                </c:pt>
                <c:pt idx="86">
                  <c:v>0</c:v>
                </c:pt>
                <c:pt idx="87">
                  <c:v>0</c:v>
                </c:pt>
                <c:pt idx="88">
                  <c:v>0</c:v>
                </c:pt>
                <c:pt idx="89">
                  <c:v>0</c:v>
                </c:pt>
                <c:pt idx="90">
                  <c:v>0</c:v>
                </c:pt>
                <c:pt idx="91">
                  <c:v>0</c:v>
                </c:pt>
                <c:pt idx="92">
                  <c:v>0</c:v>
                </c:pt>
                <c:pt idx="93">
                  <c:v>0</c:v>
                </c:pt>
                <c:pt idx="94">
                  <c:v>0</c:v>
                </c:pt>
                <c:pt idx="95">
                  <c:v>0</c:v>
                </c:pt>
                <c:pt idx="96">
                  <c:v>0</c:v>
                </c:pt>
                <c:pt idx="97">
                  <c:v>0</c:v>
                </c:pt>
                <c:pt idx="98">
                  <c:v>0</c:v>
                </c:pt>
                <c:pt idx="99">
                  <c:v>0</c:v>
                </c:pt>
                <c:pt idx="100">
                  <c:v>0</c:v>
                </c:pt>
                <c:pt idx="101">
                  <c:v>0</c:v>
                </c:pt>
                <c:pt idx="102">
                  <c:v>0</c:v>
                </c:pt>
                <c:pt idx="103">
                  <c:v>0</c:v>
                </c:pt>
                <c:pt idx="104">
                  <c:v>0</c:v>
                </c:pt>
                <c:pt idx="105">
                  <c:v>0</c:v>
                </c:pt>
                <c:pt idx="106">
                  <c:v>0</c:v>
                </c:pt>
                <c:pt idx="107">
                  <c:v>0</c:v>
                </c:pt>
                <c:pt idx="108">
                  <c:v>0</c:v>
                </c:pt>
                <c:pt idx="109">
                  <c:v>0</c:v>
                </c:pt>
                <c:pt idx="110">
                  <c:v>0</c:v>
                </c:pt>
                <c:pt idx="111">
                  <c:v>0.01</c:v>
                </c:pt>
                <c:pt idx="112">
                  <c:v>0.01</c:v>
                </c:pt>
                <c:pt idx="113">
                  <c:v>0.01</c:v>
                </c:pt>
                <c:pt idx="114">
                  <c:v>0.01</c:v>
                </c:pt>
                <c:pt idx="115">
                  <c:v>0.02</c:v>
                </c:pt>
                <c:pt idx="116">
                  <c:v>0.03</c:v>
                </c:pt>
                <c:pt idx="117">
                  <c:v>0.04</c:v>
                </c:pt>
                <c:pt idx="118">
                  <c:v>0.05</c:v>
                </c:pt>
                <c:pt idx="119">
                  <c:v>0.05</c:v>
                </c:pt>
                <c:pt idx="120">
                  <c:v>0.12</c:v>
                </c:pt>
                <c:pt idx="121">
                  <c:v>0.28000000000000003</c:v>
                </c:pt>
                <c:pt idx="122">
                  <c:v>0.1</c:v>
                </c:pt>
                <c:pt idx="123">
                  <c:v>0.06</c:v>
                </c:pt>
                <c:pt idx="124">
                  <c:v>0.09</c:v>
                </c:pt>
                <c:pt idx="125">
                  <c:v>0.08</c:v>
                </c:pt>
                <c:pt idx="126">
                  <c:v>0.05</c:v>
                </c:pt>
                <c:pt idx="127">
                  <c:v>0.05</c:v>
                </c:pt>
                <c:pt idx="128">
                  <c:v>0.05</c:v>
                </c:pt>
                <c:pt idx="129">
                  <c:v>0.04</c:v>
                </c:pt>
                <c:pt idx="130">
                  <c:v>0.04</c:v>
                </c:pt>
                <c:pt idx="131">
                  <c:v>0.03</c:v>
                </c:pt>
                <c:pt idx="132">
                  <c:v>0.02</c:v>
                </c:pt>
                <c:pt idx="133">
                  <c:v>0.02</c:v>
                </c:pt>
                <c:pt idx="134">
                  <c:v>0.02</c:v>
                </c:pt>
                <c:pt idx="135">
                  <c:v>0.02</c:v>
                </c:pt>
                <c:pt idx="136">
                  <c:v>0.02</c:v>
                </c:pt>
                <c:pt idx="137">
                  <c:v>0.02</c:v>
                </c:pt>
                <c:pt idx="138">
                  <c:v>0.02</c:v>
                </c:pt>
                <c:pt idx="139">
                  <c:v>0.02</c:v>
                </c:pt>
                <c:pt idx="140">
                  <c:v>0.02</c:v>
                </c:pt>
                <c:pt idx="141">
                  <c:v>0.02</c:v>
                </c:pt>
                <c:pt idx="142">
                  <c:v>0.02</c:v>
                </c:pt>
                <c:pt idx="143">
                  <c:v>0.02</c:v>
                </c:pt>
                <c:pt idx="144">
                  <c:v>0.02</c:v>
                </c:pt>
                <c:pt idx="145">
                  <c:v>0.01</c:v>
                </c:pt>
                <c:pt idx="146">
                  <c:v>0.01</c:v>
                </c:pt>
                <c:pt idx="147">
                  <c:v>0.01</c:v>
                </c:pt>
                <c:pt idx="148">
                  <c:v>0.01</c:v>
                </c:pt>
                <c:pt idx="149">
                  <c:v>0.01</c:v>
                </c:pt>
                <c:pt idx="150">
                  <c:v>0.01</c:v>
                </c:pt>
                <c:pt idx="151">
                  <c:v>0.01</c:v>
                </c:pt>
                <c:pt idx="152">
                  <c:v>0.01</c:v>
                </c:pt>
                <c:pt idx="153">
                  <c:v>0.01</c:v>
                </c:pt>
                <c:pt idx="154">
                  <c:v>0.01</c:v>
                </c:pt>
                <c:pt idx="155">
                  <c:v>0.01</c:v>
                </c:pt>
                <c:pt idx="156">
                  <c:v>0.01</c:v>
                </c:pt>
                <c:pt idx="157">
                  <c:v>0.01</c:v>
                </c:pt>
                <c:pt idx="158">
                  <c:v>0.01</c:v>
                </c:pt>
                <c:pt idx="159">
                  <c:v>0.01</c:v>
                </c:pt>
                <c:pt idx="160">
                  <c:v>0.01</c:v>
                </c:pt>
                <c:pt idx="161">
                  <c:v>0.01</c:v>
                </c:pt>
                <c:pt idx="162">
                  <c:v>0.01</c:v>
                </c:pt>
                <c:pt idx="163">
                  <c:v>0.01</c:v>
                </c:pt>
                <c:pt idx="164">
                  <c:v>0.01</c:v>
                </c:pt>
                <c:pt idx="165">
                  <c:v>0.01</c:v>
                </c:pt>
                <c:pt idx="166">
                  <c:v>0.01</c:v>
                </c:pt>
                <c:pt idx="167">
                  <c:v>0.01</c:v>
                </c:pt>
                <c:pt idx="168">
                  <c:v>0.01</c:v>
                </c:pt>
                <c:pt idx="169">
                  <c:v>0.01</c:v>
                </c:pt>
                <c:pt idx="170">
                  <c:v>0.01</c:v>
                </c:pt>
                <c:pt idx="171">
                  <c:v>0.01</c:v>
                </c:pt>
                <c:pt idx="172">
                  <c:v>0.01</c:v>
                </c:pt>
                <c:pt idx="173">
                  <c:v>0.01</c:v>
                </c:pt>
                <c:pt idx="174">
                  <c:v>0.01</c:v>
                </c:pt>
                <c:pt idx="175">
                  <c:v>0.01</c:v>
                </c:pt>
                <c:pt idx="176">
                  <c:v>0.01</c:v>
                </c:pt>
                <c:pt idx="177">
                  <c:v>0.01</c:v>
                </c:pt>
                <c:pt idx="178">
                  <c:v>0.01</c:v>
                </c:pt>
                <c:pt idx="179">
                  <c:v>0.01</c:v>
                </c:pt>
                <c:pt idx="180">
                  <c:v>0.01</c:v>
                </c:pt>
                <c:pt idx="181">
                  <c:v>0</c:v>
                </c:pt>
                <c:pt idx="182">
                  <c:v>0</c:v>
                </c:pt>
                <c:pt idx="183">
                  <c:v>0</c:v>
                </c:pt>
                <c:pt idx="184">
                  <c:v>0</c:v>
                </c:pt>
                <c:pt idx="185">
                  <c:v>0</c:v>
                </c:pt>
                <c:pt idx="186">
                  <c:v>0</c:v>
                </c:pt>
                <c:pt idx="187">
                  <c:v>0</c:v>
                </c:pt>
                <c:pt idx="188">
                  <c:v>0</c:v>
                </c:pt>
                <c:pt idx="189">
                  <c:v>0</c:v>
                </c:pt>
                <c:pt idx="190">
                  <c:v>0</c:v>
                </c:pt>
                <c:pt idx="191">
                  <c:v>0</c:v>
                </c:pt>
                <c:pt idx="192">
                  <c:v>0</c:v>
                </c:pt>
                <c:pt idx="193">
                  <c:v>0</c:v>
                </c:pt>
                <c:pt idx="194">
                  <c:v>0</c:v>
                </c:pt>
                <c:pt idx="195">
                  <c:v>0</c:v>
                </c:pt>
                <c:pt idx="196">
                  <c:v>0</c:v>
                </c:pt>
                <c:pt idx="197">
                  <c:v>0</c:v>
                </c:pt>
                <c:pt idx="198">
                  <c:v>0</c:v>
                </c:pt>
                <c:pt idx="199">
                  <c:v>0</c:v>
                </c:pt>
                <c:pt idx="200">
                  <c:v>0</c:v>
                </c:pt>
                <c:pt idx="201">
                  <c:v>0</c:v>
                </c:pt>
                <c:pt idx="202">
                  <c:v>0</c:v>
                </c:pt>
                <c:pt idx="203">
                  <c:v>0</c:v>
                </c:pt>
                <c:pt idx="204">
                  <c:v>0</c:v>
                </c:pt>
                <c:pt idx="205">
                  <c:v>0</c:v>
                </c:pt>
                <c:pt idx="206">
                  <c:v>0</c:v>
                </c:pt>
                <c:pt idx="207">
                  <c:v>0</c:v>
                </c:pt>
                <c:pt idx="208">
                  <c:v>0</c:v>
                </c:pt>
                <c:pt idx="209">
                  <c:v>0</c:v>
                </c:pt>
                <c:pt idx="210">
                  <c:v>0</c:v>
                </c:pt>
                <c:pt idx="211">
                  <c:v>0</c:v>
                </c:pt>
                <c:pt idx="212">
                  <c:v>0</c:v>
                </c:pt>
                <c:pt idx="213">
                  <c:v>0</c:v>
                </c:pt>
                <c:pt idx="214">
                  <c:v>0</c:v>
                </c:pt>
                <c:pt idx="215">
                  <c:v>0</c:v>
                </c:pt>
                <c:pt idx="216">
                  <c:v>0</c:v>
                </c:pt>
                <c:pt idx="217">
                  <c:v>0</c:v>
                </c:pt>
                <c:pt idx="218">
                  <c:v>0</c:v>
                </c:pt>
                <c:pt idx="219">
                  <c:v>0</c:v>
                </c:pt>
                <c:pt idx="220">
                  <c:v>0</c:v>
                </c:pt>
                <c:pt idx="221">
                  <c:v>0</c:v>
                </c:pt>
                <c:pt idx="222">
                  <c:v>0</c:v>
                </c:pt>
                <c:pt idx="223">
                  <c:v>0</c:v>
                </c:pt>
                <c:pt idx="224">
                  <c:v>0</c:v>
                </c:pt>
                <c:pt idx="225">
                  <c:v>0</c:v>
                </c:pt>
                <c:pt idx="226">
                  <c:v>0</c:v>
                </c:pt>
                <c:pt idx="227">
                  <c:v>0</c:v>
                </c:pt>
                <c:pt idx="228">
                  <c:v>0</c:v>
                </c:pt>
                <c:pt idx="229">
                  <c:v>0</c:v>
                </c:pt>
                <c:pt idx="230">
                  <c:v>0</c:v>
                </c:pt>
                <c:pt idx="231">
                  <c:v>0</c:v>
                </c:pt>
                <c:pt idx="232">
                  <c:v>0</c:v>
                </c:pt>
                <c:pt idx="233">
                  <c:v>0</c:v>
                </c:pt>
                <c:pt idx="234">
                  <c:v>0</c:v>
                </c:pt>
                <c:pt idx="235">
                  <c:v>0</c:v>
                </c:pt>
                <c:pt idx="236">
                  <c:v>0</c:v>
                </c:pt>
                <c:pt idx="237">
                  <c:v>0</c:v>
                </c:pt>
                <c:pt idx="238">
                  <c:v>0</c:v>
                </c:pt>
                <c:pt idx="239">
                  <c:v>0</c:v>
                </c:pt>
                <c:pt idx="240">
                  <c:v>0</c:v>
                </c:pt>
              </c:numCache>
            </c:numRef>
          </c:yVal>
          <c:smooth val="1"/>
          <c:extLst xmlns:c16r2="http://schemas.microsoft.com/office/drawing/2015/06/chart">
            <c:ext xmlns:c16="http://schemas.microsoft.com/office/drawing/2014/chart" uri="{C3380CC4-5D6E-409C-BE32-E72D297353CC}">
              <c16:uniqueId val="{00000006-A397-4565-8D55-63F05AA4FE1C}"/>
            </c:ext>
          </c:extLst>
        </c:ser>
        <c:dLbls>
          <c:showLegendKey val="0"/>
          <c:showVal val="0"/>
          <c:showCatName val="0"/>
          <c:showSerName val="0"/>
          <c:showPercent val="0"/>
          <c:showBubbleSize val="0"/>
        </c:dLbls>
        <c:axId val="142756480"/>
        <c:axId val="142770944"/>
      </c:scatterChart>
      <c:valAx>
        <c:axId val="142756480"/>
        <c:scaling>
          <c:orientation val="minMax"/>
          <c:max val="1"/>
        </c:scaling>
        <c:delete val="0"/>
        <c:axPos val="b"/>
        <c:title>
          <c:tx>
            <c:rich>
              <a:bodyPr/>
              <a:lstStyle/>
              <a:p>
                <a:pPr>
                  <a:defRPr/>
                </a:pPr>
                <a:r>
                  <a:rPr lang="en-US"/>
                  <a:t>Time (hours)</a:t>
                </a:r>
              </a:p>
            </c:rich>
          </c:tx>
          <c:layout/>
          <c:overlay val="0"/>
        </c:title>
        <c:numFmt formatCode="h:mm;@" sourceLinked="0"/>
        <c:majorTickMark val="out"/>
        <c:minorTickMark val="none"/>
        <c:tickLblPos val="nextTo"/>
        <c:crossAx val="142770944"/>
        <c:crosses val="autoZero"/>
        <c:crossBetween val="midCat"/>
        <c:majorUnit val="0.1"/>
        <c:minorUnit val="2.0000000000000004E-2"/>
      </c:valAx>
      <c:valAx>
        <c:axId val="142770944"/>
        <c:scaling>
          <c:orientation val="minMax"/>
          <c:min val="0"/>
        </c:scaling>
        <c:delete val="0"/>
        <c:axPos val="l"/>
        <c:majorGridlines/>
        <c:title>
          <c:tx>
            <c:rich>
              <a:bodyPr rot="-5400000" vert="horz"/>
              <a:lstStyle/>
              <a:p>
                <a:pPr>
                  <a:defRPr/>
                </a:pPr>
                <a:r>
                  <a:rPr lang="en-US"/>
                  <a:t>Incremental Precipitation</a:t>
                </a:r>
                <a:r>
                  <a:rPr lang="en-US" baseline="0"/>
                  <a:t> (in)</a:t>
                </a:r>
                <a:endParaRPr lang="en-US"/>
              </a:p>
            </c:rich>
          </c:tx>
          <c:layout>
            <c:manualLayout>
              <c:xMode val="edge"/>
              <c:yMode val="edge"/>
              <c:x val="1.0469011725293133E-2"/>
              <c:y val="0.28479270523922046"/>
            </c:manualLayout>
          </c:layout>
          <c:overlay val="0"/>
        </c:title>
        <c:numFmt formatCode="#,##0.00" sourceLinked="0"/>
        <c:majorTickMark val="out"/>
        <c:minorTickMark val="none"/>
        <c:tickLblPos val="nextTo"/>
        <c:crossAx val="142756480"/>
        <c:crosses val="autoZero"/>
        <c:crossBetween val="midCat"/>
      </c:valAx>
      <c:spPr>
        <a:ln>
          <a:solidFill>
            <a:schemeClr val="tx1"/>
          </a:solidFill>
        </a:ln>
      </c:spPr>
    </c:plotArea>
    <c:legend>
      <c:legendPos val="r"/>
      <c:layout>
        <c:manualLayout>
          <c:xMode val="edge"/>
          <c:yMode val="edge"/>
          <c:x val="0.60057153913453121"/>
          <c:y val="3.7889315968205398E-2"/>
          <c:w val="0.35483881822464497"/>
          <c:h val="0.3290622763063708"/>
        </c:manualLayout>
      </c:layout>
      <c:overlay val="1"/>
      <c:spPr>
        <a:solidFill>
          <a:schemeClr val="bg1"/>
        </a:solidFill>
        <a:ln>
          <a:solidFill>
            <a:schemeClr val="tx1"/>
          </a:solidFill>
        </a:ln>
      </c:spPr>
    </c:legend>
    <c:plotVisOnly val="1"/>
    <c:dispBlanksAs val="gap"/>
    <c:showDLblsOverMax val="0"/>
  </c:chart>
  <c:externalData r:id="rId2">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scatterChart>
        <c:scatterStyle val="smoothMarker"/>
        <c:varyColors val="0"/>
        <c:ser>
          <c:idx val="4"/>
          <c:order val="0"/>
          <c:tx>
            <c:v>0.2 Percent Annual Chance</c:v>
          </c:tx>
          <c:spPr>
            <a:ln>
              <a:solidFill>
                <a:schemeClr val="accent2"/>
              </a:solidFill>
            </a:ln>
          </c:spPr>
          <c:marker>
            <c:symbol val="none"/>
          </c:marker>
          <c:xVal>
            <c:numRef>
              <c:f>Hydrograph!$A$3:$A$279</c:f>
              <c:numCache>
                <c:formatCode>0.00</c:formatCode>
                <c:ptCount val="277"/>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pt idx="101">
                  <c:v>101</c:v>
                </c:pt>
                <c:pt idx="102">
                  <c:v>102</c:v>
                </c:pt>
                <c:pt idx="103">
                  <c:v>103</c:v>
                </c:pt>
                <c:pt idx="104">
                  <c:v>104</c:v>
                </c:pt>
                <c:pt idx="105">
                  <c:v>105</c:v>
                </c:pt>
                <c:pt idx="106">
                  <c:v>106</c:v>
                </c:pt>
                <c:pt idx="107">
                  <c:v>107</c:v>
                </c:pt>
                <c:pt idx="108">
                  <c:v>108</c:v>
                </c:pt>
                <c:pt idx="109">
                  <c:v>109</c:v>
                </c:pt>
                <c:pt idx="110">
                  <c:v>110</c:v>
                </c:pt>
                <c:pt idx="111">
                  <c:v>111</c:v>
                </c:pt>
                <c:pt idx="112">
                  <c:v>112</c:v>
                </c:pt>
                <c:pt idx="113">
                  <c:v>113</c:v>
                </c:pt>
                <c:pt idx="114">
                  <c:v>114</c:v>
                </c:pt>
                <c:pt idx="115">
                  <c:v>115</c:v>
                </c:pt>
                <c:pt idx="116">
                  <c:v>116</c:v>
                </c:pt>
                <c:pt idx="117">
                  <c:v>117</c:v>
                </c:pt>
                <c:pt idx="118">
                  <c:v>118</c:v>
                </c:pt>
                <c:pt idx="119">
                  <c:v>119</c:v>
                </c:pt>
                <c:pt idx="120">
                  <c:v>120</c:v>
                </c:pt>
                <c:pt idx="121">
                  <c:v>121</c:v>
                </c:pt>
                <c:pt idx="122">
                  <c:v>122</c:v>
                </c:pt>
                <c:pt idx="123">
                  <c:v>123</c:v>
                </c:pt>
                <c:pt idx="124">
                  <c:v>124</c:v>
                </c:pt>
                <c:pt idx="125">
                  <c:v>125</c:v>
                </c:pt>
                <c:pt idx="126">
                  <c:v>126</c:v>
                </c:pt>
                <c:pt idx="127">
                  <c:v>127</c:v>
                </c:pt>
                <c:pt idx="128">
                  <c:v>128</c:v>
                </c:pt>
                <c:pt idx="129">
                  <c:v>129</c:v>
                </c:pt>
                <c:pt idx="130">
                  <c:v>130</c:v>
                </c:pt>
                <c:pt idx="131">
                  <c:v>131</c:v>
                </c:pt>
                <c:pt idx="132">
                  <c:v>132</c:v>
                </c:pt>
                <c:pt idx="133">
                  <c:v>133</c:v>
                </c:pt>
                <c:pt idx="134">
                  <c:v>134</c:v>
                </c:pt>
                <c:pt idx="135">
                  <c:v>135</c:v>
                </c:pt>
                <c:pt idx="136">
                  <c:v>136</c:v>
                </c:pt>
                <c:pt idx="137">
                  <c:v>137</c:v>
                </c:pt>
                <c:pt idx="138">
                  <c:v>138</c:v>
                </c:pt>
                <c:pt idx="139">
                  <c:v>139</c:v>
                </c:pt>
                <c:pt idx="140">
                  <c:v>140</c:v>
                </c:pt>
                <c:pt idx="141">
                  <c:v>141</c:v>
                </c:pt>
                <c:pt idx="142">
                  <c:v>142</c:v>
                </c:pt>
                <c:pt idx="143">
                  <c:v>143</c:v>
                </c:pt>
                <c:pt idx="144">
                  <c:v>144</c:v>
                </c:pt>
                <c:pt idx="145">
                  <c:v>145</c:v>
                </c:pt>
                <c:pt idx="146">
                  <c:v>146</c:v>
                </c:pt>
                <c:pt idx="147">
                  <c:v>147</c:v>
                </c:pt>
                <c:pt idx="148">
                  <c:v>148</c:v>
                </c:pt>
                <c:pt idx="149">
                  <c:v>149</c:v>
                </c:pt>
                <c:pt idx="150">
                  <c:v>150</c:v>
                </c:pt>
                <c:pt idx="151">
                  <c:v>151</c:v>
                </c:pt>
                <c:pt idx="152">
                  <c:v>152</c:v>
                </c:pt>
                <c:pt idx="153">
                  <c:v>153</c:v>
                </c:pt>
                <c:pt idx="154">
                  <c:v>154</c:v>
                </c:pt>
                <c:pt idx="155">
                  <c:v>155</c:v>
                </c:pt>
                <c:pt idx="156">
                  <c:v>156</c:v>
                </c:pt>
                <c:pt idx="157">
                  <c:v>157</c:v>
                </c:pt>
                <c:pt idx="158">
                  <c:v>158</c:v>
                </c:pt>
                <c:pt idx="159">
                  <c:v>159</c:v>
                </c:pt>
                <c:pt idx="160">
                  <c:v>160</c:v>
                </c:pt>
                <c:pt idx="161">
                  <c:v>161</c:v>
                </c:pt>
                <c:pt idx="162">
                  <c:v>162</c:v>
                </c:pt>
                <c:pt idx="163">
                  <c:v>163</c:v>
                </c:pt>
                <c:pt idx="164">
                  <c:v>164</c:v>
                </c:pt>
                <c:pt idx="165">
                  <c:v>165</c:v>
                </c:pt>
                <c:pt idx="166">
                  <c:v>166</c:v>
                </c:pt>
                <c:pt idx="167">
                  <c:v>167</c:v>
                </c:pt>
                <c:pt idx="168">
                  <c:v>168</c:v>
                </c:pt>
                <c:pt idx="169">
                  <c:v>169</c:v>
                </c:pt>
                <c:pt idx="170">
                  <c:v>170</c:v>
                </c:pt>
                <c:pt idx="171">
                  <c:v>171</c:v>
                </c:pt>
                <c:pt idx="172">
                  <c:v>172</c:v>
                </c:pt>
                <c:pt idx="173">
                  <c:v>173</c:v>
                </c:pt>
                <c:pt idx="174">
                  <c:v>174</c:v>
                </c:pt>
                <c:pt idx="175">
                  <c:v>175</c:v>
                </c:pt>
                <c:pt idx="176">
                  <c:v>176</c:v>
                </c:pt>
                <c:pt idx="177">
                  <c:v>177</c:v>
                </c:pt>
                <c:pt idx="178">
                  <c:v>178</c:v>
                </c:pt>
                <c:pt idx="179">
                  <c:v>179</c:v>
                </c:pt>
                <c:pt idx="180">
                  <c:v>180</c:v>
                </c:pt>
                <c:pt idx="181">
                  <c:v>181</c:v>
                </c:pt>
                <c:pt idx="182">
                  <c:v>182</c:v>
                </c:pt>
                <c:pt idx="183">
                  <c:v>183</c:v>
                </c:pt>
                <c:pt idx="184">
                  <c:v>184</c:v>
                </c:pt>
                <c:pt idx="185">
                  <c:v>185</c:v>
                </c:pt>
                <c:pt idx="186">
                  <c:v>186</c:v>
                </c:pt>
                <c:pt idx="187">
                  <c:v>187</c:v>
                </c:pt>
                <c:pt idx="188">
                  <c:v>188</c:v>
                </c:pt>
                <c:pt idx="189">
                  <c:v>189</c:v>
                </c:pt>
                <c:pt idx="190">
                  <c:v>190</c:v>
                </c:pt>
                <c:pt idx="191">
                  <c:v>191</c:v>
                </c:pt>
                <c:pt idx="192">
                  <c:v>192</c:v>
                </c:pt>
              </c:numCache>
            </c:numRef>
          </c:xVal>
          <c:yVal>
            <c:numRef>
              <c:f>Hydrograph!$F$3:$F$279</c:f>
              <c:numCache>
                <c:formatCode>General</c:formatCode>
                <c:ptCount val="277"/>
                <c:pt idx="0">
                  <c:v>0</c:v>
                </c:pt>
                <c:pt idx="1">
                  <c:v>0</c:v>
                </c:pt>
                <c:pt idx="2">
                  <c:v>0</c:v>
                </c:pt>
                <c:pt idx="3">
                  <c:v>0</c:v>
                </c:pt>
                <c:pt idx="4">
                  <c:v>0</c:v>
                </c:pt>
                <c:pt idx="5">
                  <c:v>0</c:v>
                </c:pt>
                <c:pt idx="6">
                  <c:v>0.09</c:v>
                </c:pt>
                <c:pt idx="7">
                  <c:v>0.4</c:v>
                </c:pt>
                <c:pt idx="8">
                  <c:v>1.07</c:v>
                </c:pt>
                <c:pt idx="9">
                  <c:v>2.5299999999999998</c:v>
                </c:pt>
                <c:pt idx="10">
                  <c:v>11.84</c:v>
                </c:pt>
                <c:pt idx="11">
                  <c:v>39.28</c:v>
                </c:pt>
                <c:pt idx="12">
                  <c:v>323.39999999999998</c:v>
                </c:pt>
                <c:pt idx="13">
                  <c:v>1815.6</c:v>
                </c:pt>
                <c:pt idx="14">
                  <c:v>1980.22</c:v>
                </c:pt>
                <c:pt idx="15">
                  <c:v>2687.7</c:v>
                </c:pt>
                <c:pt idx="16">
                  <c:v>3885.38</c:v>
                </c:pt>
                <c:pt idx="17">
                  <c:v>4121.87</c:v>
                </c:pt>
                <c:pt idx="18">
                  <c:v>4016.1</c:v>
                </c:pt>
                <c:pt idx="19">
                  <c:v>3772.32</c:v>
                </c:pt>
                <c:pt idx="20">
                  <c:v>3494.93</c:v>
                </c:pt>
                <c:pt idx="21">
                  <c:v>3248.44</c:v>
                </c:pt>
                <c:pt idx="22">
                  <c:v>3030.94</c:v>
                </c:pt>
                <c:pt idx="23">
                  <c:v>2849.78</c:v>
                </c:pt>
                <c:pt idx="24">
                  <c:v>2765.91</c:v>
                </c:pt>
                <c:pt idx="25">
                  <c:v>2757.23</c:v>
                </c:pt>
                <c:pt idx="26">
                  <c:v>2745.86</c:v>
                </c:pt>
                <c:pt idx="27">
                  <c:v>2701.91</c:v>
                </c:pt>
                <c:pt idx="28">
                  <c:v>2583.23</c:v>
                </c:pt>
                <c:pt idx="29">
                  <c:v>2436.1799999999998</c:v>
                </c:pt>
                <c:pt idx="30">
                  <c:v>2270.98</c:v>
                </c:pt>
                <c:pt idx="31">
                  <c:v>2099.73</c:v>
                </c:pt>
                <c:pt idx="32">
                  <c:v>1930.54</c:v>
                </c:pt>
                <c:pt idx="33">
                  <c:v>1771.46</c:v>
                </c:pt>
                <c:pt idx="34">
                  <c:v>1632.68</c:v>
                </c:pt>
                <c:pt idx="35">
                  <c:v>1512.91</c:v>
                </c:pt>
                <c:pt idx="36">
                  <c:v>1405.98</c:v>
                </c:pt>
                <c:pt idx="37">
                  <c:v>1308.99</c:v>
                </c:pt>
                <c:pt idx="38">
                  <c:v>1253.5999999999999</c:v>
                </c:pt>
                <c:pt idx="39">
                  <c:v>1141.74</c:v>
                </c:pt>
                <c:pt idx="40">
                  <c:v>1087.52</c:v>
                </c:pt>
                <c:pt idx="41">
                  <c:v>1126.06</c:v>
                </c:pt>
                <c:pt idx="42">
                  <c:v>1415.94</c:v>
                </c:pt>
                <c:pt idx="43">
                  <c:v>1999.22</c:v>
                </c:pt>
                <c:pt idx="44">
                  <c:v>2691.24</c:v>
                </c:pt>
                <c:pt idx="45">
                  <c:v>3522.44</c:v>
                </c:pt>
                <c:pt idx="46">
                  <c:v>4433.16</c:v>
                </c:pt>
                <c:pt idx="47">
                  <c:v>5293.46</c:v>
                </c:pt>
                <c:pt idx="48">
                  <c:v>6023.96</c:v>
                </c:pt>
                <c:pt idx="49">
                  <c:v>6571.85</c:v>
                </c:pt>
                <c:pt idx="50">
                  <c:v>6967.49</c:v>
                </c:pt>
                <c:pt idx="51">
                  <c:v>7240.7</c:v>
                </c:pt>
                <c:pt idx="52">
                  <c:v>7412.15</c:v>
                </c:pt>
                <c:pt idx="53">
                  <c:v>7502.57</c:v>
                </c:pt>
                <c:pt idx="54">
                  <c:v>7529.22</c:v>
                </c:pt>
                <c:pt idx="55">
                  <c:v>7505.3</c:v>
                </c:pt>
                <c:pt idx="56">
                  <c:v>7441.52</c:v>
                </c:pt>
                <c:pt idx="57">
                  <c:v>7346.62</c:v>
                </c:pt>
                <c:pt idx="58">
                  <c:v>7227.21</c:v>
                </c:pt>
                <c:pt idx="59">
                  <c:v>7089.06</c:v>
                </c:pt>
                <c:pt idx="60">
                  <c:v>6936.81</c:v>
                </c:pt>
                <c:pt idx="61">
                  <c:v>6776.1</c:v>
                </c:pt>
                <c:pt idx="62">
                  <c:v>6605.74</c:v>
                </c:pt>
                <c:pt idx="63">
                  <c:v>6431.1</c:v>
                </c:pt>
                <c:pt idx="64">
                  <c:v>6254.84</c:v>
                </c:pt>
                <c:pt idx="65">
                  <c:v>6075.54</c:v>
                </c:pt>
                <c:pt idx="66">
                  <c:v>5900.9</c:v>
                </c:pt>
                <c:pt idx="67">
                  <c:v>5725.12</c:v>
                </c:pt>
                <c:pt idx="68">
                  <c:v>5552.32</c:v>
                </c:pt>
                <c:pt idx="69">
                  <c:v>5382.08</c:v>
                </c:pt>
                <c:pt idx="70">
                  <c:v>5214.8900000000003</c:v>
                </c:pt>
                <c:pt idx="71">
                  <c:v>5051.4399999999996</c:v>
                </c:pt>
                <c:pt idx="72">
                  <c:v>4892.08</c:v>
                </c:pt>
                <c:pt idx="73">
                  <c:v>4736.26</c:v>
                </c:pt>
                <c:pt idx="74">
                  <c:v>4585.79</c:v>
                </c:pt>
                <c:pt idx="75">
                  <c:v>4439.62</c:v>
                </c:pt>
                <c:pt idx="76">
                  <c:v>4298.63</c:v>
                </c:pt>
                <c:pt idx="77">
                  <c:v>4163.03</c:v>
                </c:pt>
                <c:pt idx="78">
                  <c:v>4031.69</c:v>
                </c:pt>
                <c:pt idx="79">
                  <c:v>3905.25</c:v>
                </c:pt>
                <c:pt idx="80">
                  <c:v>3783.52</c:v>
                </c:pt>
                <c:pt idx="81">
                  <c:v>3667.26</c:v>
                </c:pt>
                <c:pt idx="82">
                  <c:v>3555.76</c:v>
                </c:pt>
                <c:pt idx="83">
                  <c:v>3448.8</c:v>
                </c:pt>
                <c:pt idx="84">
                  <c:v>3346.75</c:v>
                </c:pt>
                <c:pt idx="85">
                  <c:v>3247.15</c:v>
                </c:pt>
                <c:pt idx="86">
                  <c:v>3152.47</c:v>
                </c:pt>
                <c:pt idx="87">
                  <c:v>3062.1</c:v>
                </c:pt>
                <c:pt idx="88">
                  <c:v>2975.62</c:v>
                </c:pt>
                <c:pt idx="89">
                  <c:v>2892.48</c:v>
                </c:pt>
                <c:pt idx="90">
                  <c:v>2820.79</c:v>
                </c:pt>
                <c:pt idx="91">
                  <c:v>2738.2</c:v>
                </c:pt>
                <c:pt idx="92">
                  <c:v>2665.57</c:v>
                </c:pt>
                <c:pt idx="93">
                  <c:v>2596.2600000000002</c:v>
                </c:pt>
                <c:pt idx="94">
                  <c:v>2536.39</c:v>
                </c:pt>
                <c:pt idx="95">
                  <c:v>2467.64</c:v>
                </c:pt>
                <c:pt idx="96">
                  <c:v>2407.7399999999998</c:v>
                </c:pt>
                <c:pt idx="97">
                  <c:v>2350.71</c:v>
                </c:pt>
                <c:pt idx="98">
                  <c:v>2296.25</c:v>
                </c:pt>
                <c:pt idx="99">
                  <c:v>2246.12</c:v>
                </c:pt>
                <c:pt idx="100">
                  <c:v>2196.34</c:v>
                </c:pt>
                <c:pt idx="101">
                  <c:v>2147.35</c:v>
                </c:pt>
                <c:pt idx="102">
                  <c:v>2100.98</c:v>
                </c:pt>
                <c:pt idx="103">
                  <c:v>2056.52</c:v>
                </c:pt>
                <c:pt idx="104">
                  <c:v>2013.92</c:v>
                </c:pt>
                <c:pt idx="105">
                  <c:v>1973.01</c:v>
                </c:pt>
                <c:pt idx="106">
                  <c:v>1933.82</c:v>
                </c:pt>
                <c:pt idx="107">
                  <c:v>1896.32</c:v>
                </c:pt>
                <c:pt idx="108">
                  <c:v>1859.97</c:v>
                </c:pt>
                <c:pt idx="109">
                  <c:v>1824.9</c:v>
                </c:pt>
                <c:pt idx="110">
                  <c:v>1790.84</c:v>
                </c:pt>
                <c:pt idx="111">
                  <c:v>1758.18</c:v>
                </c:pt>
                <c:pt idx="112">
                  <c:v>1726.63</c:v>
                </c:pt>
                <c:pt idx="113">
                  <c:v>1695.9</c:v>
                </c:pt>
                <c:pt idx="114">
                  <c:v>1666.56</c:v>
                </c:pt>
                <c:pt idx="115">
                  <c:v>1638.4</c:v>
                </c:pt>
                <c:pt idx="116">
                  <c:v>1610.61</c:v>
                </c:pt>
                <c:pt idx="117">
                  <c:v>1583.5</c:v>
                </c:pt>
                <c:pt idx="118">
                  <c:v>1557.31</c:v>
                </c:pt>
                <c:pt idx="119">
                  <c:v>1532</c:v>
                </c:pt>
                <c:pt idx="120">
                  <c:v>1507.36</c:v>
                </c:pt>
                <c:pt idx="121">
                  <c:v>1483.18</c:v>
                </c:pt>
                <c:pt idx="122">
                  <c:v>1460.56</c:v>
                </c:pt>
                <c:pt idx="123">
                  <c:v>1436.11</c:v>
                </c:pt>
                <c:pt idx="124">
                  <c:v>1413.21</c:v>
                </c:pt>
                <c:pt idx="125">
                  <c:v>1390.59</c:v>
                </c:pt>
                <c:pt idx="126">
                  <c:v>1368.55</c:v>
                </c:pt>
                <c:pt idx="127">
                  <c:v>1346.77</c:v>
                </c:pt>
                <c:pt idx="128">
                  <c:v>1326.08</c:v>
                </c:pt>
                <c:pt idx="129">
                  <c:v>1305.76</c:v>
                </c:pt>
                <c:pt idx="130">
                  <c:v>1285.83</c:v>
                </c:pt>
                <c:pt idx="131">
                  <c:v>1266.4100000000001</c:v>
                </c:pt>
                <c:pt idx="132">
                  <c:v>1247.3499999999999</c:v>
                </c:pt>
                <c:pt idx="133">
                  <c:v>1228.75</c:v>
                </c:pt>
                <c:pt idx="134">
                  <c:v>1210.6099999999999</c:v>
                </c:pt>
                <c:pt idx="135">
                  <c:v>1193.02</c:v>
                </c:pt>
                <c:pt idx="136">
                  <c:v>1175.58</c:v>
                </c:pt>
                <c:pt idx="137">
                  <c:v>1158.7</c:v>
                </c:pt>
                <c:pt idx="138">
                  <c:v>1142.3599999999999</c:v>
                </c:pt>
                <c:pt idx="139">
                  <c:v>1126.3800000000001</c:v>
                </c:pt>
                <c:pt idx="140">
                  <c:v>1110.69</c:v>
                </c:pt>
                <c:pt idx="141">
                  <c:v>1095.49</c:v>
                </c:pt>
                <c:pt idx="142">
                  <c:v>1081.27</c:v>
                </c:pt>
                <c:pt idx="143">
                  <c:v>1067.97</c:v>
                </c:pt>
                <c:pt idx="144">
                  <c:v>1054.5</c:v>
                </c:pt>
                <c:pt idx="145">
                  <c:v>1040.82</c:v>
                </c:pt>
                <c:pt idx="146">
                  <c:v>1027.04</c:v>
                </c:pt>
                <c:pt idx="147">
                  <c:v>1013.4</c:v>
                </c:pt>
                <c:pt idx="148">
                  <c:v>1000.4</c:v>
                </c:pt>
                <c:pt idx="149">
                  <c:v>987.6</c:v>
                </c:pt>
                <c:pt idx="150">
                  <c:v>975.19</c:v>
                </c:pt>
                <c:pt idx="151">
                  <c:v>962.99</c:v>
                </c:pt>
                <c:pt idx="152">
                  <c:v>951.09</c:v>
                </c:pt>
                <c:pt idx="153">
                  <c:v>939.62</c:v>
                </c:pt>
                <c:pt idx="154">
                  <c:v>928.82</c:v>
                </c:pt>
                <c:pt idx="155">
                  <c:v>917.64</c:v>
                </c:pt>
                <c:pt idx="156">
                  <c:v>906.83</c:v>
                </c:pt>
                <c:pt idx="157">
                  <c:v>896.17</c:v>
                </c:pt>
                <c:pt idx="158">
                  <c:v>885.52</c:v>
                </c:pt>
                <c:pt idx="159">
                  <c:v>875.28</c:v>
                </c:pt>
                <c:pt idx="160">
                  <c:v>865.32</c:v>
                </c:pt>
                <c:pt idx="161">
                  <c:v>855.39</c:v>
                </c:pt>
                <c:pt idx="162">
                  <c:v>845.59</c:v>
                </c:pt>
                <c:pt idx="163">
                  <c:v>835.95</c:v>
                </c:pt>
                <c:pt idx="164">
                  <c:v>826.37</c:v>
                </c:pt>
                <c:pt idx="165">
                  <c:v>816.98</c:v>
                </c:pt>
                <c:pt idx="166">
                  <c:v>807.79</c:v>
                </c:pt>
                <c:pt idx="167">
                  <c:v>798.77</c:v>
                </c:pt>
                <c:pt idx="168">
                  <c:v>789.82</c:v>
                </c:pt>
                <c:pt idx="169">
                  <c:v>9446.8799999999992</c:v>
                </c:pt>
                <c:pt idx="170">
                  <c:v>9393.75</c:v>
                </c:pt>
                <c:pt idx="171">
                  <c:v>9340.6299999999992</c:v>
                </c:pt>
                <c:pt idx="172">
                  <c:v>9287.5</c:v>
                </c:pt>
                <c:pt idx="173">
                  <c:v>9234.3799999999992</c:v>
                </c:pt>
                <c:pt idx="174">
                  <c:v>9181.25</c:v>
                </c:pt>
                <c:pt idx="175">
                  <c:v>9128.1299999999992</c:v>
                </c:pt>
                <c:pt idx="176">
                  <c:v>9075</c:v>
                </c:pt>
                <c:pt idx="177">
                  <c:v>9021.8799999999992</c:v>
                </c:pt>
                <c:pt idx="178">
                  <c:v>8968.75</c:v>
                </c:pt>
                <c:pt idx="179">
                  <c:v>8915.6299999999992</c:v>
                </c:pt>
                <c:pt idx="180">
                  <c:v>8862.5</c:v>
                </c:pt>
                <c:pt idx="181">
                  <c:v>8809.3799999999992</c:v>
                </c:pt>
                <c:pt idx="182">
                  <c:v>8756.25</c:v>
                </c:pt>
                <c:pt idx="183">
                  <c:v>8703.1299999999992</c:v>
                </c:pt>
                <c:pt idx="184">
                  <c:v>8650</c:v>
                </c:pt>
                <c:pt idx="185">
                  <c:v>8596.8799999999992</c:v>
                </c:pt>
                <c:pt idx="186">
                  <c:v>8543.75</c:v>
                </c:pt>
                <c:pt idx="187">
                  <c:v>8490.6299999999992</c:v>
                </c:pt>
                <c:pt idx="188">
                  <c:v>8437.5</c:v>
                </c:pt>
                <c:pt idx="189">
                  <c:v>8384.3799999999992</c:v>
                </c:pt>
                <c:pt idx="190">
                  <c:v>8331.25</c:v>
                </c:pt>
                <c:pt idx="191">
                  <c:v>8278.1299999999992</c:v>
                </c:pt>
                <c:pt idx="192">
                  <c:v>8225</c:v>
                </c:pt>
              </c:numCache>
            </c:numRef>
          </c:yVal>
          <c:smooth val="1"/>
          <c:extLst xmlns:c16r2="http://schemas.microsoft.com/office/drawing/2015/06/chart">
            <c:ext xmlns:c16="http://schemas.microsoft.com/office/drawing/2014/chart" uri="{C3380CC4-5D6E-409C-BE32-E72D297353CC}">
              <c16:uniqueId val="{00000000-E7E6-4E91-9803-CDE02648605D}"/>
            </c:ext>
          </c:extLst>
        </c:ser>
        <c:ser>
          <c:idx val="3"/>
          <c:order val="1"/>
          <c:tx>
            <c:v>1 Percent Annual Chance</c:v>
          </c:tx>
          <c:spPr>
            <a:ln>
              <a:solidFill>
                <a:schemeClr val="tx1"/>
              </a:solidFill>
            </a:ln>
          </c:spPr>
          <c:marker>
            <c:symbol val="none"/>
          </c:marker>
          <c:xVal>
            <c:numRef>
              <c:f>Hydrograph!$A$3:$A$279</c:f>
              <c:numCache>
                <c:formatCode>0.00</c:formatCode>
                <c:ptCount val="277"/>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pt idx="101">
                  <c:v>101</c:v>
                </c:pt>
                <c:pt idx="102">
                  <c:v>102</c:v>
                </c:pt>
                <c:pt idx="103">
                  <c:v>103</c:v>
                </c:pt>
                <c:pt idx="104">
                  <c:v>104</c:v>
                </c:pt>
                <c:pt idx="105">
                  <c:v>105</c:v>
                </c:pt>
                <c:pt idx="106">
                  <c:v>106</c:v>
                </c:pt>
                <c:pt idx="107">
                  <c:v>107</c:v>
                </c:pt>
                <c:pt idx="108">
                  <c:v>108</c:v>
                </c:pt>
                <c:pt idx="109">
                  <c:v>109</c:v>
                </c:pt>
                <c:pt idx="110">
                  <c:v>110</c:v>
                </c:pt>
                <c:pt idx="111">
                  <c:v>111</c:v>
                </c:pt>
                <c:pt idx="112">
                  <c:v>112</c:v>
                </c:pt>
                <c:pt idx="113">
                  <c:v>113</c:v>
                </c:pt>
                <c:pt idx="114">
                  <c:v>114</c:v>
                </c:pt>
                <c:pt idx="115">
                  <c:v>115</c:v>
                </c:pt>
                <c:pt idx="116">
                  <c:v>116</c:v>
                </c:pt>
                <c:pt idx="117">
                  <c:v>117</c:v>
                </c:pt>
                <c:pt idx="118">
                  <c:v>118</c:v>
                </c:pt>
                <c:pt idx="119">
                  <c:v>119</c:v>
                </c:pt>
                <c:pt idx="120">
                  <c:v>120</c:v>
                </c:pt>
                <c:pt idx="121">
                  <c:v>121</c:v>
                </c:pt>
                <c:pt idx="122">
                  <c:v>122</c:v>
                </c:pt>
                <c:pt idx="123">
                  <c:v>123</c:v>
                </c:pt>
                <c:pt idx="124">
                  <c:v>124</c:v>
                </c:pt>
                <c:pt idx="125">
                  <c:v>125</c:v>
                </c:pt>
                <c:pt idx="126">
                  <c:v>126</c:v>
                </c:pt>
                <c:pt idx="127">
                  <c:v>127</c:v>
                </c:pt>
                <c:pt idx="128">
                  <c:v>128</c:v>
                </c:pt>
                <c:pt idx="129">
                  <c:v>129</c:v>
                </c:pt>
                <c:pt idx="130">
                  <c:v>130</c:v>
                </c:pt>
                <c:pt idx="131">
                  <c:v>131</c:v>
                </c:pt>
                <c:pt idx="132">
                  <c:v>132</c:v>
                </c:pt>
                <c:pt idx="133">
                  <c:v>133</c:v>
                </c:pt>
                <c:pt idx="134">
                  <c:v>134</c:v>
                </c:pt>
                <c:pt idx="135">
                  <c:v>135</c:v>
                </c:pt>
                <c:pt idx="136">
                  <c:v>136</c:v>
                </c:pt>
                <c:pt idx="137">
                  <c:v>137</c:v>
                </c:pt>
                <c:pt idx="138">
                  <c:v>138</c:v>
                </c:pt>
                <c:pt idx="139">
                  <c:v>139</c:v>
                </c:pt>
                <c:pt idx="140">
                  <c:v>140</c:v>
                </c:pt>
                <c:pt idx="141">
                  <c:v>141</c:v>
                </c:pt>
                <c:pt idx="142">
                  <c:v>142</c:v>
                </c:pt>
                <c:pt idx="143">
                  <c:v>143</c:v>
                </c:pt>
                <c:pt idx="144">
                  <c:v>144</c:v>
                </c:pt>
                <c:pt idx="145">
                  <c:v>145</c:v>
                </c:pt>
                <c:pt idx="146">
                  <c:v>146</c:v>
                </c:pt>
                <c:pt idx="147">
                  <c:v>147</c:v>
                </c:pt>
                <c:pt idx="148">
                  <c:v>148</c:v>
                </c:pt>
                <c:pt idx="149">
                  <c:v>149</c:v>
                </c:pt>
                <c:pt idx="150">
                  <c:v>150</c:v>
                </c:pt>
                <c:pt idx="151">
                  <c:v>151</c:v>
                </c:pt>
                <c:pt idx="152">
                  <c:v>152</c:v>
                </c:pt>
                <c:pt idx="153">
                  <c:v>153</c:v>
                </c:pt>
                <c:pt idx="154">
                  <c:v>154</c:v>
                </c:pt>
                <c:pt idx="155">
                  <c:v>155</c:v>
                </c:pt>
                <c:pt idx="156">
                  <c:v>156</c:v>
                </c:pt>
                <c:pt idx="157">
                  <c:v>157</c:v>
                </c:pt>
                <c:pt idx="158">
                  <c:v>158</c:v>
                </c:pt>
                <c:pt idx="159">
                  <c:v>159</c:v>
                </c:pt>
                <c:pt idx="160">
                  <c:v>160</c:v>
                </c:pt>
                <c:pt idx="161">
                  <c:v>161</c:v>
                </c:pt>
                <c:pt idx="162">
                  <c:v>162</c:v>
                </c:pt>
                <c:pt idx="163">
                  <c:v>163</c:v>
                </c:pt>
                <c:pt idx="164">
                  <c:v>164</c:v>
                </c:pt>
                <c:pt idx="165">
                  <c:v>165</c:v>
                </c:pt>
                <c:pt idx="166">
                  <c:v>166</c:v>
                </c:pt>
                <c:pt idx="167">
                  <c:v>167</c:v>
                </c:pt>
                <c:pt idx="168">
                  <c:v>168</c:v>
                </c:pt>
                <c:pt idx="169">
                  <c:v>169</c:v>
                </c:pt>
                <c:pt idx="170">
                  <c:v>170</c:v>
                </c:pt>
                <c:pt idx="171">
                  <c:v>171</c:v>
                </c:pt>
                <c:pt idx="172">
                  <c:v>172</c:v>
                </c:pt>
                <c:pt idx="173">
                  <c:v>173</c:v>
                </c:pt>
                <c:pt idx="174">
                  <c:v>174</c:v>
                </c:pt>
                <c:pt idx="175">
                  <c:v>175</c:v>
                </c:pt>
                <c:pt idx="176">
                  <c:v>176</c:v>
                </c:pt>
                <c:pt idx="177">
                  <c:v>177</c:v>
                </c:pt>
                <c:pt idx="178">
                  <c:v>178</c:v>
                </c:pt>
                <c:pt idx="179">
                  <c:v>179</c:v>
                </c:pt>
                <c:pt idx="180">
                  <c:v>180</c:v>
                </c:pt>
                <c:pt idx="181">
                  <c:v>181</c:v>
                </c:pt>
                <c:pt idx="182">
                  <c:v>182</c:v>
                </c:pt>
                <c:pt idx="183">
                  <c:v>183</c:v>
                </c:pt>
                <c:pt idx="184">
                  <c:v>184</c:v>
                </c:pt>
                <c:pt idx="185">
                  <c:v>185</c:v>
                </c:pt>
                <c:pt idx="186">
                  <c:v>186</c:v>
                </c:pt>
                <c:pt idx="187">
                  <c:v>187</c:v>
                </c:pt>
                <c:pt idx="188">
                  <c:v>188</c:v>
                </c:pt>
                <c:pt idx="189">
                  <c:v>189</c:v>
                </c:pt>
                <c:pt idx="190">
                  <c:v>190</c:v>
                </c:pt>
                <c:pt idx="191">
                  <c:v>191</c:v>
                </c:pt>
                <c:pt idx="192">
                  <c:v>192</c:v>
                </c:pt>
              </c:numCache>
            </c:numRef>
          </c:xVal>
          <c:yVal>
            <c:numRef>
              <c:f>Hydrograph!$E$3:$E$279</c:f>
              <c:numCache>
                <c:formatCode>General</c:formatCode>
                <c:ptCount val="277"/>
                <c:pt idx="0">
                  <c:v>0</c:v>
                </c:pt>
                <c:pt idx="1">
                  <c:v>0</c:v>
                </c:pt>
                <c:pt idx="2">
                  <c:v>0</c:v>
                </c:pt>
                <c:pt idx="3">
                  <c:v>0</c:v>
                </c:pt>
                <c:pt idx="4">
                  <c:v>0</c:v>
                </c:pt>
                <c:pt idx="5">
                  <c:v>0</c:v>
                </c:pt>
                <c:pt idx="6">
                  <c:v>0</c:v>
                </c:pt>
                <c:pt idx="7">
                  <c:v>0.02</c:v>
                </c:pt>
                <c:pt idx="8">
                  <c:v>0.18</c:v>
                </c:pt>
                <c:pt idx="9">
                  <c:v>0.63</c:v>
                </c:pt>
                <c:pt idx="10">
                  <c:v>1.75</c:v>
                </c:pt>
                <c:pt idx="11">
                  <c:v>6.17</c:v>
                </c:pt>
                <c:pt idx="12">
                  <c:v>149.63999999999999</c:v>
                </c:pt>
                <c:pt idx="13">
                  <c:v>747.77</c:v>
                </c:pt>
                <c:pt idx="14">
                  <c:v>1106.5899999999999</c:v>
                </c:pt>
                <c:pt idx="15">
                  <c:v>921.01</c:v>
                </c:pt>
                <c:pt idx="16">
                  <c:v>1277.8800000000001</c:v>
                </c:pt>
                <c:pt idx="17">
                  <c:v>2006.11</c:v>
                </c:pt>
                <c:pt idx="18">
                  <c:v>2302.02</c:v>
                </c:pt>
                <c:pt idx="19">
                  <c:v>2365.6</c:v>
                </c:pt>
                <c:pt idx="20">
                  <c:v>2321.7600000000002</c:v>
                </c:pt>
                <c:pt idx="21">
                  <c:v>2216.31</c:v>
                </c:pt>
                <c:pt idx="22">
                  <c:v>2074.73</c:v>
                </c:pt>
                <c:pt idx="23">
                  <c:v>1937.85</c:v>
                </c:pt>
                <c:pt idx="24">
                  <c:v>1819.7</c:v>
                </c:pt>
                <c:pt idx="25">
                  <c:v>1707.63</c:v>
                </c:pt>
                <c:pt idx="26">
                  <c:v>1601.43</c:v>
                </c:pt>
                <c:pt idx="27">
                  <c:v>1491.94</c:v>
                </c:pt>
                <c:pt idx="28">
                  <c:v>1390.31</c:v>
                </c:pt>
                <c:pt idx="29">
                  <c:v>1292.3699999999999</c:v>
                </c:pt>
                <c:pt idx="30">
                  <c:v>1195.71</c:v>
                </c:pt>
                <c:pt idx="31">
                  <c:v>1101.8499999999999</c:v>
                </c:pt>
                <c:pt idx="32">
                  <c:v>1013.92</c:v>
                </c:pt>
                <c:pt idx="33">
                  <c:v>931.29</c:v>
                </c:pt>
                <c:pt idx="34">
                  <c:v>849.28</c:v>
                </c:pt>
                <c:pt idx="35">
                  <c:v>775.12</c:v>
                </c:pt>
                <c:pt idx="36">
                  <c:v>706.6</c:v>
                </c:pt>
                <c:pt idx="37">
                  <c:v>651.09</c:v>
                </c:pt>
                <c:pt idx="38">
                  <c:v>589.82000000000005</c:v>
                </c:pt>
                <c:pt idx="39">
                  <c:v>537.20000000000005</c:v>
                </c:pt>
                <c:pt idx="40">
                  <c:v>495.54</c:v>
                </c:pt>
                <c:pt idx="41">
                  <c:v>461.85</c:v>
                </c:pt>
                <c:pt idx="42">
                  <c:v>436.05</c:v>
                </c:pt>
                <c:pt idx="43">
                  <c:v>415.62</c:v>
                </c:pt>
                <c:pt idx="44">
                  <c:v>397.51</c:v>
                </c:pt>
                <c:pt idx="45">
                  <c:v>380.85</c:v>
                </c:pt>
                <c:pt idx="46">
                  <c:v>365.21</c:v>
                </c:pt>
                <c:pt idx="47">
                  <c:v>349.69</c:v>
                </c:pt>
                <c:pt idx="48">
                  <c:v>334.93</c:v>
                </c:pt>
                <c:pt idx="49">
                  <c:v>320.94</c:v>
                </c:pt>
                <c:pt idx="50">
                  <c:v>307.17</c:v>
                </c:pt>
                <c:pt idx="51">
                  <c:v>293.89</c:v>
                </c:pt>
                <c:pt idx="52">
                  <c:v>281.37</c:v>
                </c:pt>
                <c:pt idx="53">
                  <c:v>269.14999999999998</c:v>
                </c:pt>
                <c:pt idx="54">
                  <c:v>257.14999999999998</c:v>
                </c:pt>
                <c:pt idx="55">
                  <c:v>245.84</c:v>
                </c:pt>
                <c:pt idx="56">
                  <c:v>235.01</c:v>
                </c:pt>
                <c:pt idx="57">
                  <c:v>224.81</c:v>
                </c:pt>
                <c:pt idx="58">
                  <c:v>215.29</c:v>
                </c:pt>
                <c:pt idx="59">
                  <c:v>206.06</c:v>
                </c:pt>
                <c:pt idx="60">
                  <c:v>197.36</c:v>
                </c:pt>
                <c:pt idx="61">
                  <c:v>189.09</c:v>
                </c:pt>
                <c:pt idx="62">
                  <c:v>181.29</c:v>
                </c:pt>
                <c:pt idx="63">
                  <c:v>173.58</c:v>
                </c:pt>
                <c:pt idx="64">
                  <c:v>166.43</c:v>
                </c:pt>
                <c:pt idx="65">
                  <c:v>161.68</c:v>
                </c:pt>
                <c:pt idx="66">
                  <c:v>154.21</c:v>
                </c:pt>
                <c:pt idx="67">
                  <c:v>148.44</c:v>
                </c:pt>
                <c:pt idx="68">
                  <c:v>142.88999999999999</c:v>
                </c:pt>
                <c:pt idx="69">
                  <c:v>137.62</c:v>
                </c:pt>
                <c:pt idx="70">
                  <c:v>132.6</c:v>
                </c:pt>
                <c:pt idx="71">
                  <c:v>127.84</c:v>
                </c:pt>
                <c:pt idx="72">
                  <c:v>123.4</c:v>
                </c:pt>
                <c:pt idx="73">
                  <c:v>119.13</c:v>
                </c:pt>
                <c:pt idx="74">
                  <c:v>115.02</c:v>
                </c:pt>
                <c:pt idx="75">
                  <c:v>111.15</c:v>
                </c:pt>
                <c:pt idx="76">
                  <c:v>107.54</c:v>
                </c:pt>
                <c:pt idx="77">
                  <c:v>103.89</c:v>
                </c:pt>
                <c:pt idx="78">
                  <c:v>100.46</c:v>
                </c:pt>
                <c:pt idx="79">
                  <c:v>97.18</c:v>
                </c:pt>
                <c:pt idx="80">
                  <c:v>94.04</c:v>
                </c:pt>
                <c:pt idx="81">
                  <c:v>91.08</c:v>
                </c:pt>
                <c:pt idx="82">
                  <c:v>88.31</c:v>
                </c:pt>
                <c:pt idx="83">
                  <c:v>85.67</c:v>
                </c:pt>
                <c:pt idx="84">
                  <c:v>83.25</c:v>
                </c:pt>
                <c:pt idx="85">
                  <c:v>82.66</c:v>
                </c:pt>
                <c:pt idx="86">
                  <c:v>81.22</c:v>
                </c:pt>
                <c:pt idx="87">
                  <c:v>79.209999999999994</c:v>
                </c:pt>
                <c:pt idx="88">
                  <c:v>77.709999999999994</c:v>
                </c:pt>
                <c:pt idx="89">
                  <c:v>76.88</c:v>
                </c:pt>
                <c:pt idx="90">
                  <c:v>77.680000000000007</c:v>
                </c:pt>
                <c:pt idx="91">
                  <c:v>81.510000000000005</c:v>
                </c:pt>
                <c:pt idx="92">
                  <c:v>90.85</c:v>
                </c:pt>
                <c:pt idx="93">
                  <c:v>110.54</c:v>
                </c:pt>
                <c:pt idx="94">
                  <c:v>143.18</c:v>
                </c:pt>
                <c:pt idx="95">
                  <c:v>192.11</c:v>
                </c:pt>
                <c:pt idx="96">
                  <c:v>244.93</c:v>
                </c:pt>
                <c:pt idx="97">
                  <c:v>297.10000000000002</c:v>
                </c:pt>
                <c:pt idx="98">
                  <c:v>345.7</c:v>
                </c:pt>
                <c:pt idx="99">
                  <c:v>387.77</c:v>
                </c:pt>
                <c:pt idx="100">
                  <c:v>423.62</c:v>
                </c:pt>
                <c:pt idx="101">
                  <c:v>453.69</c:v>
                </c:pt>
                <c:pt idx="102">
                  <c:v>479.03</c:v>
                </c:pt>
                <c:pt idx="103">
                  <c:v>500.8</c:v>
                </c:pt>
                <c:pt idx="104">
                  <c:v>516.09</c:v>
                </c:pt>
                <c:pt idx="105">
                  <c:v>533.29</c:v>
                </c:pt>
                <c:pt idx="106">
                  <c:v>547.44000000000005</c:v>
                </c:pt>
                <c:pt idx="107">
                  <c:v>560.1</c:v>
                </c:pt>
                <c:pt idx="108">
                  <c:v>571.51</c:v>
                </c:pt>
                <c:pt idx="109">
                  <c:v>581.88</c:v>
                </c:pt>
                <c:pt idx="110">
                  <c:v>591.26</c:v>
                </c:pt>
                <c:pt idx="111">
                  <c:v>599.42999999999995</c:v>
                </c:pt>
                <c:pt idx="112">
                  <c:v>606.71</c:v>
                </c:pt>
                <c:pt idx="113">
                  <c:v>613.11</c:v>
                </c:pt>
                <c:pt idx="114">
                  <c:v>618.65</c:v>
                </c:pt>
                <c:pt idx="115">
                  <c:v>623.51</c:v>
                </c:pt>
                <c:pt idx="116">
                  <c:v>627.75</c:v>
                </c:pt>
                <c:pt idx="117">
                  <c:v>631.41999999999996</c:v>
                </c:pt>
                <c:pt idx="118">
                  <c:v>634.55999999999995</c:v>
                </c:pt>
                <c:pt idx="119">
                  <c:v>637.15</c:v>
                </c:pt>
                <c:pt idx="120">
                  <c:v>639.25</c:v>
                </c:pt>
                <c:pt idx="121">
                  <c:v>640.79</c:v>
                </c:pt>
                <c:pt idx="122">
                  <c:v>641.83000000000004</c:v>
                </c:pt>
                <c:pt idx="123">
                  <c:v>642.41</c:v>
                </c:pt>
                <c:pt idx="124">
                  <c:v>642.74</c:v>
                </c:pt>
                <c:pt idx="125">
                  <c:v>643.14</c:v>
                </c:pt>
                <c:pt idx="126">
                  <c:v>643.21</c:v>
                </c:pt>
                <c:pt idx="127">
                  <c:v>642.51</c:v>
                </c:pt>
                <c:pt idx="128">
                  <c:v>641.07000000000005</c:v>
                </c:pt>
                <c:pt idx="129">
                  <c:v>639.14</c:v>
                </c:pt>
                <c:pt idx="130">
                  <c:v>636.91999999999996</c:v>
                </c:pt>
                <c:pt idx="131">
                  <c:v>634.52</c:v>
                </c:pt>
                <c:pt idx="132">
                  <c:v>631.96</c:v>
                </c:pt>
                <c:pt idx="133">
                  <c:v>629.24</c:v>
                </c:pt>
                <c:pt idx="134">
                  <c:v>626.36</c:v>
                </c:pt>
                <c:pt idx="135">
                  <c:v>623.32000000000005</c:v>
                </c:pt>
                <c:pt idx="136">
                  <c:v>620.15</c:v>
                </c:pt>
                <c:pt idx="137">
                  <c:v>616.84</c:v>
                </c:pt>
                <c:pt idx="138">
                  <c:v>613.47</c:v>
                </c:pt>
                <c:pt idx="139">
                  <c:v>610.03</c:v>
                </c:pt>
                <c:pt idx="140">
                  <c:v>606.48</c:v>
                </c:pt>
                <c:pt idx="141">
                  <c:v>602.94000000000005</c:v>
                </c:pt>
                <c:pt idx="142">
                  <c:v>599.24</c:v>
                </c:pt>
                <c:pt idx="143">
                  <c:v>595.23</c:v>
                </c:pt>
                <c:pt idx="144">
                  <c:v>591.04</c:v>
                </c:pt>
                <c:pt idx="145">
                  <c:v>586.80999999999995</c:v>
                </c:pt>
                <c:pt idx="146">
                  <c:v>582.58000000000004</c:v>
                </c:pt>
                <c:pt idx="147">
                  <c:v>578.36</c:v>
                </c:pt>
                <c:pt idx="148">
                  <c:v>574.13</c:v>
                </c:pt>
                <c:pt idx="149">
                  <c:v>569.88</c:v>
                </c:pt>
                <c:pt idx="150">
                  <c:v>565.63</c:v>
                </c:pt>
                <c:pt idx="151">
                  <c:v>561.4</c:v>
                </c:pt>
                <c:pt idx="152">
                  <c:v>557.13</c:v>
                </c:pt>
                <c:pt idx="153">
                  <c:v>552.83000000000004</c:v>
                </c:pt>
                <c:pt idx="154">
                  <c:v>548.53</c:v>
                </c:pt>
                <c:pt idx="155">
                  <c:v>544.33000000000004</c:v>
                </c:pt>
                <c:pt idx="156">
                  <c:v>540.13</c:v>
                </c:pt>
                <c:pt idx="157">
                  <c:v>535.87</c:v>
                </c:pt>
                <c:pt idx="158">
                  <c:v>531.45000000000005</c:v>
                </c:pt>
                <c:pt idx="159">
                  <c:v>526.84</c:v>
                </c:pt>
                <c:pt idx="160">
                  <c:v>522.25</c:v>
                </c:pt>
                <c:pt idx="161">
                  <c:v>517.70000000000005</c:v>
                </c:pt>
                <c:pt idx="162">
                  <c:v>513.21</c:v>
                </c:pt>
                <c:pt idx="163">
                  <c:v>508.78</c:v>
                </c:pt>
                <c:pt idx="164">
                  <c:v>504.33</c:v>
                </c:pt>
                <c:pt idx="165">
                  <c:v>499.94</c:v>
                </c:pt>
                <c:pt idx="166">
                  <c:v>495.61</c:v>
                </c:pt>
                <c:pt idx="167">
                  <c:v>493.08</c:v>
                </c:pt>
                <c:pt idx="168">
                  <c:v>485.5</c:v>
                </c:pt>
                <c:pt idx="169">
                  <c:v>10794.14</c:v>
                </c:pt>
                <c:pt idx="170">
                  <c:v>10777.25</c:v>
                </c:pt>
                <c:pt idx="171">
                  <c:v>10760.35</c:v>
                </c:pt>
                <c:pt idx="172">
                  <c:v>10743.45</c:v>
                </c:pt>
                <c:pt idx="173">
                  <c:v>10726.56</c:v>
                </c:pt>
                <c:pt idx="174">
                  <c:v>10709.66</c:v>
                </c:pt>
                <c:pt idx="175">
                  <c:v>10692.76</c:v>
                </c:pt>
                <c:pt idx="176">
                  <c:v>10675.87</c:v>
                </c:pt>
                <c:pt idx="177">
                  <c:v>10658.97</c:v>
                </c:pt>
                <c:pt idx="178">
                  <c:v>10642.07</c:v>
                </c:pt>
                <c:pt idx="179">
                  <c:v>10625.18</c:v>
                </c:pt>
                <c:pt idx="180">
                  <c:v>10608.28</c:v>
                </c:pt>
                <c:pt idx="181">
                  <c:v>10591.38</c:v>
                </c:pt>
                <c:pt idx="182">
                  <c:v>10574.49</c:v>
                </c:pt>
                <c:pt idx="183">
                  <c:v>10557.59</c:v>
                </c:pt>
                <c:pt idx="184">
                  <c:v>10540.69</c:v>
                </c:pt>
                <c:pt idx="185">
                  <c:v>10523.8</c:v>
                </c:pt>
                <c:pt idx="186">
                  <c:v>10506.9</c:v>
                </c:pt>
                <c:pt idx="187">
                  <c:v>10490</c:v>
                </c:pt>
                <c:pt idx="188">
                  <c:v>10473.11</c:v>
                </c:pt>
                <c:pt idx="189">
                  <c:v>10456.209999999999</c:v>
                </c:pt>
                <c:pt idx="190">
                  <c:v>10439.31</c:v>
                </c:pt>
                <c:pt idx="191">
                  <c:v>10422.42</c:v>
                </c:pt>
                <c:pt idx="192">
                  <c:v>10405.52</c:v>
                </c:pt>
              </c:numCache>
            </c:numRef>
          </c:yVal>
          <c:smooth val="1"/>
          <c:extLst xmlns:c16r2="http://schemas.microsoft.com/office/drawing/2015/06/chart">
            <c:ext xmlns:c16="http://schemas.microsoft.com/office/drawing/2014/chart" uri="{C3380CC4-5D6E-409C-BE32-E72D297353CC}">
              <c16:uniqueId val="{00000001-E7E6-4E91-9803-CDE02648605D}"/>
            </c:ext>
          </c:extLst>
        </c:ser>
        <c:ser>
          <c:idx val="2"/>
          <c:order val="2"/>
          <c:tx>
            <c:v>2 Percent Annual Chance</c:v>
          </c:tx>
          <c:spPr>
            <a:ln>
              <a:solidFill>
                <a:schemeClr val="tx2">
                  <a:lumMod val="60000"/>
                  <a:lumOff val="40000"/>
                </a:schemeClr>
              </a:solidFill>
            </a:ln>
          </c:spPr>
          <c:marker>
            <c:symbol val="none"/>
          </c:marker>
          <c:xVal>
            <c:numRef>
              <c:f>Hydrograph!$A$3:$A$279</c:f>
              <c:numCache>
                <c:formatCode>0.00</c:formatCode>
                <c:ptCount val="277"/>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pt idx="101">
                  <c:v>101</c:v>
                </c:pt>
                <c:pt idx="102">
                  <c:v>102</c:v>
                </c:pt>
                <c:pt idx="103">
                  <c:v>103</c:v>
                </c:pt>
                <c:pt idx="104">
                  <c:v>104</c:v>
                </c:pt>
                <c:pt idx="105">
                  <c:v>105</c:v>
                </c:pt>
                <c:pt idx="106">
                  <c:v>106</c:v>
                </c:pt>
                <c:pt idx="107">
                  <c:v>107</c:v>
                </c:pt>
                <c:pt idx="108">
                  <c:v>108</c:v>
                </c:pt>
                <c:pt idx="109">
                  <c:v>109</c:v>
                </c:pt>
                <c:pt idx="110">
                  <c:v>110</c:v>
                </c:pt>
                <c:pt idx="111">
                  <c:v>111</c:v>
                </c:pt>
                <c:pt idx="112">
                  <c:v>112</c:v>
                </c:pt>
                <c:pt idx="113">
                  <c:v>113</c:v>
                </c:pt>
                <c:pt idx="114">
                  <c:v>114</c:v>
                </c:pt>
                <c:pt idx="115">
                  <c:v>115</c:v>
                </c:pt>
                <c:pt idx="116">
                  <c:v>116</c:v>
                </c:pt>
                <c:pt idx="117">
                  <c:v>117</c:v>
                </c:pt>
                <c:pt idx="118">
                  <c:v>118</c:v>
                </c:pt>
                <c:pt idx="119">
                  <c:v>119</c:v>
                </c:pt>
                <c:pt idx="120">
                  <c:v>120</c:v>
                </c:pt>
                <c:pt idx="121">
                  <c:v>121</c:v>
                </c:pt>
                <c:pt idx="122">
                  <c:v>122</c:v>
                </c:pt>
                <c:pt idx="123">
                  <c:v>123</c:v>
                </c:pt>
                <c:pt idx="124">
                  <c:v>124</c:v>
                </c:pt>
                <c:pt idx="125">
                  <c:v>125</c:v>
                </c:pt>
                <c:pt idx="126">
                  <c:v>126</c:v>
                </c:pt>
                <c:pt idx="127">
                  <c:v>127</c:v>
                </c:pt>
                <c:pt idx="128">
                  <c:v>128</c:v>
                </c:pt>
                <c:pt idx="129">
                  <c:v>129</c:v>
                </c:pt>
                <c:pt idx="130">
                  <c:v>130</c:v>
                </c:pt>
                <c:pt idx="131">
                  <c:v>131</c:v>
                </c:pt>
                <c:pt idx="132">
                  <c:v>132</c:v>
                </c:pt>
                <c:pt idx="133">
                  <c:v>133</c:v>
                </c:pt>
                <c:pt idx="134">
                  <c:v>134</c:v>
                </c:pt>
                <c:pt idx="135">
                  <c:v>135</c:v>
                </c:pt>
                <c:pt idx="136">
                  <c:v>136</c:v>
                </c:pt>
                <c:pt idx="137">
                  <c:v>137</c:v>
                </c:pt>
                <c:pt idx="138">
                  <c:v>138</c:v>
                </c:pt>
                <c:pt idx="139">
                  <c:v>139</c:v>
                </c:pt>
                <c:pt idx="140">
                  <c:v>140</c:v>
                </c:pt>
                <c:pt idx="141">
                  <c:v>141</c:v>
                </c:pt>
                <c:pt idx="142">
                  <c:v>142</c:v>
                </c:pt>
                <c:pt idx="143">
                  <c:v>143</c:v>
                </c:pt>
                <c:pt idx="144">
                  <c:v>144</c:v>
                </c:pt>
                <c:pt idx="145">
                  <c:v>145</c:v>
                </c:pt>
                <c:pt idx="146">
                  <c:v>146</c:v>
                </c:pt>
                <c:pt idx="147">
                  <c:v>147</c:v>
                </c:pt>
                <c:pt idx="148">
                  <c:v>148</c:v>
                </c:pt>
                <c:pt idx="149">
                  <c:v>149</c:v>
                </c:pt>
                <c:pt idx="150">
                  <c:v>150</c:v>
                </c:pt>
                <c:pt idx="151">
                  <c:v>151</c:v>
                </c:pt>
                <c:pt idx="152">
                  <c:v>152</c:v>
                </c:pt>
                <c:pt idx="153">
                  <c:v>153</c:v>
                </c:pt>
                <c:pt idx="154">
                  <c:v>154</c:v>
                </c:pt>
                <c:pt idx="155">
                  <c:v>155</c:v>
                </c:pt>
                <c:pt idx="156">
                  <c:v>156</c:v>
                </c:pt>
                <c:pt idx="157">
                  <c:v>157</c:v>
                </c:pt>
                <c:pt idx="158">
                  <c:v>158</c:v>
                </c:pt>
                <c:pt idx="159">
                  <c:v>159</c:v>
                </c:pt>
                <c:pt idx="160">
                  <c:v>160</c:v>
                </c:pt>
                <c:pt idx="161">
                  <c:v>161</c:v>
                </c:pt>
                <c:pt idx="162">
                  <c:v>162</c:v>
                </c:pt>
                <c:pt idx="163">
                  <c:v>163</c:v>
                </c:pt>
                <c:pt idx="164">
                  <c:v>164</c:v>
                </c:pt>
                <c:pt idx="165">
                  <c:v>165</c:v>
                </c:pt>
                <c:pt idx="166">
                  <c:v>166</c:v>
                </c:pt>
                <c:pt idx="167">
                  <c:v>167</c:v>
                </c:pt>
                <c:pt idx="168">
                  <c:v>168</c:v>
                </c:pt>
                <c:pt idx="169">
                  <c:v>169</c:v>
                </c:pt>
                <c:pt idx="170">
                  <c:v>170</c:v>
                </c:pt>
                <c:pt idx="171">
                  <c:v>171</c:v>
                </c:pt>
                <c:pt idx="172">
                  <c:v>172</c:v>
                </c:pt>
                <c:pt idx="173">
                  <c:v>173</c:v>
                </c:pt>
                <c:pt idx="174">
                  <c:v>174</c:v>
                </c:pt>
                <c:pt idx="175">
                  <c:v>175</c:v>
                </c:pt>
                <c:pt idx="176">
                  <c:v>176</c:v>
                </c:pt>
                <c:pt idx="177">
                  <c:v>177</c:v>
                </c:pt>
                <c:pt idx="178">
                  <c:v>178</c:v>
                </c:pt>
                <c:pt idx="179">
                  <c:v>179</c:v>
                </c:pt>
                <c:pt idx="180">
                  <c:v>180</c:v>
                </c:pt>
                <c:pt idx="181">
                  <c:v>181</c:v>
                </c:pt>
                <c:pt idx="182">
                  <c:v>182</c:v>
                </c:pt>
                <c:pt idx="183">
                  <c:v>183</c:v>
                </c:pt>
                <c:pt idx="184">
                  <c:v>184</c:v>
                </c:pt>
                <c:pt idx="185">
                  <c:v>185</c:v>
                </c:pt>
                <c:pt idx="186">
                  <c:v>186</c:v>
                </c:pt>
                <c:pt idx="187">
                  <c:v>187</c:v>
                </c:pt>
                <c:pt idx="188">
                  <c:v>188</c:v>
                </c:pt>
                <c:pt idx="189">
                  <c:v>189</c:v>
                </c:pt>
                <c:pt idx="190">
                  <c:v>190</c:v>
                </c:pt>
                <c:pt idx="191">
                  <c:v>191</c:v>
                </c:pt>
                <c:pt idx="192">
                  <c:v>192</c:v>
                </c:pt>
              </c:numCache>
            </c:numRef>
          </c:xVal>
          <c:yVal>
            <c:numRef>
              <c:f>Hydrograph!$D$3:$D$279</c:f>
              <c:numCache>
                <c:formatCode>General</c:formatCode>
                <c:ptCount val="277"/>
                <c:pt idx="0">
                  <c:v>0</c:v>
                </c:pt>
                <c:pt idx="1">
                  <c:v>0</c:v>
                </c:pt>
                <c:pt idx="2">
                  <c:v>0</c:v>
                </c:pt>
                <c:pt idx="3">
                  <c:v>0</c:v>
                </c:pt>
                <c:pt idx="4">
                  <c:v>0</c:v>
                </c:pt>
                <c:pt idx="5">
                  <c:v>0</c:v>
                </c:pt>
                <c:pt idx="6">
                  <c:v>0</c:v>
                </c:pt>
                <c:pt idx="7">
                  <c:v>0</c:v>
                </c:pt>
                <c:pt idx="8">
                  <c:v>0.08</c:v>
                </c:pt>
                <c:pt idx="9">
                  <c:v>0.28999999999999998</c:v>
                </c:pt>
                <c:pt idx="10">
                  <c:v>0.97</c:v>
                </c:pt>
                <c:pt idx="11">
                  <c:v>3.19</c:v>
                </c:pt>
                <c:pt idx="12">
                  <c:v>104.05</c:v>
                </c:pt>
                <c:pt idx="13">
                  <c:v>464.48</c:v>
                </c:pt>
                <c:pt idx="14">
                  <c:v>767.17</c:v>
                </c:pt>
                <c:pt idx="15">
                  <c:v>718.87</c:v>
                </c:pt>
                <c:pt idx="16">
                  <c:v>666.47</c:v>
                </c:pt>
                <c:pt idx="17">
                  <c:v>1144.8399999999999</c:v>
                </c:pt>
                <c:pt idx="18">
                  <c:v>1566.6</c:v>
                </c:pt>
                <c:pt idx="19">
                  <c:v>1727.3</c:v>
                </c:pt>
                <c:pt idx="20">
                  <c:v>1784.81</c:v>
                </c:pt>
                <c:pt idx="21">
                  <c:v>1785.76</c:v>
                </c:pt>
                <c:pt idx="22">
                  <c:v>1719.02</c:v>
                </c:pt>
                <c:pt idx="23">
                  <c:v>1623.81</c:v>
                </c:pt>
                <c:pt idx="24">
                  <c:v>1514.89</c:v>
                </c:pt>
                <c:pt idx="25">
                  <c:v>1399.97</c:v>
                </c:pt>
                <c:pt idx="26">
                  <c:v>1290.6600000000001</c:v>
                </c:pt>
                <c:pt idx="27">
                  <c:v>1190.97</c:v>
                </c:pt>
                <c:pt idx="28">
                  <c:v>1106.23</c:v>
                </c:pt>
                <c:pt idx="29">
                  <c:v>1033.5999999999999</c:v>
                </c:pt>
                <c:pt idx="30">
                  <c:v>966.93</c:v>
                </c:pt>
                <c:pt idx="31">
                  <c:v>901.49</c:v>
                </c:pt>
                <c:pt idx="32">
                  <c:v>840.47</c:v>
                </c:pt>
                <c:pt idx="33">
                  <c:v>780.76</c:v>
                </c:pt>
                <c:pt idx="34">
                  <c:v>722.87</c:v>
                </c:pt>
                <c:pt idx="35">
                  <c:v>667.82</c:v>
                </c:pt>
                <c:pt idx="36">
                  <c:v>617.28</c:v>
                </c:pt>
                <c:pt idx="37">
                  <c:v>590.71</c:v>
                </c:pt>
                <c:pt idx="38">
                  <c:v>520.79999999999995</c:v>
                </c:pt>
                <c:pt idx="39">
                  <c:v>479.41</c:v>
                </c:pt>
                <c:pt idx="40">
                  <c:v>443.27</c:v>
                </c:pt>
                <c:pt idx="41">
                  <c:v>411.09</c:v>
                </c:pt>
                <c:pt idx="42">
                  <c:v>381.72</c:v>
                </c:pt>
                <c:pt idx="43">
                  <c:v>355.07</c:v>
                </c:pt>
                <c:pt idx="44">
                  <c:v>330.5</c:v>
                </c:pt>
                <c:pt idx="45">
                  <c:v>308.35000000000002</c:v>
                </c:pt>
                <c:pt idx="46">
                  <c:v>287.57</c:v>
                </c:pt>
                <c:pt idx="47">
                  <c:v>268.45</c:v>
                </c:pt>
                <c:pt idx="48">
                  <c:v>250.82</c:v>
                </c:pt>
                <c:pt idx="49">
                  <c:v>234.87</c:v>
                </c:pt>
                <c:pt idx="50">
                  <c:v>220.84</c:v>
                </c:pt>
                <c:pt idx="51">
                  <c:v>207.21</c:v>
                </c:pt>
                <c:pt idx="52">
                  <c:v>195.09</c:v>
                </c:pt>
                <c:pt idx="53">
                  <c:v>183.92</c:v>
                </c:pt>
                <c:pt idx="54">
                  <c:v>173.13</c:v>
                </c:pt>
                <c:pt idx="55">
                  <c:v>163.83000000000001</c:v>
                </c:pt>
                <c:pt idx="56">
                  <c:v>155.31</c:v>
                </c:pt>
                <c:pt idx="57">
                  <c:v>147.56</c:v>
                </c:pt>
                <c:pt idx="58">
                  <c:v>140.19999999999999</c:v>
                </c:pt>
                <c:pt idx="59">
                  <c:v>133.37</c:v>
                </c:pt>
                <c:pt idx="60">
                  <c:v>127.04</c:v>
                </c:pt>
                <c:pt idx="61">
                  <c:v>121.12</c:v>
                </c:pt>
                <c:pt idx="62">
                  <c:v>115.45</c:v>
                </c:pt>
                <c:pt idx="63">
                  <c:v>110.34</c:v>
                </c:pt>
                <c:pt idx="64">
                  <c:v>105.61</c:v>
                </c:pt>
                <c:pt idx="65">
                  <c:v>101.49</c:v>
                </c:pt>
                <c:pt idx="66">
                  <c:v>97.03</c:v>
                </c:pt>
                <c:pt idx="67">
                  <c:v>93.09</c:v>
                </c:pt>
                <c:pt idx="68">
                  <c:v>89.5</c:v>
                </c:pt>
                <c:pt idx="69">
                  <c:v>86.1</c:v>
                </c:pt>
                <c:pt idx="70">
                  <c:v>82.92</c:v>
                </c:pt>
                <c:pt idx="71">
                  <c:v>79.89</c:v>
                </c:pt>
                <c:pt idx="72">
                  <c:v>77.86</c:v>
                </c:pt>
                <c:pt idx="73">
                  <c:v>76.53</c:v>
                </c:pt>
                <c:pt idx="74">
                  <c:v>74.13</c:v>
                </c:pt>
                <c:pt idx="75">
                  <c:v>71.239999999999995</c:v>
                </c:pt>
                <c:pt idx="76">
                  <c:v>68.510000000000005</c:v>
                </c:pt>
                <c:pt idx="77">
                  <c:v>66.099999999999994</c:v>
                </c:pt>
                <c:pt idx="78">
                  <c:v>63.76</c:v>
                </c:pt>
                <c:pt idx="79">
                  <c:v>61.52</c:v>
                </c:pt>
                <c:pt idx="80">
                  <c:v>59.39</c:v>
                </c:pt>
                <c:pt idx="81">
                  <c:v>57.4</c:v>
                </c:pt>
                <c:pt idx="82">
                  <c:v>55.51</c:v>
                </c:pt>
                <c:pt idx="83">
                  <c:v>53.7</c:v>
                </c:pt>
                <c:pt idx="84">
                  <c:v>52.02</c:v>
                </c:pt>
                <c:pt idx="85">
                  <c:v>50.45</c:v>
                </c:pt>
                <c:pt idx="86">
                  <c:v>48.93</c:v>
                </c:pt>
                <c:pt idx="87">
                  <c:v>47.43</c:v>
                </c:pt>
                <c:pt idx="88">
                  <c:v>46.05</c:v>
                </c:pt>
                <c:pt idx="89">
                  <c:v>44.67</c:v>
                </c:pt>
                <c:pt idx="90">
                  <c:v>43.37</c:v>
                </c:pt>
                <c:pt idx="91">
                  <c:v>42.1</c:v>
                </c:pt>
                <c:pt idx="92">
                  <c:v>40.94</c:v>
                </c:pt>
                <c:pt idx="93">
                  <c:v>39.85</c:v>
                </c:pt>
                <c:pt idx="94">
                  <c:v>38.79</c:v>
                </c:pt>
                <c:pt idx="95">
                  <c:v>37.78</c:v>
                </c:pt>
                <c:pt idx="96">
                  <c:v>36.799999999999997</c:v>
                </c:pt>
                <c:pt idx="97">
                  <c:v>35.869999999999997</c:v>
                </c:pt>
                <c:pt idx="98">
                  <c:v>35.03</c:v>
                </c:pt>
                <c:pt idx="99">
                  <c:v>34.21</c:v>
                </c:pt>
                <c:pt idx="100">
                  <c:v>33.39</c:v>
                </c:pt>
                <c:pt idx="101">
                  <c:v>32.6</c:v>
                </c:pt>
                <c:pt idx="102">
                  <c:v>31.83</c:v>
                </c:pt>
                <c:pt idx="103">
                  <c:v>31.08</c:v>
                </c:pt>
                <c:pt idx="104">
                  <c:v>30.41</c:v>
                </c:pt>
                <c:pt idx="105">
                  <c:v>29.87</c:v>
                </c:pt>
                <c:pt idx="106">
                  <c:v>29.39</c:v>
                </c:pt>
                <c:pt idx="107">
                  <c:v>29.11</c:v>
                </c:pt>
                <c:pt idx="108">
                  <c:v>28.43</c:v>
                </c:pt>
                <c:pt idx="109">
                  <c:v>27.72</c:v>
                </c:pt>
                <c:pt idx="110">
                  <c:v>27.05</c:v>
                </c:pt>
                <c:pt idx="111">
                  <c:v>26.42</c:v>
                </c:pt>
                <c:pt idx="112">
                  <c:v>25.84</c:v>
                </c:pt>
                <c:pt idx="113">
                  <c:v>25.27</c:v>
                </c:pt>
                <c:pt idx="114">
                  <c:v>24.74</c:v>
                </c:pt>
                <c:pt idx="115">
                  <c:v>24.23</c:v>
                </c:pt>
                <c:pt idx="116">
                  <c:v>23.73</c:v>
                </c:pt>
                <c:pt idx="117">
                  <c:v>23.31</c:v>
                </c:pt>
                <c:pt idx="118">
                  <c:v>22.78</c:v>
                </c:pt>
                <c:pt idx="119">
                  <c:v>22.32</c:v>
                </c:pt>
                <c:pt idx="120">
                  <c:v>21.87</c:v>
                </c:pt>
                <c:pt idx="121">
                  <c:v>21.45</c:v>
                </c:pt>
                <c:pt idx="122">
                  <c:v>21.03</c:v>
                </c:pt>
                <c:pt idx="123">
                  <c:v>20.62</c:v>
                </c:pt>
                <c:pt idx="124">
                  <c:v>20.23</c:v>
                </c:pt>
                <c:pt idx="125">
                  <c:v>19.850000000000001</c:v>
                </c:pt>
                <c:pt idx="126">
                  <c:v>19.5</c:v>
                </c:pt>
                <c:pt idx="127">
                  <c:v>19.16</c:v>
                </c:pt>
                <c:pt idx="128">
                  <c:v>18.850000000000001</c:v>
                </c:pt>
                <c:pt idx="129">
                  <c:v>18.510000000000002</c:v>
                </c:pt>
                <c:pt idx="130">
                  <c:v>18.190000000000001</c:v>
                </c:pt>
                <c:pt idx="131">
                  <c:v>17.88</c:v>
                </c:pt>
                <c:pt idx="132">
                  <c:v>17.579999999999998</c:v>
                </c:pt>
                <c:pt idx="133">
                  <c:v>17.29</c:v>
                </c:pt>
                <c:pt idx="134">
                  <c:v>17</c:v>
                </c:pt>
                <c:pt idx="135">
                  <c:v>16.73</c:v>
                </c:pt>
                <c:pt idx="136">
                  <c:v>16.45</c:v>
                </c:pt>
                <c:pt idx="137">
                  <c:v>16.18</c:v>
                </c:pt>
                <c:pt idx="138">
                  <c:v>15.93</c:v>
                </c:pt>
                <c:pt idx="139">
                  <c:v>15.68</c:v>
                </c:pt>
                <c:pt idx="140">
                  <c:v>15.44</c:v>
                </c:pt>
                <c:pt idx="141">
                  <c:v>15.2</c:v>
                </c:pt>
                <c:pt idx="142">
                  <c:v>14.98</c:v>
                </c:pt>
                <c:pt idx="143">
                  <c:v>14.76</c:v>
                </c:pt>
                <c:pt idx="144">
                  <c:v>14.54</c:v>
                </c:pt>
                <c:pt idx="145">
                  <c:v>14.33</c:v>
                </c:pt>
                <c:pt idx="146">
                  <c:v>14.12</c:v>
                </c:pt>
                <c:pt idx="147">
                  <c:v>13.92</c:v>
                </c:pt>
                <c:pt idx="148">
                  <c:v>13.73</c:v>
                </c:pt>
                <c:pt idx="149">
                  <c:v>13.54</c:v>
                </c:pt>
                <c:pt idx="150">
                  <c:v>13.35</c:v>
                </c:pt>
                <c:pt idx="151">
                  <c:v>13.17</c:v>
                </c:pt>
                <c:pt idx="152">
                  <c:v>12.99</c:v>
                </c:pt>
                <c:pt idx="153">
                  <c:v>12.82</c:v>
                </c:pt>
                <c:pt idx="154">
                  <c:v>12.65</c:v>
                </c:pt>
                <c:pt idx="155">
                  <c:v>12.49</c:v>
                </c:pt>
                <c:pt idx="156">
                  <c:v>12.33</c:v>
                </c:pt>
                <c:pt idx="157">
                  <c:v>12.17</c:v>
                </c:pt>
                <c:pt idx="158">
                  <c:v>12.02</c:v>
                </c:pt>
                <c:pt idx="159">
                  <c:v>11.87</c:v>
                </c:pt>
                <c:pt idx="160">
                  <c:v>11.72</c:v>
                </c:pt>
                <c:pt idx="161">
                  <c:v>11.58</c:v>
                </c:pt>
                <c:pt idx="162">
                  <c:v>11.44</c:v>
                </c:pt>
                <c:pt idx="163">
                  <c:v>11.31</c:v>
                </c:pt>
                <c:pt idx="164">
                  <c:v>11.21</c:v>
                </c:pt>
                <c:pt idx="165">
                  <c:v>11.05</c:v>
                </c:pt>
                <c:pt idx="166">
                  <c:v>10.91</c:v>
                </c:pt>
                <c:pt idx="167">
                  <c:v>10.78</c:v>
                </c:pt>
                <c:pt idx="168">
                  <c:v>10.65</c:v>
                </c:pt>
                <c:pt idx="169">
                  <c:v>8274.4699999999993</c:v>
                </c:pt>
                <c:pt idx="170">
                  <c:v>8165.01</c:v>
                </c:pt>
                <c:pt idx="171">
                  <c:v>8055.56</c:v>
                </c:pt>
                <c:pt idx="172">
                  <c:v>7946.1</c:v>
                </c:pt>
                <c:pt idx="173">
                  <c:v>7836.65</c:v>
                </c:pt>
                <c:pt idx="174">
                  <c:v>7727.19</c:v>
                </c:pt>
                <c:pt idx="175">
                  <c:v>7617.74</c:v>
                </c:pt>
                <c:pt idx="176">
                  <c:v>7508.28</c:v>
                </c:pt>
                <c:pt idx="177">
                  <c:v>7398.83</c:v>
                </c:pt>
                <c:pt idx="178">
                  <c:v>7289.37</c:v>
                </c:pt>
                <c:pt idx="179">
                  <c:v>7179.92</c:v>
                </c:pt>
                <c:pt idx="180">
                  <c:v>7070.46</c:v>
                </c:pt>
                <c:pt idx="181">
                  <c:v>6961.01</c:v>
                </c:pt>
                <c:pt idx="182">
                  <c:v>6851.55</c:v>
                </c:pt>
                <c:pt idx="183">
                  <c:v>6742.1</c:v>
                </c:pt>
                <c:pt idx="184">
                  <c:v>6632.64</c:v>
                </c:pt>
                <c:pt idx="185">
                  <c:v>6523.19</c:v>
                </c:pt>
                <c:pt idx="186">
                  <c:v>6413.73</c:v>
                </c:pt>
                <c:pt idx="187">
                  <c:v>6304.28</c:v>
                </c:pt>
                <c:pt idx="188">
                  <c:v>6194.82</c:v>
                </c:pt>
                <c:pt idx="189">
                  <c:v>6085.37</c:v>
                </c:pt>
                <c:pt idx="190">
                  <c:v>5975.91</c:v>
                </c:pt>
                <c:pt idx="191">
                  <c:v>5866.46</c:v>
                </c:pt>
                <c:pt idx="192">
                  <c:v>5757</c:v>
                </c:pt>
              </c:numCache>
            </c:numRef>
          </c:yVal>
          <c:smooth val="1"/>
          <c:extLst xmlns:c16r2="http://schemas.microsoft.com/office/drawing/2015/06/chart">
            <c:ext xmlns:c16="http://schemas.microsoft.com/office/drawing/2014/chart" uri="{C3380CC4-5D6E-409C-BE32-E72D297353CC}">
              <c16:uniqueId val="{00000002-E7E6-4E91-9803-CDE02648605D}"/>
            </c:ext>
          </c:extLst>
        </c:ser>
        <c:ser>
          <c:idx val="1"/>
          <c:order val="3"/>
          <c:tx>
            <c:v>4 Percent Annual Chance</c:v>
          </c:tx>
          <c:spPr>
            <a:ln>
              <a:solidFill>
                <a:srgbClr val="FFCC00"/>
              </a:solidFill>
            </a:ln>
          </c:spPr>
          <c:marker>
            <c:symbol val="none"/>
          </c:marker>
          <c:xVal>
            <c:numRef>
              <c:f>Hydrograph!$A$3:$A$279</c:f>
              <c:numCache>
                <c:formatCode>0.00</c:formatCode>
                <c:ptCount val="277"/>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pt idx="101">
                  <c:v>101</c:v>
                </c:pt>
                <c:pt idx="102">
                  <c:v>102</c:v>
                </c:pt>
                <c:pt idx="103">
                  <c:v>103</c:v>
                </c:pt>
                <c:pt idx="104">
                  <c:v>104</c:v>
                </c:pt>
                <c:pt idx="105">
                  <c:v>105</c:v>
                </c:pt>
                <c:pt idx="106">
                  <c:v>106</c:v>
                </c:pt>
                <c:pt idx="107">
                  <c:v>107</c:v>
                </c:pt>
                <c:pt idx="108">
                  <c:v>108</c:v>
                </c:pt>
                <c:pt idx="109">
                  <c:v>109</c:v>
                </c:pt>
                <c:pt idx="110">
                  <c:v>110</c:v>
                </c:pt>
                <c:pt idx="111">
                  <c:v>111</c:v>
                </c:pt>
                <c:pt idx="112">
                  <c:v>112</c:v>
                </c:pt>
                <c:pt idx="113">
                  <c:v>113</c:v>
                </c:pt>
                <c:pt idx="114">
                  <c:v>114</c:v>
                </c:pt>
                <c:pt idx="115">
                  <c:v>115</c:v>
                </c:pt>
                <c:pt idx="116">
                  <c:v>116</c:v>
                </c:pt>
                <c:pt idx="117">
                  <c:v>117</c:v>
                </c:pt>
                <c:pt idx="118">
                  <c:v>118</c:v>
                </c:pt>
                <c:pt idx="119">
                  <c:v>119</c:v>
                </c:pt>
                <c:pt idx="120">
                  <c:v>120</c:v>
                </c:pt>
                <c:pt idx="121">
                  <c:v>121</c:v>
                </c:pt>
                <c:pt idx="122">
                  <c:v>122</c:v>
                </c:pt>
                <c:pt idx="123">
                  <c:v>123</c:v>
                </c:pt>
                <c:pt idx="124">
                  <c:v>124</c:v>
                </c:pt>
                <c:pt idx="125">
                  <c:v>125</c:v>
                </c:pt>
                <c:pt idx="126">
                  <c:v>126</c:v>
                </c:pt>
                <c:pt idx="127">
                  <c:v>127</c:v>
                </c:pt>
                <c:pt idx="128">
                  <c:v>128</c:v>
                </c:pt>
                <c:pt idx="129">
                  <c:v>129</c:v>
                </c:pt>
                <c:pt idx="130">
                  <c:v>130</c:v>
                </c:pt>
                <c:pt idx="131">
                  <c:v>131</c:v>
                </c:pt>
                <c:pt idx="132">
                  <c:v>132</c:v>
                </c:pt>
                <c:pt idx="133">
                  <c:v>133</c:v>
                </c:pt>
                <c:pt idx="134">
                  <c:v>134</c:v>
                </c:pt>
                <c:pt idx="135">
                  <c:v>135</c:v>
                </c:pt>
                <c:pt idx="136">
                  <c:v>136</c:v>
                </c:pt>
                <c:pt idx="137">
                  <c:v>137</c:v>
                </c:pt>
                <c:pt idx="138">
                  <c:v>138</c:v>
                </c:pt>
                <c:pt idx="139">
                  <c:v>139</c:v>
                </c:pt>
                <c:pt idx="140">
                  <c:v>140</c:v>
                </c:pt>
                <c:pt idx="141">
                  <c:v>141</c:v>
                </c:pt>
                <c:pt idx="142">
                  <c:v>142</c:v>
                </c:pt>
                <c:pt idx="143">
                  <c:v>143</c:v>
                </c:pt>
                <c:pt idx="144">
                  <c:v>144</c:v>
                </c:pt>
                <c:pt idx="145">
                  <c:v>145</c:v>
                </c:pt>
                <c:pt idx="146">
                  <c:v>146</c:v>
                </c:pt>
                <c:pt idx="147">
                  <c:v>147</c:v>
                </c:pt>
                <c:pt idx="148">
                  <c:v>148</c:v>
                </c:pt>
                <c:pt idx="149">
                  <c:v>149</c:v>
                </c:pt>
                <c:pt idx="150">
                  <c:v>150</c:v>
                </c:pt>
                <c:pt idx="151">
                  <c:v>151</c:v>
                </c:pt>
                <c:pt idx="152">
                  <c:v>152</c:v>
                </c:pt>
                <c:pt idx="153">
                  <c:v>153</c:v>
                </c:pt>
                <c:pt idx="154">
                  <c:v>154</c:v>
                </c:pt>
                <c:pt idx="155">
                  <c:v>155</c:v>
                </c:pt>
                <c:pt idx="156">
                  <c:v>156</c:v>
                </c:pt>
                <c:pt idx="157">
                  <c:v>157</c:v>
                </c:pt>
                <c:pt idx="158">
                  <c:v>158</c:v>
                </c:pt>
                <c:pt idx="159">
                  <c:v>159</c:v>
                </c:pt>
                <c:pt idx="160">
                  <c:v>160</c:v>
                </c:pt>
                <c:pt idx="161">
                  <c:v>161</c:v>
                </c:pt>
                <c:pt idx="162">
                  <c:v>162</c:v>
                </c:pt>
                <c:pt idx="163">
                  <c:v>163</c:v>
                </c:pt>
                <c:pt idx="164">
                  <c:v>164</c:v>
                </c:pt>
                <c:pt idx="165">
                  <c:v>165</c:v>
                </c:pt>
                <c:pt idx="166">
                  <c:v>166</c:v>
                </c:pt>
                <c:pt idx="167">
                  <c:v>167</c:v>
                </c:pt>
                <c:pt idx="168">
                  <c:v>168</c:v>
                </c:pt>
                <c:pt idx="169">
                  <c:v>169</c:v>
                </c:pt>
                <c:pt idx="170">
                  <c:v>170</c:v>
                </c:pt>
                <c:pt idx="171">
                  <c:v>171</c:v>
                </c:pt>
                <c:pt idx="172">
                  <c:v>172</c:v>
                </c:pt>
                <c:pt idx="173">
                  <c:v>173</c:v>
                </c:pt>
                <c:pt idx="174">
                  <c:v>174</c:v>
                </c:pt>
                <c:pt idx="175">
                  <c:v>175</c:v>
                </c:pt>
                <c:pt idx="176">
                  <c:v>176</c:v>
                </c:pt>
                <c:pt idx="177">
                  <c:v>177</c:v>
                </c:pt>
                <c:pt idx="178">
                  <c:v>178</c:v>
                </c:pt>
                <c:pt idx="179">
                  <c:v>179</c:v>
                </c:pt>
                <c:pt idx="180">
                  <c:v>180</c:v>
                </c:pt>
                <c:pt idx="181">
                  <c:v>181</c:v>
                </c:pt>
                <c:pt idx="182">
                  <c:v>182</c:v>
                </c:pt>
                <c:pt idx="183">
                  <c:v>183</c:v>
                </c:pt>
                <c:pt idx="184">
                  <c:v>184</c:v>
                </c:pt>
                <c:pt idx="185">
                  <c:v>185</c:v>
                </c:pt>
                <c:pt idx="186">
                  <c:v>186</c:v>
                </c:pt>
                <c:pt idx="187">
                  <c:v>187</c:v>
                </c:pt>
                <c:pt idx="188">
                  <c:v>188</c:v>
                </c:pt>
                <c:pt idx="189">
                  <c:v>189</c:v>
                </c:pt>
                <c:pt idx="190">
                  <c:v>190</c:v>
                </c:pt>
                <c:pt idx="191">
                  <c:v>191</c:v>
                </c:pt>
                <c:pt idx="192">
                  <c:v>192</c:v>
                </c:pt>
              </c:numCache>
            </c:numRef>
          </c:xVal>
          <c:yVal>
            <c:numRef>
              <c:f>Hydrograph!$C$3:$C$279</c:f>
              <c:numCache>
                <c:formatCode>General</c:formatCode>
                <c:ptCount val="277"/>
                <c:pt idx="0">
                  <c:v>0</c:v>
                </c:pt>
                <c:pt idx="1">
                  <c:v>0</c:v>
                </c:pt>
                <c:pt idx="2">
                  <c:v>0</c:v>
                </c:pt>
                <c:pt idx="3">
                  <c:v>0</c:v>
                </c:pt>
                <c:pt idx="4">
                  <c:v>0</c:v>
                </c:pt>
                <c:pt idx="5">
                  <c:v>0</c:v>
                </c:pt>
                <c:pt idx="6">
                  <c:v>0</c:v>
                </c:pt>
                <c:pt idx="7">
                  <c:v>0</c:v>
                </c:pt>
                <c:pt idx="8">
                  <c:v>0</c:v>
                </c:pt>
                <c:pt idx="9">
                  <c:v>0.12</c:v>
                </c:pt>
                <c:pt idx="10">
                  <c:v>0.53</c:v>
                </c:pt>
                <c:pt idx="11">
                  <c:v>2</c:v>
                </c:pt>
                <c:pt idx="12">
                  <c:v>57.92</c:v>
                </c:pt>
                <c:pt idx="13">
                  <c:v>233.34</c:v>
                </c:pt>
                <c:pt idx="14">
                  <c:v>518.30999999999995</c:v>
                </c:pt>
                <c:pt idx="15">
                  <c:v>533.45000000000005</c:v>
                </c:pt>
                <c:pt idx="16">
                  <c:v>467.34</c:v>
                </c:pt>
                <c:pt idx="17">
                  <c:v>497.66</c:v>
                </c:pt>
                <c:pt idx="18">
                  <c:v>835.64</c:v>
                </c:pt>
                <c:pt idx="19">
                  <c:v>1130.3900000000001</c:v>
                </c:pt>
                <c:pt idx="20">
                  <c:v>1240.0999999999999</c:v>
                </c:pt>
                <c:pt idx="21">
                  <c:v>1297.92</c:v>
                </c:pt>
                <c:pt idx="22">
                  <c:v>1313.99</c:v>
                </c:pt>
                <c:pt idx="23">
                  <c:v>1287.82</c:v>
                </c:pt>
                <c:pt idx="24">
                  <c:v>1230.03</c:v>
                </c:pt>
                <c:pt idx="25">
                  <c:v>1146.75</c:v>
                </c:pt>
                <c:pt idx="26">
                  <c:v>1061.3599999999999</c:v>
                </c:pt>
                <c:pt idx="27">
                  <c:v>970.54</c:v>
                </c:pt>
                <c:pt idx="28">
                  <c:v>885.84</c:v>
                </c:pt>
                <c:pt idx="29">
                  <c:v>815.27</c:v>
                </c:pt>
                <c:pt idx="30">
                  <c:v>754.03</c:v>
                </c:pt>
                <c:pt idx="31">
                  <c:v>703.45</c:v>
                </c:pt>
                <c:pt idx="32">
                  <c:v>658.3</c:v>
                </c:pt>
                <c:pt idx="33">
                  <c:v>618.74</c:v>
                </c:pt>
                <c:pt idx="34">
                  <c:v>578.61</c:v>
                </c:pt>
                <c:pt idx="35">
                  <c:v>540.47</c:v>
                </c:pt>
                <c:pt idx="36">
                  <c:v>509.17</c:v>
                </c:pt>
                <c:pt idx="37">
                  <c:v>473.08</c:v>
                </c:pt>
                <c:pt idx="38">
                  <c:v>439.29</c:v>
                </c:pt>
                <c:pt idx="39">
                  <c:v>410.57</c:v>
                </c:pt>
                <c:pt idx="40">
                  <c:v>384.54</c:v>
                </c:pt>
                <c:pt idx="41">
                  <c:v>358.57</c:v>
                </c:pt>
                <c:pt idx="42">
                  <c:v>334.77</c:v>
                </c:pt>
                <c:pt idx="43">
                  <c:v>313.22000000000003</c:v>
                </c:pt>
                <c:pt idx="44">
                  <c:v>292.70999999999998</c:v>
                </c:pt>
                <c:pt idx="45">
                  <c:v>273.75</c:v>
                </c:pt>
                <c:pt idx="46">
                  <c:v>256.06</c:v>
                </c:pt>
                <c:pt idx="47">
                  <c:v>240.56</c:v>
                </c:pt>
                <c:pt idx="48">
                  <c:v>225.07</c:v>
                </c:pt>
                <c:pt idx="49">
                  <c:v>211.74</c:v>
                </c:pt>
                <c:pt idx="50">
                  <c:v>198.81</c:v>
                </c:pt>
                <c:pt idx="51">
                  <c:v>187.03</c:v>
                </c:pt>
                <c:pt idx="52">
                  <c:v>175.93</c:v>
                </c:pt>
                <c:pt idx="53">
                  <c:v>165.78</c:v>
                </c:pt>
                <c:pt idx="54">
                  <c:v>158.08000000000001</c:v>
                </c:pt>
                <c:pt idx="55">
                  <c:v>149.09</c:v>
                </c:pt>
                <c:pt idx="56">
                  <c:v>141.26</c:v>
                </c:pt>
                <c:pt idx="57">
                  <c:v>134.06</c:v>
                </c:pt>
                <c:pt idx="58">
                  <c:v>127.37</c:v>
                </c:pt>
                <c:pt idx="59">
                  <c:v>121.1</c:v>
                </c:pt>
                <c:pt idx="60">
                  <c:v>115.16</c:v>
                </c:pt>
                <c:pt idx="61">
                  <c:v>109.83</c:v>
                </c:pt>
                <c:pt idx="62">
                  <c:v>104.9</c:v>
                </c:pt>
                <c:pt idx="63">
                  <c:v>100.36</c:v>
                </c:pt>
                <c:pt idx="64">
                  <c:v>96.2</c:v>
                </c:pt>
                <c:pt idx="65">
                  <c:v>92.12</c:v>
                </c:pt>
                <c:pt idx="66">
                  <c:v>88.37</c:v>
                </c:pt>
                <c:pt idx="67">
                  <c:v>84.89</c:v>
                </c:pt>
                <c:pt idx="68">
                  <c:v>81.650000000000006</c:v>
                </c:pt>
                <c:pt idx="69">
                  <c:v>78.540000000000006</c:v>
                </c:pt>
                <c:pt idx="70">
                  <c:v>75.67</c:v>
                </c:pt>
                <c:pt idx="71">
                  <c:v>72.900000000000006</c:v>
                </c:pt>
                <c:pt idx="72">
                  <c:v>70.260000000000005</c:v>
                </c:pt>
                <c:pt idx="73">
                  <c:v>67.86</c:v>
                </c:pt>
                <c:pt idx="74">
                  <c:v>65.75</c:v>
                </c:pt>
                <c:pt idx="75">
                  <c:v>63.45</c:v>
                </c:pt>
                <c:pt idx="76">
                  <c:v>61.28</c:v>
                </c:pt>
                <c:pt idx="77">
                  <c:v>59.23</c:v>
                </c:pt>
                <c:pt idx="78">
                  <c:v>57.3</c:v>
                </c:pt>
                <c:pt idx="79">
                  <c:v>55.46</c:v>
                </c:pt>
                <c:pt idx="80">
                  <c:v>53.69</c:v>
                </c:pt>
                <c:pt idx="81">
                  <c:v>52.03</c:v>
                </c:pt>
                <c:pt idx="82">
                  <c:v>50.47</c:v>
                </c:pt>
                <c:pt idx="83">
                  <c:v>48.98</c:v>
                </c:pt>
                <c:pt idx="84">
                  <c:v>47.55</c:v>
                </c:pt>
                <c:pt idx="85">
                  <c:v>46.13</c:v>
                </c:pt>
                <c:pt idx="86">
                  <c:v>44.77</c:v>
                </c:pt>
                <c:pt idx="87">
                  <c:v>43.44</c:v>
                </c:pt>
                <c:pt idx="88">
                  <c:v>42.3</c:v>
                </c:pt>
                <c:pt idx="89">
                  <c:v>41.01</c:v>
                </c:pt>
                <c:pt idx="90">
                  <c:v>39.97</c:v>
                </c:pt>
                <c:pt idx="91">
                  <c:v>39.380000000000003</c:v>
                </c:pt>
                <c:pt idx="92">
                  <c:v>38.92</c:v>
                </c:pt>
                <c:pt idx="93">
                  <c:v>38</c:v>
                </c:pt>
                <c:pt idx="94">
                  <c:v>36.96</c:v>
                </c:pt>
                <c:pt idx="95">
                  <c:v>35.92</c:v>
                </c:pt>
                <c:pt idx="96">
                  <c:v>34.97</c:v>
                </c:pt>
                <c:pt idx="97">
                  <c:v>34.049999999999997</c:v>
                </c:pt>
                <c:pt idx="98">
                  <c:v>33.119999999999997</c:v>
                </c:pt>
                <c:pt idx="99">
                  <c:v>32.25</c:v>
                </c:pt>
                <c:pt idx="100">
                  <c:v>31.41</c:v>
                </c:pt>
                <c:pt idx="101">
                  <c:v>30.63</c:v>
                </c:pt>
                <c:pt idx="102">
                  <c:v>30.01</c:v>
                </c:pt>
                <c:pt idx="103">
                  <c:v>29.46</c:v>
                </c:pt>
                <c:pt idx="104">
                  <c:v>29.16</c:v>
                </c:pt>
                <c:pt idx="105">
                  <c:v>28.47</c:v>
                </c:pt>
                <c:pt idx="106">
                  <c:v>27.72</c:v>
                </c:pt>
                <c:pt idx="107">
                  <c:v>27</c:v>
                </c:pt>
                <c:pt idx="108">
                  <c:v>26.34</c:v>
                </c:pt>
                <c:pt idx="109">
                  <c:v>25.72</c:v>
                </c:pt>
                <c:pt idx="110">
                  <c:v>25.13</c:v>
                </c:pt>
                <c:pt idx="111">
                  <c:v>24.57</c:v>
                </c:pt>
                <c:pt idx="112">
                  <c:v>24.03</c:v>
                </c:pt>
                <c:pt idx="113">
                  <c:v>23.5</c:v>
                </c:pt>
                <c:pt idx="114">
                  <c:v>23</c:v>
                </c:pt>
                <c:pt idx="115">
                  <c:v>22.51</c:v>
                </c:pt>
                <c:pt idx="116">
                  <c:v>22.04</c:v>
                </c:pt>
                <c:pt idx="117">
                  <c:v>21.63</c:v>
                </c:pt>
                <c:pt idx="118">
                  <c:v>21.14</c:v>
                </c:pt>
                <c:pt idx="119">
                  <c:v>20.7</c:v>
                </c:pt>
                <c:pt idx="120">
                  <c:v>20.28</c:v>
                </c:pt>
                <c:pt idx="121">
                  <c:v>19.87</c:v>
                </c:pt>
                <c:pt idx="122">
                  <c:v>19.489999999999998</c:v>
                </c:pt>
                <c:pt idx="123">
                  <c:v>19.13</c:v>
                </c:pt>
                <c:pt idx="124">
                  <c:v>18.78</c:v>
                </c:pt>
                <c:pt idx="125">
                  <c:v>18.420000000000002</c:v>
                </c:pt>
                <c:pt idx="126">
                  <c:v>18.079999999999998</c:v>
                </c:pt>
                <c:pt idx="127">
                  <c:v>17.760000000000002</c:v>
                </c:pt>
                <c:pt idx="128">
                  <c:v>17.440000000000001</c:v>
                </c:pt>
                <c:pt idx="129">
                  <c:v>17.13</c:v>
                </c:pt>
                <c:pt idx="130">
                  <c:v>16.82</c:v>
                </c:pt>
                <c:pt idx="131">
                  <c:v>16.53</c:v>
                </c:pt>
                <c:pt idx="132">
                  <c:v>16.23</c:v>
                </c:pt>
                <c:pt idx="133">
                  <c:v>15.95</c:v>
                </c:pt>
                <c:pt idx="134">
                  <c:v>15.67</c:v>
                </c:pt>
                <c:pt idx="135">
                  <c:v>15.41</c:v>
                </c:pt>
                <c:pt idx="136">
                  <c:v>15.15</c:v>
                </c:pt>
                <c:pt idx="137">
                  <c:v>14.9</c:v>
                </c:pt>
                <c:pt idx="138">
                  <c:v>14.65</c:v>
                </c:pt>
                <c:pt idx="139">
                  <c:v>14.41</c:v>
                </c:pt>
                <c:pt idx="140">
                  <c:v>14.18</c:v>
                </c:pt>
                <c:pt idx="141">
                  <c:v>13.95</c:v>
                </c:pt>
                <c:pt idx="142">
                  <c:v>13.73</c:v>
                </c:pt>
                <c:pt idx="143">
                  <c:v>13.52</c:v>
                </c:pt>
                <c:pt idx="144">
                  <c:v>13.31</c:v>
                </c:pt>
                <c:pt idx="145">
                  <c:v>13.11</c:v>
                </c:pt>
                <c:pt idx="146">
                  <c:v>12.91</c:v>
                </c:pt>
                <c:pt idx="147">
                  <c:v>12.72</c:v>
                </c:pt>
                <c:pt idx="148">
                  <c:v>12.53</c:v>
                </c:pt>
                <c:pt idx="149">
                  <c:v>12.35</c:v>
                </c:pt>
                <c:pt idx="150">
                  <c:v>12.16</c:v>
                </c:pt>
                <c:pt idx="151">
                  <c:v>11.99</c:v>
                </c:pt>
                <c:pt idx="152">
                  <c:v>11.83</c:v>
                </c:pt>
                <c:pt idx="153">
                  <c:v>11.66</c:v>
                </c:pt>
                <c:pt idx="154">
                  <c:v>11.49</c:v>
                </c:pt>
                <c:pt idx="155">
                  <c:v>11.34</c:v>
                </c:pt>
                <c:pt idx="156">
                  <c:v>11.19</c:v>
                </c:pt>
                <c:pt idx="157">
                  <c:v>11.04</c:v>
                </c:pt>
                <c:pt idx="158">
                  <c:v>10.89</c:v>
                </c:pt>
                <c:pt idx="159">
                  <c:v>10.73</c:v>
                </c:pt>
                <c:pt idx="160">
                  <c:v>10.59</c:v>
                </c:pt>
                <c:pt idx="161">
                  <c:v>10.44</c:v>
                </c:pt>
                <c:pt idx="162">
                  <c:v>10.3</c:v>
                </c:pt>
                <c:pt idx="163">
                  <c:v>10.16</c:v>
                </c:pt>
                <c:pt idx="164">
                  <c:v>10.119999999999999</c:v>
                </c:pt>
                <c:pt idx="165">
                  <c:v>9.89</c:v>
                </c:pt>
                <c:pt idx="166">
                  <c:v>9.76</c:v>
                </c:pt>
                <c:pt idx="167">
                  <c:v>9.6300000000000008</c:v>
                </c:pt>
                <c:pt idx="168">
                  <c:v>9.51</c:v>
                </c:pt>
                <c:pt idx="169">
                  <c:v>7638.35</c:v>
                </c:pt>
                <c:pt idx="170">
                  <c:v>7510.59</c:v>
                </c:pt>
                <c:pt idx="171">
                  <c:v>7382.84</c:v>
                </c:pt>
                <c:pt idx="172">
                  <c:v>7255.08</c:v>
                </c:pt>
                <c:pt idx="173">
                  <c:v>7127.33</c:v>
                </c:pt>
                <c:pt idx="174">
                  <c:v>6999.58</c:v>
                </c:pt>
                <c:pt idx="175">
                  <c:v>6871.82</c:v>
                </c:pt>
                <c:pt idx="176">
                  <c:v>6744.07</c:v>
                </c:pt>
                <c:pt idx="177">
                  <c:v>6616.31</c:v>
                </c:pt>
                <c:pt idx="178">
                  <c:v>6488.56</c:v>
                </c:pt>
                <c:pt idx="179">
                  <c:v>6360.8</c:v>
                </c:pt>
                <c:pt idx="180">
                  <c:v>6233.05</c:v>
                </c:pt>
                <c:pt idx="181">
                  <c:v>6105.3</c:v>
                </c:pt>
                <c:pt idx="182">
                  <c:v>5977.54</c:v>
                </c:pt>
                <c:pt idx="183">
                  <c:v>5849.79</c:v>
                </c:pt>
                <c:pt idx="184">
                  <c:v>5722.03</c:v>
                </c:pt>
                <c:pt idx="185">
                  <c:v>5594.28</c:v>
                </c:pt>
                <c:pt idx="186">
                  <c:v>5466.53</c:v>
                </c:pt>
                <c:pt idx="187">
                  <c:v>5338.77</c:v>
                </c:pt>
                <c:pt idx="188">
                  <c:v>5211.0200000000004</c:v>
                </c:pt>
                <c:pt idx="189">
                  <c:v>5083.26</c:v>
                </c:pt>
                <c:pt idx="190">
                  <c:v>4955.51</c:v>
                </c:pt>
                <c:pt idx="191">
                  <c:v>4827.75</c:v>
                </c:pt>
                <c:pt idx="192">
                  <c:v>4700</c:v>
                </c:pt>
              </c:numCache>
            </c:numRef>
          </c:yVal>
          <c:smooth val="1"/>
          <c:extLst xmlns:c16r2="http://schemas.microsoft.com/office/drawing/2015/06/chart">
            <c:ext xmlns:c16="http://schemas.microsoft.com/office/drawing/2014/chart" uri="{C3380CC4-5D6E-409C-BE32-E72D297353CC}">
              <c16:uniqueId val="{00000003-E7E6-4E91-9803-CDE02648605D}"/>
            </c:ext>
          </c:extLst>
        </c:ser>
        <c:ser>
          <c:idx val="0"/>
          <c:order val="4"/>
          <c:tx>
            <c:v>10 Percent Annual Chance</c:v>
          </c:tx>
          <c:spPr>
            <a:ln>
              <a:solidFill>
                <a:srgbClr val="33CC33"/>
              </a:solidFill>
            </a:ln>
          </c:spPr>
          <c:marker>
            <c:symbol val="none"/>
          </c:marker>
          <c:xVal>
            <c:numRef>
              <c:f>Hydrograph!$A$3:$A$279</c:f>
              <c:numCache>
                <c:formatCode>0.00</c:formatCode>
                <c:ptCount val="277"/>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pt idx="101">
                  <c:v>101</c:v>
                </c:pt>
                <c:pt idx="102">
                  <c:v>102</c:v>
                </c:pt>
                <c:pt idx="103">
                  <c:v>103</c:v>
                </c:pt>
                <c:pt idx="104">
                  <c:v>104</c:v>
                </c:pt>
                <c:pt idx="105">
                  <c:v>105</c:v>
                </c:pt>
                <c:pt idx="106">
                  <c:v>106</c:v>
                </c:pt>
                <c:pt idx="107">
                  <c:v>107</c:v>
                </c:pt>
                <c:pt idx="108">
                  <c:v>108</c:v>
                </c:pt>
                <c:pt idx="109">
                  <c:v>109</c:v>
                </c:pt>
                <c:pt idx="110">
                  <c:v>110</c:v>
                </c:pt>
                <c:pt idx="111">
                  <c:v>111</c:v>
                </c:pt>
                <c:pt idx="112">
                  <c:v>112</c:v>
                </c:pt>
                <c:pt idx="113">
                  <c:v>113</c:v>
                </c:pt>
                <c:pt idx="114">
                  <c:v>114</c:v>
                </c:pt>
                <c:pt idx="115">
                  <c:v>115</c:v>
                </c:pt>
                <c:pt idx="116">
                  <c:v>116</c:v>
                </c:pt>
                <c:pt idx="117">
                  <c:v>117</c:v>
                </c:pt>
                <c:pt idx="118">
                  <c:v>118</c:v>
                </c:pt>
                <c:pt idx="119">
                  <c:v>119</c:v>
                </c:pt>
                <c:pt idx="120">
                  <c:v>120</c:v>
                </c:pt>
                <c:pt idx="121">
                  <c:v>121</c:v>
                </c:pt>
                <c:pt idx="122">
                  <c:v>122</c:v>
                </c:pt>
                <c:pt idx="123">
                  <c:v>123</c:v>
                </c:pt>
                <c:pt idx="124">
                  <c:v>124</c:v>
                </c:pt>
                <c:pt idx="125">
                  <c:v>125</c:v>
                </c:pt>
                <c:pt idx="126">
                  <c:v>126</c:v>
                </c:pt>
                <c:pt idx="127">
                  <c:v>127</c:v>
                </c:pt>
                <c:pt idx="128">
                  <c:v>128</c:v>
                </c:pt>
                <c:pt idx="129">
                  <c:v>129</c:v>
                </c:pt>
                <c:pt idx="130">
                  <c:v>130</c:v>
                </c:pt>
                <c:pt idx="131">
                  <c:v>131</c:v>
                </c:pt>
                <c:pt idx="132">
                  <c:v>132</c:v>
                </c:pt>
                <c:pt idx="133">
                  <c:v>133</c:v>
                </c:pt>
                <c:pt idx="134">
                  <c:v>134</c:v>
                </c:pt>
                <c:pt idx="135">
                  <c:v>135</c:v>
                </c:pt>
                <c:pt idx="136">
                  <c:v>136</c:v>
                </c:pt>
                <c:pt idx="137">
                  <c:v>137</c:v>
                </c:pt>
                <c:pt idx="138">
                  <c:v>138</c:v>
                </c:pt>
                <c:pt idx="139">
                  <c:v>139</c:v>
                </c:pt>
                <c:pt idx="140">
                  <c:v>140</c:v>
                </c:pt>
                <c:pt idx="141">
                  <c:v>141</c:v>
                </c:pt>
                <c:pt idx="142">
                  <c:v>142</c:v>
                </c:pt>
                <c:pt idx="143">
                  <c:v>143</c:v>
                </c:pt>
                <c:pt idx="144">
                  <c:v>144</c:v>
                </c:pt>
                <c:pt idx="145">
                  <c:v>145</c:v>
                </c:pt>
                <c:pt idx="146">
                  <c:v>146</c:v>
                </c:pt>
                <c:pt idx="147">
                  <c:v>147</c:v>
                </c:pt>
                <c:pt idx="148">
                  <c:v>148</c:v>
                </c:pt>
                <c:pt idx="149">
                  <c:v>149</c:v>
                </c:pt>
                <c:pt idx="150">
                  <c:v>150</c:v>
                </c:pt>
                <c:pt idx="151">
                  <c:v>151</c:v>
                </c:pt>
                <c:pt idx="152">
                  <c:v>152</c:v>
                </c:pt>
                <c:pt idx="153">
                  <c:v>153</c:v>
                </c:pt>
                <c:pt idx="154">
                  <c:v>154</c:v>
                </c:pt>
                <c:pt idx="155">
                  <c:v>155</c:v>
                </c:pt>
                <c:pt idx="156">
                  <c:v>156</c:v>
                </c:pt>
                <c:pt idx="157">
                  <c:v>157</c:v>
                </c:pt>
                <c:pt idx="158">
                  <c:v>158</c:v>
                </c:pt>
                <c:pt idx="159">
                  <c:v>159</c:v>
                </c:pt>
                <c:pt idx="160">
                  <c:v>160</c:v>
                </c:pt>
                <c:pt idx="161">
                  <c:v>161</c:v>
                </c:pt>
                <c:pt idx="162">
                  <c:v>162</c:v>
                </c:pt>
                <c:pt idx="163">
                  <c:v>163</c:v>
                </c:pt>
                <c:pt idx="164">
                  <c:v>164</c:v>
                </c:pt>
                <c:pt idx="165">
                  <c:v>165</c:v>
                </c:pt>
                <c:pt idx="166">
                  <c:v>166</c:v>
                </c:pt>
                <c:pt idx="167">
                  <c:v>167</c:v>
                </c:pt>
                <c:pt idx="168">
                  <c:v>168</c:v>
                </c:pt>
                <c:pt idx="169">
                  <c:v>169</c:v>
                </c:pt>
                <c:pt idx="170">
                  <c:v>170</c:v>
                </c:pt>
                <c:pt idx="171">
                  <c:v>171</c:v>
                </c:pt>
                <c:pt idx="172">
                  <c:v>172</c:v>
                </c:pt>
                <c:pt idx="173">
                  <c:v>173</c:v>
                </c:pt>
                <c:pt idx="174">
                  <c:v>174</c:v>
                </c:pt>
                <c:pt idx="175">
                  <c:v>175</c:v>
                </c:pt>
                <c:pt idx="176">
                  <c:v>176</c:v>
                </c:pt>
                <c:pt idx="177">
                  <c:v>177</c:v>
                </c:pt>
                <c:pt idx="178">
                  <c:v>178</c:v>
                </c:pt>
                <c:pt idx="179">
                  <c:v>179</c:v>
                </c:pt>
                <c:pt idx="180">
                  <c:v>180</c:v>
                </c:pt>
                <c:pt idx="181">
                  <c:v>181</c:v>
                </c:pt>
                <c:pt idx="182">
                  <c:v>182</c:v>
                </c:pt>
                <c:pt idx="183">
                  <c:v>183</c:v>
                </c:pt>
                <c:pt idx="184">
                  <c:v>184</c:v>
                </c:pt>
                <c:pt idx="185">
                  <c:v>185</c:v>
                </c:pt>
                <c:pt idx="186">
                  <c:v>186</c:v>
                </c:pt>
                <c:pt idx="187">
                  <c:v>187</c:v>
                </c:pt>
                <c:pt idx="188">
                  <c:v>188</c:v>
                </c:pt>
                <c:pt idx="189">
                  <c:v>189</c:v>
                </c:pt>
                <c:pt idx="190">
                  <c:v>190</c:v>
                </c:pt>
                <c:pt idx="191">
                  <c:v>191</c:v>
                </c:pt>
                <c:pt idx="192">
                  <c:v>192</c:v>
                </c:pt>
              </c:numCache>
            </c:numRef>
          </c:xVal>
          <c:yVal>
            <c:numRef>
              <c:f>Hydrograph!$B$3:$B$279</c:f>
              <c:numCache>
                <c:formatCode>General</c:formatCode>
                <c:ptCount val="277"/>
                <c:pt idx="0">
                  <c:v>0</c:v>
                </c:pt>
                <c:pt idx="1">
                  <c:v>0</c:v>
                </c:pt>
                <c:pt idx="2">
                  <c:v>0</c:v>
                </c:pt>
                <c:pt idx="3">
                  <c:v>0</c:v>
                </c:pt>
                <c:pt idx="4">
                  <c:v>0</c:v>
                </c:pt>
                <c:pt idx="5">
                  <c:v>0</c:v>
                </c:pt>
                <c:pt idx="6">
                  <c:v>0</c:v>
                </c:pt>
                <c:pt idx="7">
                  <c:v>0</c:v>
                </c:pt>
                <c:pt idx="8">
                  <c:v>0</c:v>
                </c:pt>
                <c:pt idx="9">
                  <c:v>0</c:v>
                </c:pt>
                <c:pt idx="10">
                  <c:v>0.15</c:v>
                </c:pt>
                <c:pt idx="11">
                  <c:v>0.91</c:v>
                </c:pt>
                <c:pt idx="12">
                  <c:v>14.3</c:v>
                </c:pt>
                <c:pt idx="13">
                  <c:v>126.62</c:v>
                </c:pt>
                <c:pt idx="14">
                  <c:v>288.20999999999998</c:v>
                </c:pt>
                <c:pt idx="15">
                  <c:v>317.81</c:v>
                </c:pt>
                <c:pt idx="16">
                  <c:v>287.86</c:v>
                </c:pt>
                <c:pt idx="17">
                  <c:v>266.12</c:v>
                </c:pt>
                <c:pt idx="18">
                  <c:v>252.85</c:v>
                </c:pt>
                <c:pt idx="19">
                  <c:v>325.98</c:v>
                </c:pt>
                <c:pt idx="20">
                  <c:v>500.37</c:v>
                </c:pt>
                <c:pt idx="21">
                  <c:v>640.46</c:v>
                </c:pt>
                <c:pt idx="22">
                  <c:v>730.74</c:v>
                </c:pt>
                <c:pt idx="23">
                  <c:v>772.01</c:v>
                </c:pt>
                <c:pt idx="24">
                  <c:v>788.58</c:v>
                </c:pt>
                <c:pt idx="25">
                  <c:v>783.04</c:v>
                </c:pt>
                <c:pt idx="26">
                  <c:v>761.66</c:v>
                </c:pt>
                <c:pt idx="27">
                  <c:v>722.77</c:v>
                </c:pt>
                <c:pt idx="28">
                  <c:v>674.97</c:v>
                </c:pt>
                <c:pt idx="29">
                  <c:v>624.75</c:v>
                </c:pt>
                <c:pt idx="30">
                  <c:v>572.24</c:v>
                </c:pt>
                <c:pt idx="31">
                  <c:v>525.79999999999995</c:v>
                </c:pt>
                <c:pt idx="32">
                  <c:v>483.71</c:v>
                </c:pt>
                <c:pt idx="33">
                  <c:v>445.18</c:v>
                </c:pt>
                <c:pt idx="34">
                  <c:v>407.87</c:v>
                </c:pt>
                <c:pt idx="35">
                  <c:v>375.95</c:v>
                </c:pt>
                <c:pt idx="36">
                  <c:v>358.68</c:v>
                </c:pt>
                <c:pt idx="37">
                  <c:v>317.31</c:v>
                </c:pt>
                <c:pt idx="38">
                  <c:v>295.14</c:v>
                </c:pt>
                <c:pt idx="39">
                  <c:v>277.24</c:v>
                </c:pt>
                <c:pt idx="40">
                  <c:v>259.44</c:v>
                </c:pt>
                <c:pt idx="41">
                  <c:v>245.22</c:v>
                </c:pt>
                <c:pt idx="42">
                  <c:v>232.41</c:v>
                </c:pt>
                <c:pt idx="43">
                  <c:v>221.07</c:v>
                </c:pt>
                <c:pt idx="44">
                  <c:v>210.37</c:v>
                </c:pt>
                <c:pt idx="45">
                  <c:v>200.27</c:v>
                </c:pt>
                <c:pt idx="46">
                  <c:v>190.77</c:v>
                </c:pt>
                <c:pt idx="47">
                  <c:v>181.69</c:v>
                </c:pt>
                <c:pt idx="48">
                  <c:v>172.71</c:v>
                </c:pt>
                <c:pt idx="49">
                  <c:v>164.61</c:v>
                </c:pt>
                <c:pt idx="50">
                  <c:v>157.28</c:v>
                </c:pt>
                <c:pt idx="51">
                  <c:v>150.35</c:v>
                </c:pt>
                <c:pt idx="52">
                  <c:v>143.57</c:v>
                </c:pt>
                <c:pt idx="53">
                  <c:v>137.08000000000001</c:v>
                </c:pt>
                <c:pt idx="54">
                  <c:v>131.19</c:v>
                </c:pt>
                <c:pt idx="55">
                  <c:v>124.85</c:v>
                </c:pt>
                <c:pt idx="56">
                  <c:v>119.06</c:v>
                </c:pt>
                <c:pt idx="57">
                  <c:v>113.71</c:v>
                </c:pt>
                <c:pt idx="58">
                  <c:v>108.79</c:v>
                </c:pt>
                <c:pt idx="59">
                  <c:v>104.14</c:v>
                </c:pt>
                <c:pt idx="60">
                  <c:v>99.81</c:v>
                </c:pt>
                <c:pt idx="61">
                  <c:v>95.7</c:v>
                </c:pt>
                <c:pt idx="62">
                  <c:v>91.86</c:v>
                </c:pt>
                <c:pt idx="63">
                  <c:v>88.32</c:v>
                </c:pt>
                <c:pt idx="64">
                  <c:v>85.55</c:v>
                </c:pt>
                <c:pt idx="65">
                  <c:v>81.8</c:v>
                </c:pt>
                <c:pt idx="66">
                  <c:v>78.739999999999995</c:v>
                </c:pt>
                <c:pt idx="67">
                  <c:v>75.89</c:v>
                </c:pt>
                <c:pt idx="68">
                  <c:v>73.13</c:v>
                </c:pt>
                <c:pt idx="69">
                  <c:v>70.489999999999995</c:v>
                </c:pt>
                <c:pt idx="70">
                  <c:v>68.06</c:v>
                </c:pt>
                <c:pt idx="71">
                  <c:v>65.81</c:v>
                </c:pt>
                <c:pt idx="72">
                  <c:v>63.61</c:v>
                </c:pt>
                <c:pt idx="73">
                  <c:v>61.56</c:v>
                </c:pt>
                <c:pt idx="74">
                  <c:v>59.53</c:v>
                </c:pt>
                <c:pt idx="75">
                  <c:v>57.54</c:v>
                </c:pt>
                <c:pt idx="76">
                  <c:v>55.68</c:v>
                </c:pt>
                <c:pt idx="77">
                  <c:v>53.9</c:v>
                </c:pt>
                <c:pt idx="78">
                  <c:v>52.22</c:v>
                </c:pt>
                <c:pt idx="79">
                  <c:v>50.67</c:v>
                </c:pt>
                <c:pt idx="80">
                  <c:v>49.16</c:v>
                </c:pt>
                <c:pt idx="81">
                  <c:v>47.71</c:v>
                </c:pt>
                <c:pt idx="82">
                  <c:v>46.28</c:v>
                </c:pt>
                <c:pt idx="83">
                  <c:v>44.91</c:v>
                </c:pt>
                <c:pt idx="84">
                  <c:v>43.57</c:v>
                </c:pt>
                <c:pt idx="85">
                  <c:v>42.29</c:v>
                </c:pt>
                <c:pt idx="86">
                  <c:v>41.08</c:v>
                </c:pt>
                <c:pt idx="87">
                  <c:v>39.94</c:v>
                </c:pt>
                <c:pt idx="88">
                  <c:v>38.97</c:v>
                </c:pt>
                <c:pt idx="89">
                  <c:v>37.81</c:v>
                </c:pt>
                <c:pt idx="90">
                  <c:v>36.799999999999997</c:v>
                </c:pt>
                <c:pt idx="91">
                  <c:v>35.83</c:v>
                </c:pt>
                <c:pt idx="92">
                  <c:v>34.96</c:v>
                </c:pt>
                <c:pt idx="93">
                  <c:v>34.119999999999997</c:v>
                </c:pt>
                <c:pt idx="94">
                  <c:v>33.270000000000003</c:v>
                </c:pt>
                <c:pt idx="95">
                  <c:v>32.46</c:v>
                </c:pt>
                <c:pt idx="96">
                  <c:v>31.65</c:v>
                </c:pt>
                <c:pt idx="97">
                  <c:v>30.88</c:v>
                </c:pt>
                <c:pt idx="98">
                  <c:v>30.22</c:v>
                </c:pt>
                <c:pt idx="99">
                  <c:v>29.66</c:v>
                </c:pt>
                <c:pt idx="100">
                  <c:v>29.3</c:v>
                </c:pt>
                <c:pt idx="101">
                  <c:v>28.79</c:v>
                </c:pt>
                <c:pt idx="102">
                  <c:v>28.04</c:v>
                </c:pt>
                <c:pt idx="103">
                  <c:v>27.32</c:v>
                </c:pt>
                <c:pt idx="104">
                  <c:v>26.65</c:v>
                </c:pt>
                <c:pt idx="105">
                  <c:v>26.02</c:v>
                </c:pt>
                <c:pt idx="106">
                  <c:v>25.41</c:v>
                </c:pt>
                <c:pt idx="107">
                  <c:v>24.85</c:v>
                </c:pt>
                <c:pt idx="108">
                  <c:v>24.3</c:v>
                </c:pt>
                <c:pt idx="109">
                  <c:v>23.76</c:v>
                </c:pt>
                <c:pt idx="110">
                  <c:v>23.25</c:v>
                </c:pt>
                <c:pt idx="111">
                  <c:v>22.75</c:v>
                </c:pt>
                <c:pt idx="112">
                  <c:v>22.26</c:v>
                </c:pt>
                <c:pt idx="113">
                  <c:v>21.79</c:v>
                </c:pt>
                <c:pt idx="114">
                  <c:v>21.34</c:v>
                </c:pt>
                <c:pt idx="115">
                  <c:v>20.89</c:v>
                </c:pt>
                <c:pt idx="116">
                  <c:v>20.46</c:v>
                </c:pt>
                <c:pt idx="117">
                  <c:v>20.07</c:v>
                </c:pt>
                <c:pt idx="118">
                  <c:v>19.649999999999999</c:v>
                </c:pt>
                <c:pt idx="119">
                  <c:v>19.27</c:v>
                </c:pt>
                <c:pt idx="120">
                  <c:v>18.91</c:v>
                </c:pt>
                <c:pt idx="121">
                  <c:v>18.55</c:v>
                </c:pt>
                <c:pt idx="122">
                  <c:v>18.190000000000001</c:v>
                </c:pt>
                <c:pt idx="123">
                  <c:v>17.86</c:v>
                </c:pt>
                <c:pt idx="124">
                  <c:v>17.559999999999999</c:v>
                </c:pt>
                <c:pt idx="125">
                  <c:v>17.39</c:v>
                </c:pt>
                <c:pt idx="126">
                  <c:v>17.23</c:v>
                </c:pt>
                <c:pt idx="127">
                  <c:v>17.010000000000002</c:v>
                </c:pt>
                <c:pt idx="128">
                  <c:v>16.760000000000002</c:v>
                </c:pt>
                <c:pt idx="129">
                  <c:v>16.48</c:v>
                </c:pt>
                <c:pt idx="130">
                  <c:v>16.18</c:v>
                </c:pt>
                <c:pt idx="131">
                  <c:v>15.89</c:v>
                </c:pt>
                <c:pt idx="132">
                  <c:v>15.6</c:v>
                </c:pt>
                <c:pt idx="133">
                  <c:v>15.31</c:v>
                </c:pt>
                <c:pt idx="134">
                  <c:v>15.04</c:v>
                </c:pt>
                <c:pt idx="135">
                  <c:v>14.77</c:v>
                </c:pt>
                <c:pt idx="136">
                  <c:v>14.5</c:v>
                </c:pt>
                <c:pt idx="137">
                  <c:v>14.24</c:v>
                </c:pt>
                <c:pt idx="138">
                  <c:v>13.99</c:v>
                </c:pt>
                <c:pt idx="139">
                  <c:v>13.75</c:v>
                </c:pt>
                <c:pt idx="140">
                  <c:v>13.52</c:v>
                </c:pt>
                <c:pt idx="141">
                  <c:v>13.3</c:v>
                </c:pt>
                <c:pt idx="142">
                  <c:v>13.08</c:v>
                </c:pt>
                <c:pt idx="143">
                  <c:v>12.87</c:v>
                </c:pt>
                <c:pt idx="144">
                  <c:v>12.66</c:v>
                </c:pt>
                <c:pt idx="145">
                  <c:v>12.46</c:v>
                </c:pt>
                <c:pt idx="146">
                  <c:v>12.27</c:v>
                </c:pt>
                <c:pt idx="147">
                  <c:v>12.08</c:v>
                </c:pt>
                <c:pt idx="148">
                  <c:v>11.9</c:v>
                </c:pt>
                <c:pt idx="149">
                  <c:v>11.73</c:v>
                </c:pt>
                <c:pt idx="150">
                  <c:v>11.55</c:v>
                </c:pt>
                <c:pt idx="151">
                  <c:v>11.39</c:v>
                </c:pt>
                <c:pt idx="152">
                  <c:v>11.23</c:v>
                </c:pt>
                <c:pt idx="153">
                  <c:v>11.07</c:v>
                </c:pt>
                <c:pt idx="154">
                  <c:v>10.91</c:v>
                </c:pt>
                <c:pt idx="155">
                  <c:v>10.75</c:v>
                </c:pt>
                <c:pt idx="156">
                  <c:v>10.6</c:v>
                </c:pt>
                <c:pt idx="157">
                  <c:v>10.45</c:v>
                </c:pt>
                <c:pt idx="158">
                  <c:v>10.3</c:v>
                </c:pt>
                <c:pt idx="159">
                  <c:v>10.15</c:v>
                </c:pt>
                <c:pt idx="160">
                  <c:v>10.01</c:v>
                </c:pt>
                <c:pt idx="161">
                  <c:v>9.8699999999999992</c:v>
                </c:pt>
                <c:pt idx="162">
                  <c:v>9.74</c:v>
                </c:pt>
                <c:pt idx="163">
                  <c:v>9.61</c:v>
                </c:pt>
                <c:pt idx="164">
                  <c:v>9.56</c:v>
                </c:pt>
                <c:pt idx="165">
                  <c:v>9.36</c:v>
                </c:pt>
                <c:pt idx="166">
                  <c:v>9.24</c:v>
                </c:pt>
                <c:pt idx="167">
                  <c:v>9.1199999999999992</c:v>
                </c:pt>
                <c:pt idx="168">
                  <c:v>9</c:v>
                </c:pt>
                <c:pt idx="169">
                  <c:v>5484.89</c:v>
                </c:pt>
                <c:pt idx="170">
                  <c:v>5420.33</c:v>
                </c:pt>
                <c:pt idx="171">
                  <c:v>5355.77</c:v>
                </c:pt>
                <c:pt idx="172">
                  <c:v>5291.21</c:v>
                </c:pt>
                <c:pt idx="173">
                  <c:v>5226.6499999999996</c:v>
                </c:pt>
                <c:pt idx="174">
                  <c:v>5162.09</c:v>
                </c:pt>
                <c:pt idx="175">
                  <c:v>5097.53</c:v>
                </c:pt>
                <c:pt idx="176">
                  <c:v>5032.97</c:v>
                </c:pt>
                <c:pt idx="177">
                  <c:v>4968.41</c:v>
                </c:pt>
                <c:pt idx="178">
                  <c:v>4903.8500000000004</c:v>
                </c:pt>
                <c:pt idx="179">
                  <c:v>4839.29</c:v>
                </c:pt>
                <c:pt idx="180">
                  <c:v>4774.7299999999996</c:v>
                </c:pt>
                <c:pt idx="181">
                  <c:v>4710.17</c:v>
                </c:pt>
                <c:pt idx="182">
                  <c:v>4645.6099999999997</c:v>
                </c:pt>
                <c:pt idx="183">
                  <c:v>4581.05</c:v>
                </c:pt>
                <c:pt idx="184">
                  <c:v>4516.49</c:v>
                </c:pt>
                <c:pt idx="185">
                  <c:v>4451.92</c:v>
                </c:pt>
                <c:pt idx="186">
                  <c:v>4387.3599999999997</c:v>
                </c:pt>
                <c:pt idx="187">
                  <c:v>4322.8</c:v>
                </c:pt>
                <c:pt idx="188">
                  <c:v>4258.24</c:v>
                </c:pt>
                <c:pt idx="189">
                  <c:v>4193.68</c:v>
                </c:pt>
                <c:pt idx="190">
                  <c:v>4129.12</c:v>
                </c:pt>
                <c:pt idx="191">
                  <c:v>4064.56</c:v>
                </c:pt>
                <c:pt idx="192">
                  <c:v>4000</c:v>
                </c:pt>
              </c:numCache>
            </c:numRef>
          </c:yVal>
          <c:smooth val="1"/>
          <c:extLst xmlns:c16r2="http://schemas.microsoft.com/office/drawing/2015/06/chart">
            <c:ext xmlns:c16="http://schemas.microsoft.com/office/drawing/2014/chart" uri="{C3380CC4-5D6E-409C-BE32-E72D297353CC}">
              <c16:uniqueId val="{00000004-E7E6-4E91-9803-CDE02648605D}"/>
            </c:ext>
          </c:extLst>
        </c:ser>
        <c:ser>
          <c:idx val="5"/>
          <c:order val="5"/>
          <c:tx>
            <c:v>1 Percent Plus Annual Chance</c:v>
          </c:tx>
          <c:marker>
            <c:symbol val="none"/>
          </c:marker>
          <c:xVal>
            <c:numRef>
              <c:f>Hydrograph!$A$3:$A$195</c:f>
              <c:numCache>
                <c:formatCode>0.00</c:formatCode>
                <c:ptCount val="193"/>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pt idx="101">
                  <c:v>101</c:v>
                </c:pt>
                <c:pt idx="102">
                  <c:v>102</c:v>
                </c:pt>
                <c:pt idx="103">
                  <c:v>103</c:v>
                </c:pt>
                <c:pt idx="104">
                  <c:v>104</c:v>
                </c:pt>
                <c:pt idx="105">
                  <c:v>105</c:v>
                </c:pt>
                <c:pt idx="106">
                  <c:v>106</c:v>
                </c:pt>
                <c:pt idx="107">
                  <c:v>107</c:v>
                </c:pt>
                <c:pt idx="108">
                  <c:v>108</c:v>
                </c:pt>
                <c:pt idx="109">
                  <c:v>109</c:v>
                </c:pt>
                <c:pt idx="110">
                  <c:v>110</c:v>
                </c:pt>
                <c:pt idx="111">
                  <c:v>111</c:v>
                </c:pt>
                <c:pt idx="112">
                  <c:v>112</c:v>
                </c:pt>
                <c:pt idx="113">
                  <c:v>113</c:v>
                </c:pt>
                <c:pt idx="114">
                  <c:v>114</c:v>
                </c:pt>
                <c:pt idx="115">
                  <c:v>115</c:v>
                </c:pt>
                <c:pt idx="116">
                  <c:v>116</c:v>
                </c:pt>
                <c:pt idx="117">
                  <c:v>117</c:v>
                </c:pt>
                <c:pt idx="118">
                  <c:v>118</c:v>
                </c:pt>
                <c:pt idx="119">
                  <c:v>119</c:v>
                </c:pt>
                <c:pt idx="120">
                  <c:v>120</c:v>
                </c:pt>
                <c:pt idx="121">
                  <c:v>121</c:v>
                </c:pt>
                <c:pt idx="122">
                  <c:v>122</c:v>
                </c:pt>
                <c:pt idx="123">
                  <c:v>123</c:v>
                </c:pt>
                <c:pt idx="124">
                  <c:v>124</c:v>
                </c:pt>
                <c:pt idx="125">
                  <c:v>125</c:v>
                </c:pt>
                <c:pt idx="126">
                  <c:v>126</c:v>
                </c:pt>
                <c:pt idx="127">
                  <c:v>127</c:v>
                </c:pt>
                <c:pt idx="128">
                  <c:v>128</c:v>
                </c:pt>
                <c:pt idx="129">
                  <c:v>129</c:v>
                </c:pt>
                <c:pt idx="130">
                  <c:v>130</c:v>
                </c:pt>
                <c:pt idx="131">
                  <c:v>131</c:v>
                </c:pt>
                <c:pt idx="132">
                  <c:v>132</c:v>
                </c:pt>
                <c:pt idx="133">
                  <c:v>133</c:v>
                </c:pt>
                <c:pt idx="134">
                  <c:v>134</c:v>
                </c:pt>
                <c:pt idx="135">
                  <c:v>135</c:v>
                </c:pt>
                <c:pt idx="136">
                  <c:v>136</c:v>
                </c:pt>
                <c:pt idx="137">
                  <c:v>137</c:v>
                </c:pt>
                <c:pt idx="138">
                  <c:v>138</c:v>
                </c:pt>
                <c:pt idx="139">
                  <c:v>139</c:v>
                </c:pt>
                <c:pt idx="140">
                  <c:v>140</c:v>
                </c:pt>
                <c:pt idx="141">
                  <c:v>141</c:v>
                </c:pt>
                <c:pt idx="142">
                  <c:v>142</c:v>
                </c:pt>
                <c:pt idx="143">
                  <c:v>143</c:v>
                </c:pt>
                <c:pt idx="144">
                  <c:v>144</c:v>
                </c:pt>
                <c:pt idx="145">
                  <c:v>145</c:v>
                </c:pt>
                <c:pt idx="146">
                  <c:v>146</c:v>
                </c:pt>
                <c:pt idx="147">
                  <c:v>147</c:v>
                </c:pt>
                <c:pt idx="148">
                  <c:v>148</c:v>
                </c:pt>
                <c:pt idx="149">
                  <c:v>149</c:v>
                </c:pt>
                <c:pt idx="150">
                  <c:v>150</c:v>
                </c:pt>
                <c:pt idx="151">
                  <c:v>151</c:v>
                </c:pt>
                <c:pt idx="152">
                  <c:v>152</c:v>
                </c:pt>
                <c:pt idx="153">
                  <c:v>153</c:v>
                </c:pt>
                <c:pt idx="154">
                  <c:v>154</c:v>
                </c:pt>
                <c:pt idx="155">
                  <c:v>155</c:v>
                </c:pt>
                <c:pt idx="156">
                  <c:v>156</c:v>
                </c:pt>
                <c:pt idx="157">
                  <c:v>157</c:v>
                </c:pt>
                <c:pt idx="158">
                  <c:v>158</c:v>
                </c:pt>
                <c:pt idx="159">
                  <c:v>159</c:v>
                </c:pt>
                <c:pt idx="160">
                  <c:v>160</c:v>
                </c:pt>
                <c:pt idx="161">
                  <c:v>161</c:v>
                </c:pt>
                <c:pt idx="162">
                  <c:v>162</c:v>
                </c:pt>
                <c:pt idx="163">
                  <c:v>163</c:v>
                </c:pt>
                <c:pt idx="164">
                  <c:v>164</c:v>
                </c:pt>
                <c:pt idx="165">
                  <c:v>165</c:v>
                </c:pt>
                <c:pt idx="166">
                  <c:v>166</c:v>
                </c:pt>
                <c:pt idx="167">
                  <c:v>167</c:v>
                </c:pt>
                <c:pt idx="168">
                  <c:v>168</c:v>
                </c:pt>
                <c:pt idx="169">
                  <c:v>169</c:v>
                </c:pt>
                <c:pt idx="170">
                  <c:v>170</c:v>
                </c:pt>
                <c:pt idx="171">
                  <c:v>171</c:v>
                </c:pt>
                <c:pt idx="172">
                  <c:v>172</c:v>
                </c:pt>
                <c:pt idx="173">
                  <c:v>173</c:v>
                </c:pt>
                <c:pt idx="174">
                  <c:v>174</c:v>
                </c:pt>
                <c:pt idx="175">
                  <c:v>175</c:v>
                </c:pt>
                <c:pt idx="176">
                  <c:v>176</c:v>
                </c:pt>
                <c:pt idx="177">
                  <c:v>177</c:v>
                </c:pt>
                <c:pt idx="178">
                  <c:v>178</c:v>
                </c:pt>
                <c:pt idx="179">
                  <c:v>179</c:v>
                </c:pt>
                <c:pt idx="180">
                  <c:v>180</c:v>
                </c:pt>
                <c:pt idx="181">
                  <c:v>181</c:v>
                </c:pt>
                <c:pt idx="182">
                  <c:v>182</c:v>
                </c:pt>
                <c:pt idx="183">
                  <c:v>183</c:v>
                </c:pt>
                <c:pt idx="184">
                  <c:v>184</c:v>
                </c:pt>
                <c:pt idx="185">
                  <c:v>185</c:v>
                </c:pt>
                <c:pt idx="186">
                  <c:v>186</c:v>
                </c:pt>
                <c:pt idx="187">
                  <c:v>187</c:v>
                </c:pt>
                <c:pt idx="188">
                  <c:v>188</c:v>
                </c:pt>
                <c:pt idx="189">
                  <c:v>189</c:v>
                </c:pt>
                <c:pt idx="190">
                  <c:v>190</c:v>
                </c:pt>
                <c:pt idx="191">
                  <c:v>191</c:v>
                </c:pt>
                <c:pt idx="192">
                  <c:v>192</c:v>
                </c:pt>
              </c:numCache>
            </c:numRef>
          </c:xVal>
          <c:yVal>
            <c:numRef>
              <c:f>Hydrograph!$G$3:$G$1048576</c:f>
              <c:numCache>
                <c:formatCode>General</c:formatCode>
                <c:ptCount val="1048574"/>
                <c:pt idx="0">
                  <c:v>0</c:v>
                </c:pt>
                <c:pt idx="1">
                  <c:v>0</c:v>
                </c:pt>
                <c:pt idx="2">
                  <c:v>0</c:v>
                </c:pt>
                <c:pt idx="3">
                  <c:v>0</c:v>
                </c:pt>
                <c:pt idx="4">
                  <c:v>0.03</c:v>
                </c:pt>
                <c:pt idx="5">
                  <c:v>0.2</c:v>
                </c:pt>
                <c:pt idx="6">
                  <c:v>0.62</c:v>
                </c:pt>
                <c:pt idx="7">
                  <c:v>1.47</c:v>
                </c:pt>
                <c:pt idx="8">
                  <c:v>2.87</c:v>
                </c:pt>
                <c:pt idx="9">
                  <c:v>13.7</c:v>
                </c:pt>
                <c:pt idx="10">
                  <c:v>29.36</c:v>
                </c:pt>
                <c:pt idx="11">
                  <c:v>57.71</c:v>
                </c:pt>
                <c:pt idx="12">
                  <c:v>448.61</c:v>
                </c:pt>
                <c:pt idx="13">
                  <c:v>2099.58</c:v>
                </c:pt>
                <c:pt idx="14">
                  <c:v>2202.4699999999998</c:v>
                </c:pt>
                <c:pt idx="15">
                  <c:v>3306.78</c:v>
                </c:pt>
                <c:pt idx="16">
                  <c:v>4235.3999999999996</c:v>
                </c:pt>
                <c:pt idx="17">
                  <c:v>4356.75</c:v>
                </c:pt>
                <c:pt idx="18">
                  <c:v>4155.04</c:v>
                </c:pt>
                <c:pt idx="19">
                  <c:v>3846.63</c:v>
                </c:pt>
                <c:pt idx="20">
                  <c:v>3537.86</c:v>
                </c:pt>
                <c:pt idx="21">
                  <c:v>3272.48</c:v>
                </c:pt>
                <c:pt idx="22">
                  <c:v>3049.46</c:v>
                </c:pt>
                <c:pt idx="23">
                  <c:v>2928.44</c:v>
                </c:pt>
                <c:pt idx="24">
                  <c:v>2947.52</c:v>
                </c:pt>
                <c:pt idx="25">
                  <c:v>2963.19</c:v>
                </c:pt>
                <c:pt idx="26">
                  <c:v>2914.99</c:v>
                </c:pt>
                <c:pt idx="27">
                  <c:v>2801.69</c:v>
                </c:pt>
                <c:pt idx="28">
                  <c:v>2640.07</c:v>
                </c:pt>
                <c:pt idx="29">
                  <c:v>2450.4499999999998</c:v>
                </c:pt>
                <c:pt idx="30">
                  <c:v>2254.38</c:v>
                </c:pt>
                <c:pt idx="31">
                  <c:v>2056.6799999999998</c:v>
                </c:pt>
                <c:pt idx="32">
                  <c:v>1863.83</c:v>
                </c:pt>
                <c:pt idx="33">
                  <c:v>1683.95</c:v>
                </c:pt>
                <c:pt idx="34">
                  <c:v>1529.68</c:v>
                </c:pt>
                <c:pt idx="35">
                  <c:v>1393.2</c:v>
                </c:pt>
                <c:pt idx="36">
                  <c:v>1271.9100000000001</c:v>
                </c:pt>
                <c:pt idx="37">
                  <c:v>1163.54</c:v>
                </c:pt>
                <c:pt idx="38">
                  <c:v>1092.68</c:v>
                </c:pt>
                <c:pt idx="39">
                  <c:v>984.61</c:v>
                </c:pt>
                <c:pt idx="40">
                  <c:v>912.02</c:v>
                </c:pt>
                <c:pt idx="41">
                  <c:v>842.92</c:v>
                </c:pt>
                <c:pt idx="42">
                  <c:v>787.54</c:v>
                </c:pt>
                <c:pt idx="43">
                  <c:v>728.6</c:v>
                </c:pt>
                <c:pt idx="44">
                  <c:v>679.38</c:v>
                </c:pt>
                <c:pt idx="45">
                  <c:v>637.15</c:v>
                </c:pt>
                <c:pt idx="46">
                  <c:v>595.03</c:v>
                </c:pt>
                <c:pt idx="47">
                  <c:v>556.25</c:v>
                </c:pt>
                <c:pt idx="48">
                  <c:v>521.04999999999995</c:v>
                </c:pt>
                <c:pt idx="49">
                  <c:v>490.09</c:v>
                </c:pt>
                <c:pt idx="50">
                  <c:v>461.61</c:v>
                </c:pt>
                <c:pt idx="51">
                  <c:v>440.84</c:v>
                </c:pt>
                <c:pt idx="52">
                  <c:v>433.98</c:v>
                </c:pt>
                <c:pt idx="53">
                  <c:v>467.91</c:v>
                </c:pt>
                <c:pt idx="54">
                  <c:v>601.38</c:v>
                </c:pt>
                <c:pt idx="55">
                  <c:v>884.28</c:v>
                </c:pt>
                <c:pt idx="56">
                  <c:v>1198.46</c:v>
                </c:pt>
                <c:pt idx="57">
                  <c:v>1481.27</c:v>
                </c:pt>
                <c:pt idx="58">
                  <c:v>1707.64</c:v>
                </c:pt>
                <c:pt idx="59">
                  <c:v>1888.83</c:v>
                </c:pt>
                <c:pt idx="60">
                  <c:v>2046.05</c:v>
                </c:pt>
                <c:pt idx="61">
                  <c:v>2198.66</c:v>
                </c:pt>
                <c:pt idx="62">
                  <c:v>2347.17</c:v>
                </c:pt>
                <c:pt idx="63">
                  <c:v>2493.98</c:v>
                </c:pt>
                <c:pt idx="64">
                  <c:v>2622.26</c:v>
                </c:pt>
                <c:pt idx="65">
                  <c:v>2730.41</c:v>
                </c:pt>
                <c:pt idx="66">
                  <c:v>2815.41</c:v>
                </c:pt>
                <c:pt idx="67">
                  <c:v>2878.73</c:v>
                </c:pt>
                <c:pt idx="68">
                  <c:v>2922.82</c:v>
                </c:pt>
                <c:pt idx="69">
                  <c:v>2950.45</c:v>
                </c:pt>
                <c:pt idx="70">
                  <c:v>2964.25</c:v>
                </c:pt>
                <c:pt idx="71">
                  <c:v>2966.33</c:v>
                </c:pt>
                <c:pt idx="72">
                  <c:v>2958.61</c:v>
                </c:pt>
                <c:pt idx="73">
                  <c:v>2942.72</c:v>
                </c:pt>
                <c:pt idx="74">
                  <c:v>2919.99</c:v>
                </c:pt>
                <c:pt idx="75">
                  <c:v>2891.54</c:v>
                </c:pt>
                <c:pt idx="76">
                  <c:v>2858.36</c:v>
                </c:pt>
                <c:pt idx="77">
                  <c:v>2822.69</c:v>
                </c:pt>
                <c:pt idx="78">
                  <c:v>2781.84</c:v>
                </c:pt>
                <c:pt idx="79">
                  <c:v>2739.85</c:v>
                </c:pt>
                <c:pt idx="80">
                  <c:v>2695.44</c:v>
                </c:pt>
                <c:pt idx="81">
                  <c:v>2649.47</c:v>
                </c:pt>
                <c:pt idx="82">
                  <c:v>2602.4899999999998</c:v>
                </c:pt>
                <c:pt idx="83">
                  <c:v>2555.17</c:v>
                </c:pt>
                <c:pt idx="84">
                  <c:v>2507</c:v>
                </c:pt>
                <c:pt idx="85">
                  <c:v>2459.0500000000002</c:v>
                </c:pt>
                <c:pt idx="86">
                  <c:v>2411.59</c:v>
                </c:pt>
                <c:pt idx="87">
                  <c:v>2364.23</c:v>
                </c:pt>
                <c:pt idx="88">
                  <c:v>2317.21</c:v>
                </c:pt>
                <c:pt idx="89">
                  <c:v>2270.7600000000002</c:v>
                </c:pt>
                <c:pt idx="90">
                  <c:v>2230.0300000000002</c:v>
                </c:pt>
                <c:pt idx="91">
                  <c:v>2181.12</c:v>
                </c:pt>
                <c:pt idx="92">
                  <c:v>2137.46</c:v>
                </c:pt>
                <c:pt idx="93">
                  <c:v>2091.73</c:v>
                </c:pt>
                <c:pt idx="94">
                  <c:v>2048.6799999999998</c:v>
                </c:pt>
                <c:pt idx="95">
                  <c:v>2006.56</c:v>
                </c:pt>
                <c:pt idx="96">
                  <c:v>1965.45</c:v>
                </c:pt>
                <c:pt idx="97">
                  <c:v>1925.56</c:v>
                </c:pt>
                <c:pt idx="98">
                  <c:v>1886.85</c:v>
                </c:pt>
                <c:pt idx="99">
                  <c:v>1848.89</c:v>
                </c:pt>
                <c:pt idx="100">
                  <c:v>1811.53</c:v>
                </c:pt>
                <c:pt idx="101">
                  <c:v>1775.19</c:v>
                </c:pt>
                <c:pt idx="102">
                  <c:v>1740.04</c:v>
                </c:pt>
                <c:pt idx="103">
                  <c:v>1705.4</c:v>
                </c:pt>
                <c:pt idx="104">
                  <c:v>1672.19</c:v>
                </c:pt>
                <c:pt idx="105">
                  <c:v>1640.24</c:v>
                </c:pt>
                <c:pt idx="106">
                  <c:v>1608.72</c:v>
                </c:pt>
                <c:pt idx="107">
                  <c:v>1577.84</c:v>
                </c:pt>
                <c:pt idx="108">
                  <c:v>1548.07</c:v>
                </c:pt>
                <c:pt idx="109">
                  <c:v>1519.06</c:v>
                </c:pt>
                <c:pt idx="110">
                  <c:v>1490.6</c:v>
                </c:pt>
                <c:pt idx="111">
                  <c:v>1462.68</c:v>
                </c:pt>
                <c:pt idx="112">
                  <c:v>1435.23</c:v>
                </c:pt>
                <c:pt idx="113">
                  <c:v>1408.3</c:v>
                </c:pt>
                <c:pt idx="114">
                  <c:v>1381.73</c:v>
                </c:pt>
                <c:pt idx="115">
                  <c:v>1355.81</c:v>
                </c:pt>
                <c:pt idx="116">
                  <c:v>1330.65</c:v>
                </c:pt>
                <c:pt idx="117">
                  <c:v>1306.32</c:v>
                </c:pt>
                <c:pt idx="118">
                  <c:v>1282.48</c:v>
                </c:pt>
                <c:pt idx="119">
                  <c:v>1259.47</c:v>
                </c:pt>
                <c:pt idx="120">
                  <c:v>1240.1500000000001</c:v>
                </c:pt>
                <c:pt idx="121">
                  <c:v>1214.81</c:v>
                </c:pt>
                <c:pt idx="122">
                  <c:v>1193.4100000000001</c:v>
                </c:pt>
                <c:pt idx="123">
                  <c:v>1172.0899999999999</c:v>
                </c:pt>
                <c:pt idx="124">
                  <c:v>1151.45</c:v>
                </c:pt>
                <c:pt idx="125">
                  <c:v>1131.6400000000001</c:v>
                </c:pt>
                <c:pt idx="126">
                  <c:v>1112.4000000000001</c:v>
                </c:pt>
                <c:pt idx="127">
                  <c:v>1093.72</c:v>
                </c:pt>
                <c:pt idx="128">
                  <c:v>1075.48</c:v>
                </c:pt>
                <c:pt idx="129">
                  <c:v>1057.8399999999999</c:v>
                </c:pt>
                <c:pt idx="130">
                  <c:v>1041.0999999999999</c:v>
                </c:pt>
                <c:pt idx="131">
                  <c:v>1024.8599999999999</c:v>
                </c:pt>
                <c:pt idx="132">
                  <c:v>1008.86</c:v>
                </c:pt>
                <c:pt idx="133">
                  <c:v>993.62</c:v>
                </c:pt>
                <c:pt idx="134">
                  <c:v>978.68</c:v>
                </c:pt>
                <c:pt idx="135">
                  <c:v>963.93</c:v>
                </c:pt>
                <c:pt idx="136">
                  <c:v>949.6</c:v>
                </c:pt>
                <c:pt idx="137">
                  <c:v>936.21</c:v>
                </c:pt>
                <c:pt idx="138">
                  <c:v>923.67</c:v>
                </c:pt>
                <c:pt idx="139">
                  <c:v>911.09</c:v>
                </c:pt>
                <c:pt idx="140">
                  <c:v>898.13</c:v>
                </c:pt>
                <c:pt idx="141">
                  <c:v>884.82</c:v>
                </c:pt>
                <c:pt idx="142">
                  <c:v>872.15</c:v>
                </c:pt>
                <c:pt idx="143">
                  <c:v>859.34</c:v>
                </c:pt>
                <c:pt idx="144">
                  <c:v>847</c:v>
                </c:pt>
                <c:pt idx="145">
                  <c:v>835.02</c:v>
                </c:pt>
                <c:pt idx="146">
                  <c:v>823.35</c:v>
                </c:pt>
                <c:pt idx="147">
                  <c:v>812.08</c:v>
                </c:pt>
                <c:pt idx="148">
                  <c:v>801.11</c:v>
                </c:pt>
                <c:pt idx="149">
                  <c:v>790.27</c:v>
                </c:pt>
                <c:pt idx="150">
                  <c:v>779.67</c:v>
                </c:pt>
                <c:pt idx="151">
                  <c:v>769.29</c:v>
                </c:pt>
                <c:pt idx="152">
                  <c:v>759.16</c:v>
                </c:pt>
                <c:pt idx="153">
                  <c:v>749.31</c:v>
                </c:pt>
                <c:pt idx="154">
                  <c:v>739.76</c:v>
                </c:pt>
                <c:pt idx="155">
                  <c:v>730.53</c:v>
                </c:pt>
                <c:pt idx="156">
                  <c:v>721.55</c:v>
                </c:pt>
                <c:pt idx="157">
                  <c:v>712.77</c:v>
                </c:pt>
                <c:pt idx="158">
                  <c:v>704.16</c:v>
                </c:pt>
                <c:pt idx="159">
                  <c:v>695.7</c:v>
                </c:pt>
                <c:pt idx="160">
                  <c:v>687.41</c:v>
                </c:pt>
                <c:pt idx="161">
                  <c:v>680.63</c:v>
                </c:pt>
                <c:pt idx="162">
                  <c:v>672.44</c:v>
                </c:pt>
                <c:pt idx="163">
                  <c:v>664.16</c:v>
                </c:pt>
                <c:pt idx="164">
                  <c:v>656.24</c:v>
                </c:pt>
                <c:pt idx="165">
                  <c:v>648.39</c:v>
                </c:pt>
                <c:pt idx="166">
                  <c:v>640.69000000000005</c:v>
                </c:pt>
                <c:pt idx="167">
                  <c:v>633.26</c:v>
                </c:pt>
                <c:pt idx="168">
                  <c:v>626.07000000000005</c:v>
                </c:pt>
              </c:numCache>
            </c:numRef>
          </c:yVal>
          <c:smooth val="1"/>
          <c:extLst xmlns:c16r2="http://schemas.microsoft.com/office/drawing/2015/06/chart">
            <c:ext xmlns:c16="http://schemas.microsoft.com/office/drawing/2014/chart" uri="{C3380CC4-5D6E-409C-BE32-E72D297353CC}">
              <c16:uniqueId val="{00000005-E7E6-4E91-9803-CDE02648605D}"/>
            </c:ext>
          </c:extLst>
        </c:ser>
        <c:ser>
          <c:idx val="6"/>
          <c:order val="6"/>
          <c:tx>
            <c:v>1 Percent Minus Annual Chance</c:v>
          </c:tx>
          <c:marker>
            <c:symbol val="none"/>
          </c:marker>
          <c:xVal>
            <c:numRef>
              <c:f>Hydrograph!$A$3:$A$195</c:f>
              <c:numCache>
                <c:formatCode>0.00</c:formatCode>
                <c:ptCount val="193"/>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pt idx="101">
                  <c:v>101</c:v>
                </c:pt>
                <c:pt idx="102">
                  <c:v>102</c:v>
                </c:pt>
                <c:pt idx="103">
                  <c:v>103</c:v>
                </c:pt>
                <c:pt idx="104">
                  <c:v>104</c:v>
                </c:pt>
                <c:pt idx="105">
                  <c:v>105</c:v>
                </c:pt>
                <c:pt idx="106">
                  <c:v>106</c:v>
                </c:pt>
                <c:pt idx="107">
                  <c:v>107</c:v>
                </c:pt>
                <c:pt idx="108">
                  <c:v>108</c:v>
                </c:pt>
                <c:pt idx="109">
                  <c:v>109</c:v>
                </c:pt>
                <c:pt idx="110">
                  <c:v>110</c:v>
                </c:pt>
                <c:pt idx="111">
                  <c:v>111</c:v>
                </c:pt>
                <c:pt idx="112">
                  <c:v>112</c:v>
                </c:pt>
                <c:pt idx="113">
                  <c:v>113</c:v>
                </c:pt>
                <c:pt idx="114">
                  <c:v>114</c:v>
                </c:pt>
                <c:pt idx="115">
                  <c:v>115</c:v>
                </c:pt>
                <c:pt idx="116">
                  <c:v>116</c:v>
                </c:pt>
                <c:pt idx="117">
                  <c:v>117</c:v>
                </c:pt>
                <c:pt idx="118">
                  <c:v>118</c:v>
                </c:pt>
                <c:pt idx="119">
                  <c:v>119</c:v>
                </c:pt>
                <c:pt idx="120">
                  <c:v>120</c:v>
                </c:pt>
                <c:pt idx="121">
                  <c:v>121</c:v>
                </c:pt>
                <c:pt idx="122">
                  <c:v>122</c:v>
                </c:pt>
                <c:pt idx="123">
                  <c:v>123</c:v>
                </c:pt>
                <c:pt idx="124">
                  <c:v>124</c:v>
                </c:pt>
                <c:pt idx="125">
                  <c:v>125</c:v>
                </c:pt>
                <c:pt idx="126">
                  <c:v>126</c:v>
                </c:pt>
                <c:pt idx="127">
                  <c:v>127</c:v>
                </c:pt>
                <c:pt idx="128">
                  <c:v>128</c:v>
                </c:pt>
                <c:pt idx="129">
                  <c:v>129</c:v>
                </c:pt>
                <c:pt idx="130">
                  <c:v>130</c:v>
                </c:pt>
                <c:pt idx="131">
                  <c:v>131</c:v>
                </c:pt>
                <c:pt idx="132">
                  <c:v>132</c:v>
                </c:pt>
                <c:pt idx="133">
                  <c:v>133</c:v>
                </c:pt>
                <c:pt idx="134">
                  <c:v>134</c:v>
                </c:pt>
                <c:pt idx="135">
                  <c:v>135</c:v>
                </c:pt>
                <c:pt idx="136">
                  <c:v>136</c:v>
                </c:pt>
                <c:pt idx="137">
                  <c:v>137</c:v>
                </c:pt>
                <c:pt idx="138">
                  <c:v>138</c:v>
                </c:pt>
                <c:pt idx="139">
                  <c:v>139</c:v>
                </c:pt>
                <c:pt idx="140">
                  <c:v>140</c:v>
                </c:pt>
                <c:pt idx="141">
                  <c:v>141</c:v>
                </c:pt>
                <c:pt idx="142">
                  <c:v>142</c:v>
                </c:pt>
                <c:pt idx="143">
                  <c:v>143</c:v>
                </c:pt>
                <c:pt idx="144">
                  <c:v>144</c:v>
                </c:pt>
                <c:pt idx="145">
                  <c:v>145</c:v>
                </c:pt>
                <c:pt idx="146">
                  <c:v>146</c:v>
                </c:pt>
                <c:pt idx="147">
                  <c:v>147</c:v>
                </c:pt>
                <c:pt idx="148">
                  <c:v>148</c:v>
                </c:pt>
                <c:pt idx="149">
                  <c:v>149</c:v>
                </c:pt>
                <c:pt idx="150">
                  <c:v>150</c:v>
                </c:pt>
                <c:pt idx="151">
                  <c:v>151</c:v>
                </c:pt>
                <c:pt idx="152">
                  <c:v>152</c:v>
                </c:pt>
                <c:pt idx="153">
                  <c:v>153</c:v>
                </c:pt>
                <c:pt idx="154">
                  <c:v>154</c:v>
                </c:pt>
                <c:pt idx="155">
                  <c:v>155</c:v>
                </c:pt>
                <c:pt idx="156">
                  <c:v>156</c:v>
                </c:pt>
                <c:pt idx="157">
                  <c:v>157</c:v>
                </c:pt>
                <c:pt idx="158">
                  <c:v>158</c:v>
                </c:pt>
                <c:pt idx="159">
                  <c:v>159</c:v>
                </c:pt>
                <c:pt idx="160">
                  <c:v>160</c:v>
                </c:pt>
                <c:pt idx="161">
                  <c:v>161</c:v>
                </c:pt>
                <c:pt idx="162">
                  <c:v>162</c:v>
                </c:pt>
                <c:pt idx="163">
                  <c:v>163</c:v>
                </c:pt>
                <c:pt idx="164">
                  <c:v>164</c:v>
                </c:pt>
                <c:pt idx="165">
                  <c:v>165</c:v>
                </c:pt>
                <c:pt idx="166">
                  <c:v>166</c:v>
                </c:pt>
                <c:pt idx="167">
                  <c:v>167</c:v>
                </c:pt>
                <c:pt idx="168">
                  <c:v>168</c:v>
                </c:pt>
                <c:pt idx="169">
                  <c:v>169</c:v>
                </c:pt>
                <c:pt idx="170">
                  <c:v>170</c:v>
                </c:pt>
                <c:pt idx="171">
                  <c:v>171</c:v>
                </c:pt>
                <c:pt idx="172">
                  <c:v>172</c:v>
                </c:pt>
                <c:pt idx="173">
                  <c:v>173</c:v>
                </c:pt>
                <c:pt idx="174">
                  <c:v>174</c:v>
                </c:pt>
                <c:pt idx="175">
                  <c:v>175</c:v>
                </c:pt>
                <c:pt idx="176">
                  <c:v>176</c:v>
                </c:pt>
                <c:pt idx="177">
                  <c:v>177</c:v>
                </c:pt>
                <c:pt idx="178">
                  <c:v>178</c:v>
                </c:pt>
                <c:pt idx="179">
                  <c:v>179</c:v>
                </c:pt>
                <c:pt idx="180">
                  <c:v>180</c:v>
                </c:pt>
                <c:pt idx="181">
                  <c:v>181</c:v>
                </c:pt>
                <c:pt idx="182">
                  <c:v>182</c:v>
                </c:pt>
                <c:pt idx="183">
                  <c:v>183</c:v>
                </c:pt>
                <c:pt idx="184">
                  <c:v>184</c:v>
                </c:pt>
                <c:pt idx="185">
                  <c:v>185</c:v>
                </c:pt>
                <c:pt idx="186">
                  <c:v>186</c:v>
                </c:pt>
                <c:pt idx="187">
                  <c:v>187</c:v>
                </c:pt>
                <c:pt idx="188">
                  <c:v>188</c:v>
                </c:pt>
                <c:pt idx="189">
                  <c:v>189</c:v>
                </c:pt>
                <c:pt idx="190">
                  <c:v>190</c:v>
                </c:pt>
                <c:pt idx="191">
                  <c:v>191</c:v>
                </c:pt>
                <c:pt idx="192">
                  <c:v>192</c:v>
                </c:pt>
              </c:numCache>
            </c:numRef>
          </c:xVal>
          <c:yVal>
            <c:numRef>
              <c:f>Hydrograph!$H$3:$H$195</c:f>
              <c:numCache>
                <c:formatCode>General</c:formatCode>
                <c:ptCount val="193"/>
                <c:pt idx="0">
                  <c:v>0</c:v>
                </c:pt>
                <c:pt idx="1">
                  <c:v>0</c:v>
                </c:pt>
                <c:pt idx="2">
                  <c:v>0</c:v>
                </c:pt>
                <c:pt idx="3">
                  <c:v>0</c:v>
                </c:pt>
                <c:pt idx="4">
                  <c:v>0</c:v>
                </c:pt>
                <c:pt idx="5">
                  <c:v>0</c:v>
                </c:pt>
                <c:pt idx="6">
                  <c:v>0</c:v>
                </c:pt>
                <c:pt idx="7">
                  <c:v>0</c:v>
                </c:pt>
                <c:pt idx="8">
                  <c:v>0</c:v>
                </c:pt>
                <c:pt idx="9">
                  <c:v>0</c:v>
                </c:pt>
                <c:pt idx="10">
                  <c:v>0</c:v>
                </c:pt>
                <c:pt idx="11">
                  <c:v>0.19</c:v>
                </c:pt>
                <c:pt idx="12">
                  <c:v>9.41</c:v>
                </c:pt>
                <c:pt idx="13">
                  <c:v>117.28</c:v>
                </c:pt>
                <c:pt idx="14">
                  <c:v>248.91</c:v>
                </c:pt>
                <c:pt idx="15">
                  <c:v>284.58999999999997</c:v>
                </c:pt>
                <c:pt idx="16">
                  <c:v>270.35000000000002</c:v>
                </c:pt>
                <c:pt idx="17">
                  <c:v>245.64</c:v>
                </c:pt>
                <c:pt idx="18">
                  <c:v>235.41</c:v>
                </c:pt>
                <c:pt idx="19">
                  <c:v>260.19</c:v>
                </c:pt>
                <c:pt idx="20">
                  <c:v>379.55</c:v>
                </c:pt>
                <c:pt idx="21">
                  <c:v>533.85</c:v>
                </c:pt>
                <c:pt idx="22">
                  <c:v>642.91999999999996</c:v>
                </c:pt>
                <c:pt idx="23">
                  <c:v>713.51</c:v>
                </c:pt>
                <c:pt idx="24">
                  <c:v>751.54</c:v>
                </c:pt>
                <c:pt idx="25">
                  <c:v>757.02</c:v>
                </c:pt>
                <c:pt idx="26">
                  <c:v>749.31</c:v>
                </c:pt>
                <c:pt idx="27">
                  <c:v>722.53</c:v>
                </c:pt>
                <c:pt idx="28">
                  <c:v>682.66</c:v>
                </c:pt>
                <c:pt idx="29">
                  <c:v>638.02</c:v>
                </c:pt>
                <c:pt idx="30">
                  <c:v>588.08000000000004</c:v>
                </c:pt>
                <c:pt idx="31">
                  <c:v>543.66</c:v>
                </c:pt>
                <c:pt idx="32">
                  <c:v>500.85</c:v>
                </c:pt>
                <c:pt idx="33">
                  <c:v>461.34</c:v>
                </c:pt>
                <c:pt idx="34">
                  <c:v>423.46</c:v>
                </c:pt>
                <c:pt idx="35">
                  <c:v>387.51</c:v>
                </c:pt>
                <c:pt idx="36">
                  <c:v>356.57</c:v>
                </c:pt>
                <c:pt idx="37">
                  <c:v>326.45</c:v>
                </c:pt>
                <c:pt idx="38">
                  <c:v>300.66000000000003</c:v>
                </c:pt>
                <c:pt idx="39">
                  <c:v>279.02999999999997</c:v>
                </c:pt>
                <c:pt idx="40">
                  <c:v>260.42</c:v>
                </c:pt>
                <c:pt idx="41">
                  <c:v>244.75</c:v>
                </c:pt>
                <c:pt idx="42">
                  <c:v>231.02</c:v>
                </c:pt>
                <c:pt idx="43">
                  <c:v>219.2</c:v>
                </c:pt>
                <c:pt idx="44">
                  <c:v>208.3</c:v>
                </c:pt>
                <c:pt idx="45">
                  <c:v>198.28</c:v>
                </c:pt>
                <c:pt idx="46">
                  <c:v>188.97</c:v>
                </c:pt>
                <c:pt idx="47">
                  <c:v>180.1</c:v>
                </c:pt>
                <c:pt idx="48">
                  <c:v>171.59</c:v>
                </c:pt>
                <c:pt idx="49">
                  <c:v>163.97</c:v>
                </c:pt>
                <c:pt idx="50">
                  <c:v>156.83000000000001</c:v>
                </c:pt>
                <c:pt idx="51">
                  <c:v>150.16999999999999</c:v>
                </c:pt>
                <c:pt idx="52">
                  <c:v>143.71</c:v>
                </c:pt>
                <c:pt idx="53">
                  <c:v>137.49</c:v>
                </c:pt>
                <c:pt idx="54">
                  <c:v>132.34</c:v>
                </c:pt>
                <c:pt idx="55">
                  <c:v>125.81</c:v>
                </c:pt>
                <c:pt idx="56">
                  <c:v>120.3</c:v>
                </c:pt>
                <c:pt idx="57">
                  <c:v>115.07</c:v>
                </c:pt>
                <c:pt idx="58">
                  <c:v>110.28</c:v>
                </c:pt>
                <c:pt idx="59">
                  <c:v>105.79</c:v>
                </c:pt>
                <c:pt idx="60">
                  <c:v>101.62</c:v>
                </c:pt>
                <c:pt idx="61">
                  <c:v>97.65</c:v>
                </c:pt>
                <c:pt idx="62">
                  <c:v>93.88</c:v>
                </c:pt>
                <c:pt idx="63">
                  <c:v>90.41</c:v>
                </c:pt>
                <c:pt idx="64">
                  <c:v>87.67</c:v>
                </c:pt>
                <c:pt idx="65">
                  <c:v>84.09</c:v>
                </c:pt>
                <c:pt idx="66">
                  <c:v>81.099999999999994</c:v>
                </c:pt>
                <c:pt idx="67">
                  <c:v>78.28</c:v>
                </c:pt>
                <c:pt idx="68">
                  <c:v>75.61</c:v>
                </c:pt>
                <c:pt idx="69">
                  <c:v>73.03</c:v>
                </c:pt>
                <c:pt idx="70">
                  <c:v>70.55</c:v>
                </c:pt>
                <c:pt idx="71">
                  <c:v>68.260000000000005</c:v>
                </c:pt>
                <c:pt idx="72">
                  <c:v>66.14</c:v>
                </c:pt>
                <c:pt idx="73">
                  <c:v>64.08</c:v>
                </c:pt>
                <c:pt idx="74">
                  <c:v>62.11</c:v>
                </c:pt>
                <c:pt idx="75">
                  <c:v>60.07</c:v>
                </c:pt>
                <c:pt idx="76">
                  <c:v>58.16</c:v>
                </c:pt>
                <c:pt idx="77">
                  <c:v>56.36</c:v>
                </c:pt>
                <c:pt idx="78">
                  <c:v>54.63</c:v>
                </c:pt>
                <c:pt idx="79">
                  <c:v>52.96</c:v>
                </c:pt>
                <c:pt idx="80">
                  <c:v>51.41</c:v>
                </c:pt>
                <c:pt idx="81">
                  <c:v>49.92</c:v>
                </c:pt>
                <c:pt idx="82">
                  <c:v>48.49</c:v>
                </c:pt>
                <c:pt idx="83">
                  <c:v>47.1</c:v>
                </c:pt>
                <c:pt idx="84">
                  <c:v>45.72</c:v>
                </c:pt>
                <c:pt idx="85">
                  <c:v>44.4</c:v>
                </c:pt>
                <c:pt idx="86">
                  <c:v>43.11</c:v>
                </c:pt>
                <c:pt idx="87">
                  <c:v>41.88</c:v>
                </c:pt>
                <c:pt idx="88">
                  <c:v>40.85</c:v>
                </c:pt>
                <c:pt idx="89">
                  <c:v>39.630000000000003</c:v>
                </c:pt>
                <c:pt idx="90">
                  <c:v>38.619999999999997</c:v>
                </c:pt>
                <c:pt idx="91">
                  <c:v>37.53</c:v>
                </c:pt>
                <c:pt idx="92">
                  <c:v>36.549999999999997</c:v>
                </c:pt>
                <c:pt idx="93">
                  <c:v>35.619999999999997</c:v>
                </c:pt>
                <c:pt idx="94">
                  <c:v>34.78</c:v>
                </c:pt>
                <c:pt idx="95">
                  <c:v>33.950000000000003</c:v>
                </c:pt>
                <c:pt idx="96">
                  <c:v>33.11</c:v>
                </c:pt>
                <c:pt idx="97">
                  <c:v>32.299999999999997</c:v>
                </c:pt>
                <c:pt idx="98">
                  <c:v>31.51</c:v>
                </c:pt>
                <c:pt idx="99">
                  <c:v>30.76</c:v>
                </c:pt>
                <c:pt idx="100">
                  <c:v>30.14</c:v>
                </c:pt>
                <c:pt idx="101">
                  <c:v>29.59</c:v>
                </c:pt>
                <c:pt idx="102">
                  <c:v>29.27</c:v>
                </c:pt>
                <c:pt idx="103">
                  <c:v>28.7</c:v>
                </c:pt>
                <c:pt idx="104">
                  <c:v>27.94</c:v>
                </c:pt>
                <c:pt idx="105">
                  <c:v>27.23</c:v>
                </c:pt>
                <c:pt idx="106">
                  <c:v>26.56</c:v>
                </c:pt>
                <c:pt idx="107">
                  <c:v>25.94</c:v>
                </c:pt>
                <c:pt idx="108">
                  <c:v>25.33</c:v>
                </c:pt>
                <c:pt idx="109">
                  <c:v>24.77</c:v>
                </c:pt>
                <c:pt idx="110">
                  <c:v>24.22</c:v>
                </c:pt>
                <c:pt idx="111">
                  <c:v>23.69</c:v>
                </c:pt>
                <c:pt idx="112">
                  <c:v>23.18</c:v>
                </c:pt>
                <c:pt idx="113">
                  <c:v>22.69</c:v>
                </c:pt>
                <c:pt idx="114">
                  <c:v>22.2</c:v>
                </c:pt>
                <c:pt idx="115">
                  <c:v>21.73</c:v>
                </c:pt>
                <c:pt idx="116">
                  <c:v>21.28</c:v>
                </c:pt>
                <c:pt idx="117">
                  <c:v>20.87</c:v>
                </c:pt>
                <c:pt idx="118">
                  <c:v>20.41</c:v>
                </c:pt>
                <c:pt idx="119">
                  <c:v>19.989999999999998</c:v>
                </c:pt>
                <c:pt idx="120">
                  <c:v>19.600000000000001</c:v>
                </c:pt>
                <c:pt idx="121">
                  <c:v>19.22</c:v>
                </c:pt>
                <c:pt idx="122">
                  <c:v>18.86</c:v>
                </c:pt>
                <c:pt idx="123">
                  <c:v>18.5</c:v>
                </c:pt>
                <c:pt idx="124">
                  <c:v>18.16</c:v>
                </c:pt>
                <c:pt idx="125">
                  <c:v>17.91</c:v>
                </c:pt>
                <c:pt idx="126">
                  <c:v>17.75</c:v>
                </c:pt>
                <c:pt idx="127">
                  <c:v>17.55</c:v>
                </c:pt>
                <c:pt idx="128">
                  <c:v>17.309999999999999</c:v>
                </c:pt>
                <c:pt idx="129">
                  <c:v>17.03</c:v>
                </c:pt>
                <c:pt idx="130">
                  <c:v>16.739999999999998</c:v>
                </c:pt>
                <c:pt idx="131">
                  <c:v>16.43</c:v>
                </c:pt>
                <c:pt idx="132">
                  <c:v>16.12</c:v>
                </c:pt>
                <c:pt idx="133">
                  <c:v>15.82</c:v>
                </c:pt>
                <c:pt idx="134">
                  <c:v>15.53</c:v>
                </c:pt>
                <c:pt idx="135">
                  <c:v>15.24</c:v>
                </c:pt>
                <c:pt idx="136">
                  <c:v>14.96</c:v>
                </c:pt>
                <c:pt idx="137">
                  <c:v>14.69</c:v>
                </c:pt>
                <c:pt idx="138">
                  <c:v>14.43</c:v>
                </c:pt>
                <c:pt idx="139">
                  <c:v>14.17</c:v>
                </c:pt>
                <c:pt idx="140">
                  <c:v>13.93</c:v>
                </c:pt>
                <c:pt idx="141">
                  <c:v>13.69</c:v>
                </c:pt>
                <c:pt idx="142">
                  <c:v>13.46</c:v>
                </c:pt>
                <c:pt idx="143">
                  <c:v>13.24</c:v>
                </c:pt>
                <c:pt idx="144">
                  <c:v>13.02</c:v>
                </c:pt>
                <c:pt idx="145">
                  <c:v>12.81</c:v>
                </c:pt>
                <c:pt idx="146">
                  <c:v>12.61</c:v>
                </c:pt>
                <c:pt idx="147">
                  <c:v>12.41</c:v>
                </c:pt>
                <c:pt idx="148">
                  <c:v>12.22</c:v>
                </c:pt>
                <c:pt idx="149">
                  <c:v>12.03</c:v>
                </c:pt>
                <c:pt idx="150">
                  <c:v>11.86</c:v>
                </c:pt>
                <c:pt idx="151">
                  <c:v>11.68</c:v>
                </c:pt>
                <c:pt idx="152">
                  <c:v>11.51</c:v>
                </c:pt>
                <c:pt idx="153">
                  <c:v>11.35</c:v>
                </c:pt>
                <c:pt idx="154">
                  <c:v>11.19</c:v>
                </c:pt>
                <c:pt idx="155">
                  <c:v>11.03</c:v>
                </c:pt>
                <c:pt idx="156">
                  <c:v>10.87</c:v>
                </c:pt>
                <c:pt idx="157">
                  <c:v>10.71</c:v>
                </c:pt>
                <c:pt idx="158">
                  <c:v>10.56</c:v>
                </c:pt>
                <c:pt idx="159">
                  <c:v>10.41</c:v>
                </c:pt>
                <c:pt idx="160">
                  <c:v>10.26</c:v>
                </c:pt>
                <c:pt idx="161">
                  <c:v>10.11</c:v>
                </c:pt>
                <c:pt idx="162">
                  <c:v>9.9700000000000006</c:v>
                </c:pt>
                <c:pt idx="163">
                  <c:v>9.83</c:v>
                </c:pt>
                <c:pt idx="164">
                  <c:v>9.81</c:v>
                </c:pt>
                <c:pt idx="165">
                  <c:v>9.58</c:v>
                </c:pt>
                <c:pt idx="166">
                  <c:v>9.4499999999999993</c:v>
                </c:pt>
                <c:pt idx="167">
                  <c:v>9.33</c:v>
                </c:pt>
                <c:pt idx="168">
                  <c:v>9.2100000000000009</c:v>
                </c:pt>
              </c:numCache>
            </c:numRef>
          </c:yVal>
          <c:smooth val="1"/>
          <c:extLst xmlns:c16r2="http://schemas.microsoft.com/office/drawing/2015/06/chart">
            <c:ext xmlns:c16="http://schemas.microsoft.com/office/drawing/2014/chart" uri="{C3380CC4-5D6E-409C-BE32-E72D297353CC}">
              <c16:uniqueId val="{00000006-E7E6-4E91-9803-CDE02648605D}"/>
            </c:ext>
          </c:extLst>
        </c:ser>
        <c:dLbls>
          <c:showLegendKey val="0"/>
          <c:showVal val="0"/>
          <c:showCatName val="0"/>
          <c:showSerName val="0"/>
          <c:showPercent val="0"/>
          <c:showBubbleSize val="0"/>
        </c:dLbls>
        <c:axId val="142870784"/>
        <c:axId val="142877056"/>
      </c:scatterChart>
      <c:valAx>
        <c:axId val="142870784"/>
        <c:scaling>
          <c:orientation val="minMax"/>
          <c:max val="144"/>
          <c:min val="0"/>
        </c:scaling>
        <c:delete val="0"/>
        <c:axPos val="b"/>
        <c:title>
          <c:tx>
            <c:rich>
              <a:bodyPr/>
              <a:lstStyle/>
              <a:p>
                <a:pPr>
                  <a:defRPr/>
                </a:pPr>
                <a:r>
                  <a:rPr lang="en-US"/>
                  <a:t>Time (hours)</a:t>
                </a:r>
              </a:p>
            </c:rich>
          </c:tx>
          <c:layout/>
          <c:overlay val="0"/>
        </c:title>
        <c:numFmt formatCode="0" sourceLinked="0"/>
        <c:majorTickMark val="out"/>
        <c:minorTickMark val="none"/>
        <c:tickLblPos val="nextTo"/>
        <c:crossAx val="142877056"/>
        <c:crosses val="autoZero"/>
        <c:crossBetween val="midCat"/>
        <c:majorUnit val="12"/>
        <c:minorUnit val="0.5"/>
      </c:valAx>
      <c:valAx>
        <c:axId val="142877056"/>
        <c:scaling>
          <c:orientation val="minMax"/>
          <c:max val="10000"/>
          <c:min val="0"/>
        </c:scaling>
        <c:delete val="0"/>
        <c:axPos val="l"/>
        <c:majorGridlines/>
        <c:title>
          <c:tx>
            <c:rich>
              <a:bodyPr rot="-5400000" vert="horz"/>
              <a:lstStyle/>
              <a:p>
                <a:pPr>
                  <a:defRPr/>
                </a:pPr>
                <a:r>
                  <a:rPr lang="en-US"/>
                  <a:t>Discharge (cfs)</a:t>
                </a:r>
              </a:p>
            </c:rich>
          </c:tx>
          <c:layout>
            <c:manualLayout>
              <c:xMode val="edge"/>
              <c:yMode val="edge"/>
              <c:x val="1.0468951496669853E-2"/>
              <c:y val="0.36171568297552548"/>
            </c:manualLayout>
          </c:layout>
          <c:overlay val="0"/>
        </c:title>
        <c:numFmt formatCode="#,##0" sourceLinked="0"/>
        <c:majorTickMark val="out"/>
        <c:minorTickMark val="none"/>
        <c:tickLblPos val="nextTo"/>
        <c:crossAx val="142870784"/>
        <c:crosses val="autoZero"/>
        <c:crossBetween val="midCat"/>
      </c:valAx>
      <c:spPr>
        <a:ln>
          <a:solidFill>
            <a:schemeClr val="tx1"/>
          </a:solidFill>
        </a:ln>
      </c:spPr>
    </c:plotArea>
    <c:legend>
      <c:legendPos val="r"/>
      <c:layout>
        <c:manualLayout>
          <c:xMode val="edge"/>
          <c:yMode val="edge"/>
          <c:x val="0.54562339393439696"/>
          <c:y val="3.747236556265976E-2"/>
          <c:w val="0.41082610746955062"/>
          <c:h val="0.36062790228144559"/>
        </c:manualLayout>
      </c:layout>
      <c:overlay val="1"/>
      <c:spPr>
        <a:solidFill>
          <a:schemeClr val="bg1"/>
        </a:solidFill>
        <a:ln>
          <a:solidFill>
            <a:schemeClr val="tx1"/>
          </a:solidFill>
        </a:ln>
      </c:spPr>
    </c:legend>
    <c:plotVisOnly val="1"/>
    <c:dispBlanksAs val="gap"/>
    <c:showDLblsOverMax val="0"/>
  </c:chart>
  <c:externalData r:id="rId2">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scatterChart>
        <c:scatterStyle val="smoothMarker"/>
        <c:varyColors val="0"/>
        <c:ser>
          <c:idx val="4"/>
          <c:order val="0"/>
          <c:tx>
            <c:v>0.2 Percent Annual Chance</c:v>
          </c:tx>
          <c:spPr>
            <a:ln>
              <a:solidFill>
                <a:schemeClr val="accent2"/>
              </a:solidFill>
            </a:ln>
          </c:spPr>
          <c:marker>
            <c:symbol val="none"/>
          </c:marker>
          <c:xVal>
            <c:numRef>
              <c:f>'Hydrograph (4)'!$A$3:$A$279</c:f>
              <c:numCache>
                <c:formatCode>0.00</c:formatCode>
                <c:ptCount val="277"/>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pt idx="101">
                  <c:v>101</c:v>
                </c:pt>
                <c:pt idx="102">
                  <c:v>102</c:v>
                </c:pt>
                <c:pt idx="103">
                  <c:v>103</c:v>
                </c:pt>
                <c:pt idx="104">
                  <c:v>104</c:v>
                </c:pt>
                <c:pt idx="105">
                  <c:v>105</c:v>
                </c:pt>
                <c:pt idx="106">
                  <c:v>106</c:v>
                </c:pt>
                <c:pt idx="107">
                  <c:v>107</c:v>
                </c:pt>
                <c:pt idx="108">
                  <c:v>108</c:v>
                </c:pt>
                <c:pt idx="109">
                  <c:v>109</c:v>
                </c:pt>
                <c:pt idx="110">
                  <c:v>110</c:v>
                </c:pt>
                <c:pt idx="111">
                  <c:v>111</c:v>
                </c:pt>
                <c:pt idx="112">
                  <c:v>112</c:v>
                </c:pt>
                <c:pt idx="113">
                  <c:v>113</c:v>
                </c:pt>
                <c:pt idx="114">
                  <c:v>114</c:v>
                </c:pt>
                <c:pt idx="115">
                  <c:v>115</c:v>
                </c:pt>
                <c:pt idx="116">
                  <c:v>116</c:v>
                </c:pt>
                <c:pt idx="117">
                  <c:v>117</c:v>
                </c:pt>
                <c:pt idx="118">
                  <c:v>118</c:v>
                </c:pt>
                <c:pt idx="119">
                  <c:v>119</c:v>
                </c:pt>
                <c:pt idx="120">
                  <c:v>120</c:v>
                </c:pt>
              </c:numCache>
            </c:numRef>
          </c:xVal>
          <c:yVal>
            <c:numRef>
              <c:f>'Hydrograph (4)'!$F$3:$F$279</c:f>
              <c:numCache>
                <c:formatCode>General</c:formatCode>
                <c:ptCount val="277"/>
                <c:pt idx="0">
                  <c:v>0</c:v>
                </c:pt>
                <c:pt idx="1">
                  <c:v>0</c:v>
                </c:pt>
                <c:pt idx="2">
                  <c:v>0</c:v>
                </c:pt>
                <c:pt idx="3">
                  <c:v>0</c:v>
                </c:pt>
                <c:pt idx="4">
                  <c:v>0</c:v>
                </c:pt>
                <c:pt idx="5">
                  <c:v>0</c:v>
                </c:pt>
                <c:pt idx="6">
                  <c:v>0</c:v>
                </c:pt>
                <c:pt idx="7">
                  <c:v>0.13</c:v>
                </c:pt>
                <c:pt idx="8">
                  <c:v>0.44</c:v>
                </c:pt>
                <c:pt idx="9">
                  <c:v>1.08</c:v>
                </c:pt>
                <c:pt idx="10">
                  <c:v>3.17</c:v>
                </c:pt>
                <c:pt idx="11">
                  <c:v>11.41</c:v>
                </c:pt>
                <c:pt idx="12">
                  <c:v>187.69</c:v>
                </c:pt>
                <c:pt idx="13">
                  <c:v>2748</c:v>
                </c:pt>
                <c:pt idx="14">
                  <c:v>1555.52</c:v>
                </c:pt>
                <c:pt idx="15">
                  <c:v>2396.7399999999998</c:v>
                </c:pt>
                <c:pt idx="16">
                  <c:v>2771.94</c:v>
                </c:pt>
                <c:pt idx="17">
                  <c:v>2966.1</c:v>
                </c:pt>
                <c:pt idx="18">
                  <c:v>3138.11</c:v>
                </c:pt>
                <c:pt idx="19">
                  <c:v>3169.62</c:v>
                </c:pt>
                <c:pt idx="20">
                  <c:v>3083.37</c:v>
                </c:pt>
                <c:pt idx="21">
                  <c:v>2901.12</c:v>
                </c:pt>
                <c:pt idx="22">
                  <c:v>2685.24</c:v>
                </c:pt>
                <c:pt idx="23">
                  <c:v>2469.4699999999998</c:v>
                </c:pt>
                <c:pt idx="24">
                  <c:v>2270.89</c:v>
                </c:pt>
                <c:pt idx="25">
                  <c:v>2072.06</c:v>
                </c:pt>
                <c:pt idx="26">
                  <c:v>1901.61</c:v>
                </c:pt>
                <c:pt idx="27">
                  <c:v>1773.97</c:v>
                </c:pt>
                <c:pt idx="28">
                  <c:v>1675.3</c:v>
                </c:pt>
                <c:pt idx="29">
                  <c:v>1579.38</c:v>
                </c:pt>
                <c:pt idx="30">
                  <c:v>1474.87</c:v>
                </c:pt>
                <c:pt idx="31">
                  <c:v>1362.5</c:v>
                </c:pt>
                <c:pt idx="32">
                  <c:v>1249.96</c:v>
                </c:pt>
                <c:pt idx="33">
                  <c:v>1139.1199999999999</c:v>
                </c:pt>
                <c:pt idx="34">
                  <c:v>1031.67</c:v>
                </c:pt>
                <c:pt idx="35">
                  <c:v>930.53</c:v>
                </c:pt>
                <c:pt idx="36">
                  <c:v>840.9</c:v>
                </c:pt>
                <c:pt idx="37">
                  <c:v>761.49</c:v>
                </c:pt>
                <c:pt idx="38">
                  <c:v>690.32</c:v>
                </c:pt>
                <c:pt idx="39">
                  <c:v>627.98</c:v>
                </c:pt>
                <c:pt idx="40">
                  <c:v>575.46</c:v>
                </c:pt>
                <c:pt idx="41">
                  <c:v>526.62</c:v>
                </c:pt>
                <c:pt idx="42">
                  <c:v>482.83</c:v>
                </c:pt>
                <c:pt idx="43">
                  <c:v>457.4</c:v>
                </c:pt>
                <c:pt idx="44">
                  <c:v>485.63</c:v>
                </c:pt>
                <c:pt idx="45">
                  <c:v>629.66</c:v>
                </c:pt>
                <c:pt idx="46">
                  <c:v>939.48</c:v>
                </c:pt>
                <c:pt idx="47">
                  <c:v>1401.37</c:v>
                </c:pt>
                <c:pt idx="48">
                  <c:v>1944.45</c:v>
                </c:pt>
                <c:pt idx="49">
                  <c:v>1545.86</c:v>
                </c:pt>
                <c:pt idx="50">
                  <c:v>1452.82</c:v>
                </c:pt>
                <c:pt idx="51">
                  <c:v>1367.6</c:v>
                </c:pt>
                <c:pt idx="52">
                  <c:v>1291.27</c:v>
                </c:pt>
                <c:pt idx="53">
                  <c:v>1221.6500000000001</c:v>
                </c:pt>
                <c:pt idx="54">
                  <c:v>1157.4100000000001</c:v>
                </c:pt>
                <c:pt idx="55">
                  <c:v>1098.68</c:v>
                </c:pt>
                <c:pt idx="56">
                  <c:v>1044.69</c:v>
                </c:pt>
                <c:pt idx="57">
                  <c:v>992.16</c:v>
                </c:pt>
                <c:pt idx="58">
                  <c:v>943.58</c:v>
                </c:pt>
                <c:pt idx="59">
                  <c:v>898.74</c:v>
                </c:pt>
                <c:pt idx="60">
                  <c:v>857.17</c:v>
                </c:pt>
                <c:pt idx="61">
                  <c:v>818.88</c:v>
                </c:pt>
                <c:pt idx="62">
                  <c:v>782.29</c:v>
                </c:pt>
                <c:pt idx="63">
                  <c:v>747.77</c:v>
                </c:pt>
                <c:pt idx="64">
                  <c:v>715</c:v>
                </c:pt>
                <c:pt idx="65">
                  <c:v>684.1</c:v>
                </c:pt>
                <c:pt idx="66">
                  <c:v>655.16999999999996</c:v>
                </c:pt>
                <c:pt idx="67">
                  <c:v>627.53</c:v>
                </c:pt>
                <c:pt idx="68">
                  <c:v>601.48</c:v>
                </c:pt>
                <c:pt idx="69">
                  <c:v>577.05999999999995</c:v>
                </c:pt>
                <c:pt idx="70">
                  <c:v>553.94000000000005</c:v>
                </c:pt>
                <c:pt idx="71">
                  <c:v>530.59</c:v>
                </c:pt>
                <c:pt idx="72">
                  <c:v>511.04</c:v>
                </c:pt>
                <c:pt idx="73">
                  <c:v>489.77</c:v>
                </c:pt>
                <c:pt idx="74">
                  <c:v>470.62</c:v>
                </c:pt>
                <c:pt idx="75">
                  <c:v>452.62</c:v>
                </c:pt>
                <c:pt idx="76">
                  <c:v>435.84</c:v>
                </c:pt>
                <c:pt idx="77">
                  <c:v>420.15</c:v>
                </c:pt>
                <c:pt idx="78">
                  <c:v>405.29</c:v>
                </c:pt>
                <c:pt idx="79">
                  <c:v>391.54</c:v>
                </c:pt>
                <c:pt idx="80">
                  <c:v>378.16</c:v>
                </c:pt>
                <c:pt idx="81">
                  <c:v>365.43</c:v>
                </c:pt>
                <c:pt idx="82">
                  <c:v>353.71</c:v>
                </c:pt>
                <c:pt idx="83">
                  <c:v>342.37</c:v>
                </c:pt>
                <c:pt idx="84">
                  <c:v>331.32</c:v>
                </c:pt>
                <c:pt idx="85">
                  <c:v>321.16000000000003</c:v>
                </c:pt>
                <c:pt idx="86">
                  <c:v>311.72000000000003</c:v>
                </c:pt>
                <c:pt idx="87">
                  <c:v>302.7</c:v>
                </c:pt>
                <c:pt idx="88">
                  <c:v>294.12</c:v>
                </c:pt>
                <c:pt idx="89">
                  <c:v>285.86</c:v>
                </c:pt>
                <c:pt idx="90">
                  <c:v>277.77999999999997</c:v>
                </c:pt>
                <c:pt idx="91">
                  <c:v>270.24</c:v>
                </c:pt>
                <c:pt idx="92">
                  <c:v>262.7</c:v>
                </c:pt>
                <c:pt idx="93">
                  <c:v>255.68</c:v>
                </c:pt>
                <c:pt idx="94">
                  <c:v>248.96</c:v>
                </c:pt>
                <c:pt idx="95">
                  <c:v>242.45</c:v>
                </c:pt>
                <c:pt idx="96">
                  <c:v>236.17</c:v>
                </c:pt>
                <c:pt idx="97">
                  <c:v>230.23</c:v>
                </c:pt>
                <c:pt idx="98">
                  <c:v>224.53</c:v>
                </c:pt>
                <c:pt idx="99">
                  <c:v>219.04</c:v>
                </c:pt>
                <c:pt idx="100">
                  <c:v>213.92</c:v>
                </c:pt>
                <c:pt idx="101">
                  <c:v>208.81</c:v>
                </c:pt>
                <c:pt idx="102">
                  <c:v>203.76</c:v>
                </c:pt>
                <c:pt idx="103">
                  <c:v>200.43</c:v>
                </c:pt>
                <c:pt idx="104">
                  <c:v>194.72</c:v>
                </c:pt>
                <c:pt idx="105">
                  <c:v>190.04</c:v>
                </c:pt>
                <c:pt idx="106">
                  <c:v>185.56</c:v>
                </c:pt>
                <c:pt idx="107">
                  <c:v>181.34</c:v>
                </c:pt>
                <c:pt idx="108">
                  <c:v>177.28</c:v>
                </c:pt>
                <c:pt idx="109">
                  <c:v>173.42</c:v>
                </c:pt>
                <c:pt idx="110">
                  <c:v>169.57</c:v>
                </c:pt>
                <c:pt idx="111">
                  <c:v>165.99</c:v>
                </c:pt>
                <c:pt idx="112">
                  <c:v>162.46</c:v>
                </c:pt>
                <c:pt idx="113">
                  <c:v>159.06</c:v>
                </c:pt>
                <c:pt idx="114">
                  <c:v>155.57</c:v>
                </c:pt>
                <c:pt idx="115">
                  <c:v>152.16</c:v>
                </c:pt>
                <c:pt idx="116">
                  <c:v>148.91999999999999</c:v>
                </c:pt>
                <c:pt idx="117">
                  <c:v>145.83000000000001</c:v>
                </c:pt>
                <c:pt idx="118">
                  <c:v>142.88999999999999</c:v>
                </c:pt>
                <c:pt idx="119">
                  <c:v>140.02000000000001</c:v>
                </c:pt>
                <c:pt idx="120">
                  <c:v>137.25</c:v>
                </c:pt>
              </c:numCache>
            </c:numRef>
          </c:yVal>
          <c:smooth val="1"/>
          <c:extLst xmlns:c16r2="http://schemas.microsoft.com/office/drawing/2015/06/chart">
            <c:ext xmlns:c16="http://schemas.microsoft.com/office/drawing/2014/chart" uri="{C3380CC4-5D6E-409C-BE32-E72D297353CC}">
              <c16:uniqueId val="{00000000-1BB3-4D28-AF7E-07426DD14B77}"/>
            </c:ext>
          </c:extLst>
        </c:ser>
        <c:ser>
          <c:idx val="3"/>
          <c:order val="1"/>
          <c:tx>
            <c:v>1 Percent Annual Chance</c:v>
          </c:tx>
          <c:spPr>
            <a:ln>
              <a:solidFill>
                <a:schemeClr val="tx1"/>
              </a:solidFill>
            </a:ln>
          </c:spPr>
          <c:marker>
            <c:symbol val="none"/>
          </c:marker>
          <c:xVal>
            <c:numRef>
              <c:f>'Hydrograph (4)'!$A$3:$A$279</c:f>
              <c:numCache>
                <c:formatCode>0.00</c:formatCode>
                <c:ptCount val="277"/>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pt idx="101">
                  <c:v>101</c:v>
                </c:pt>
                <c:pt idx="102">
                  <c:v>102</c:v>
                </c:pt>
                <c:pt idx="103">
                  <c:v>103</c:v>
                </c:pt>
                <c:pt idx="104">
                  <c:v>104</c:v>
                </c:pt>
                <c:pt idx="105">
                  <c:v>105</c:v>
                </c:pt>
                <c:pt idx="106">
                  <c:v>106</c:v>
                </c:pt>
                <c:pt idx="107">
                  <c:v>107</c:v>
                </c:pt>
                <c:pt idx="108">
                  <c:v>108</c:v>
                </c:pt>
                <c:pt idx="109">
                  <c:v>109</c:v>
                </c:pt>
                <c:pt idx="110">
                  <c:v>110</c:v>
                </c:pt>
                <c:pt idx="111">
                  <c:v>111</c:v>
                </c:pt>
                <c:pt idx="112">
                  <c:v>112</c:v>
                </c:pt>
                <c:pt idx="113">
                  <c:v>113</c:v>
                </c:pt>
                <c:pt idx="114">
                  <c:v>114</c:v>
                </c:pt>
                <c:pt idx="115">
                  <c:v>115</c:v>
                </c:pt>
                <c:pt idx="116">
                  <c:v>116</c:v>
                </c:pt>
                <c:pt idx="117">
                  <c:v>117</c:v>
                </c:pt>
                <c:pt idx="118">
                  <c:v>118</c:v>
                </c:pt>
                <c:pt idx="119">
                  <c:v>119</c:v>
                </c:pt>
                <c:pt idx="120">
                  <c:v>120</c:v>
                </c:pt>
              </c:numCache>
            </c:numRef>
          </c:xVal>
          <c:yVal>
            <c:numRef>
              <c:f>'Hydrograph (4)'!$E$3:$E$279</c:f>
              <c:numCache>
                <c:formatCode>General</c:formatCode>
                <c:ptCount val="277"/>
                <c:pt idx="0">
                  <c:v>0</c:v>
                </c:pt>
                <c:pt idx="1">
                  <c:v>0</c:v>
                </c:pt>
                <c:pt idx="2">
                  <c:v>0</c:v>
                </c:pt>
                <c:pt idx="3">
                  <c:v>0</c:v>
                </c:pt>
                <c:pt idx="4">
                  <c:v>0</c:v>
                </c:pt>
                <c:pt idx="5">
                  <c:v>0</c:v>
                </c:pt>
                <c:pt idx="6">
                  <c:v>0</c:v>
                </c:pt>
                <c:pt idx="7">
                  <c:v>0.01</c:v>
                </c:pt>
                <c:pt idx="8">
                  <c:v>0.23</c:v>
                </c:pt>
                <c:pt idx="9">
                  <c:v>0.77</c:v>
                </c:pt>
                <c:pt idx="10">
                  <c:v>1.01</c:v>
                </c:pt>
                <c:pt idx="11">
                  <c:v>2.59</c:v>
                </c:pt>
                <c:pt idx="12">
                  <c:v>37.19</c:v>
                </c:pt>
                <c:pt idx="13">
                  <c:v>1638.18</c:v>
                </c:pt>
                <c:pt idx="14">
                  <c:v>1076.46</c:v>
                </c:pt>
                <c:pt idx="15">
                  <c:v>582.94000000000005</c:v>
                </c:pt>
                <c:pt idx="16">
                  <c:v>916.61</c:v>
                </c:pt>
                <c:pt idx="17">
                  <c:v>1277.81</c:v>
                </c:pt>
                <c:pt idx="18">
                  <c:v>1427.5</c:v>
                </c:pt>
                <c:pt idx="19">
                  <c:v>1569.62</c:v>
                </c:pt>
                <c:pt idx="20">
                  <c:v>1650.72</c:v>
                </c:pt>
                <c:pt idx="21">
                  <c:v>1647.38</c:v>
                </c:pt>
                <c:pt idx="22">
                  <c:v>1585.08</c:v>
                </c:pt>
                <c:pt idx="23">
                  <c:v>1494.04</c:v>
                </c:pt>
                <c:pt idx="24">
                  <c:v>1390.4</c:v>
                </c:pt>
                <c:pt idx="25">
                  <c:v>1273.76</c:v>
                </c:pt>
                <c:pt idx="26">
                  <c:v>1161.9000000000001</c:v>
                </c:pt>
                <c:pt idx="27">
                  <c:v>1059.08</c:v>
                </c:pt>
                <c:pt idx="28">
                  <c:v>967.63</c:v>
                </c:pt>
                <c:pt idx="29">
                  <c:v>884.33</c:v>
                </c:pt>
                <c:pt idx="30">
                  <c:v>806.76</c:v>
                </c:pt>
                <c:pt idx="31">
                  <c:v>733.84</c:v>
                </c:pt>
                <c:pt idx="32">
                  <c:v>665.99</c:v>
                </c:pt>
                <c:pt idx="33">
                  <c:v>602.49</c:v>
                </c:pt>
                <c:pt idx="34">
                  <c:v>543.21</c:v>
                </c:pt>
                <c:pt idx="35">
                  <c:v>488.15</c:v>
                </c:pt>
                <c:pt idx="36">
                  <c:v>437.35</c:v>
                </c:pt>
                <c:pt idx="37">
                  <c:v>390.34</c:v>
                </c:pt>
                <c:pt idx="38">
                  <c:v>347.49</c:v>
                </c:pt>
                <c:pt idx="39">
                  <c:v>309.62</c:v>
                </c:pt>
                <c:pt idx="40">
                  <c:v>275.27999999999997</c:v>
                </c:pt>
                <c:pt idx="41">
                  <c:v>244.83</c:v>
                </c:pt>
                <c:pt idx="42">
                  <c:v>217.57</c:v>
                </c:pt>
                <c:pt idx="43">
                  <c:v>194.24</c:v>
                </c:pt>
                <c:pt idx="44">
                  <c:v>174.44</c:v>
                </c:pt>
                <c:pt idx="45">
                  <c:v>158.26</c:v>
                </c:pt>
                <c:pt idx="46">
                  <c:v>144.91</c:v>
                </c:pt>
                <c:pt idx="47">
                  <c:v>133.86000000000001</c:v>
                </c:pt>
                <c:pt idx="48">
                  <c:v>124.22</c:v>
                </c:pt>
                <c:pt idx="49">
                  <c:v>985.56</c:v>
                </c:pt>
                <c:pt idx="50">
                  <c:v>934.13</c:v>
                </c:pt>
                <c:pt idx="51">
                  <c:v>885.32</c:v>
                </c:pt>
                <c:pt idx="52">
                  <c:v>839.82</c:v>
                </c:pt>
                <c:pt idx="53">
                  <c:v>797.69</c:v>
                </c:pt>
                <c:pt idx="54">
                  <c:v>757.94</c:v>
                </c:pt>
                <c:pt idx="55">
                  <c:v>720.27</c:v>
                </c:pt>
                <c:pt idx="56">
                  <c:v>684.05</c:v>
                </c:pt>
                <c:pt idx="57">
                  <c:v>649.99</c:v>
                </c:pt>
                <c:pt idx="58">
                  <c:v>619.16999999999996</c:v>
                </c:pt>
                <c:pt idx="59">
                  <c:v>589.24</c:v>
                </c:pt>
                <c:pt idx="60">
                  <c:v>561.6</c:v>
                </c:pt>
                <c:pt idx="61">
                  <c:v>536.82000000000005</c:v>
                </c:pt>
                <c:pt idx="62">
                  <c:v>512.16</c:v>
                </c:pt>
                <c:pt idx="63">
                  <c:v>490.68</c:v>
                </c:pt>
                <c:pt idx="64">
                  <c:v>468.09</c:v>
                </c:pt>
                <c:pt idx="65">
                  <c:v>447.76</c:v>
                </c:pt>
                <c:pt idx="66">
                  <c:v>428.27</c:v>
                </c:pt>
                <c:pt idx="67">
                  <c:v>410.43</c:v>
                </c:pt>
                <c:pt idx="68">
                  <c:v>393.78</c:v>
                </c:pt>
                <c:pt idx="69">
                  <c:v>377.45</c:v>
                </c:pt>
                <c:pt idx="70">
                  <c:v>362.26</c:v>
                </c:pt>
                <c:pt idx="71">
                  <c:v>347.93</c:v>
                </c:pt>
                <c:pt idx="72">
                  <c:v>334.57</c:v>
                </c:pt>
                <c:pt idx="73">
                  <c:v>322.35000000000002</c:v>
                </c:pt>
                <c:pt idx="74">
                  <c:v>311.39</c:v>
                </c:pt>
                <c:pt idx="75">
                  <c:v>301.7</c:v>
                </c:pt>
                <c:pt idx="76">
                  <c:v>293.3</c:v>
                </c:pt>
                <c:pt idx="77">
                  <c:v>286.02</c:v>
                </c:pt>
                <c:pt idx="78">
                  <c:v>279.51</c:v>
                </c:pt>
                <c:pt idx="79">
                  <c:v>273.44</c:v>
                </c:pt>
                <c:pt idx="80">
                  <c:v>267.37</c:v>
                </c:pt>
                <c:pt idx="81">
                  <c:v>261.2</c:v>
                </c:pt>
                <c:pt idx="82">
                  <c:v>255.01</c:v>
                </c:pt>
                <c:pt idx="83">
                  <c:v>248.76</c:v>
                </c:pt>
                <c:pt idx="84">
                  <c:v>242.56</c:v>
                </c:pt>
                <c:pt idx="85">
                  <c:v>236.44</c:v>
                </c:pt>
                <c:pt idx="86">
                  <c:v>230.37</c:v>
                </c:pt>
                <c:pt idx="87">
                  <c:v>224.41</c:v>
                </c:pt>
                <c:pt idx="88">
                  <c:v>218.62</c:v>
                </c:pt>
                <c:pt idx="89">
                  <c:v>213</c:v>
                </c:pt>
                <c:pt idx="90">
                  <c:v>207.47</c:v>
                </c:pt>
                <c:pt idx="91">
                  <c:v>202.08</c:v>
                </c:pt>
                <c:pt idx="92">
                  <c:v>197.76</c:v>
                </c:pt>
                <c:pt idx="93">
                  <c:v>192.11</c:v>
                </c:pt>
                <c:pt idx="94">
                  <c:v>187.16</c:v>
                </c:pt>
                <c:pt idx="95">
                  <c:v>182.66</c:v>
                </c:pt>
                <c:pt idx="96">
                  <c:v>178.13</c:v>
                </c:pt>
                <c:pt idx="97">
                  <c:v>173.68</c:v>
                </c:pt>
                <c:pt idx="98">
                  <c:v>169.38</c:v>
                </c:pt>
                <c:pt idx="99">
                  <c:v>165.3</c:v>
                </c:pt>
                <c:pt idx="100">
                  <c:v>161.36000000000001</c:v>
                </c:pt>
                <c:pt idx="101">
                  <c:v>157.56</c:v>
                </c:pt>
                <c:pt idx="102">
                  <c:v>153.87</c:v>
                </c:pt>
                <c:pt idx="103">
                  <c:v>150.30000000000001</c:v>
                </c:pt>
                <c:pt idx="104">
                  <c:v>146.86000000000001</c:v>
                </c:pt>
                <c:pt idx="105">
                  <c:v>143.46</c:v>
                </c:pt>
                <c:pt idx="106">
                  <c:v>140.13</c:v>
                </c:pt>
                <c:pt idx="107">
                  <c:v>136.93</c:v>
                </c:pt>
                <c:pt idx="108">
                  <c:v>133.80000000000001</c:v>
                </c:pt>
                <c:pt idx="109">
                  <c:v>130.82</c:v>
                </c:pt>
                <c:pt idx="110">
                  <c:v>127.73</c:v>
                </c:pt>
                <c:pt idx="111">
                  <c:v>124.83</c:v>
                </c:pt>
                <c:pt idx="112">
                  <c:v>122.11</c:v>
                </c:pt>
                <c:pt idx="113">
                  <c:v>119.5</c:v>
                </c:pt>
                <c:pt idx="114">
                  <c:v>117.02</c:v>
                </c:pt>
                <c:pt idx="115">
                  <c:v>114.54</c:v>
                </c:pt>
                <c:pt idx="116">
                  <c:v>112.18</c:v>
                </c:pt>
                <c:pt idx="117">
                  <c:v>109.99</c:v>
                </c:pt>
                <c:pt idx="118">
                  <c:v>107.85</c:v>
                </c:pt>
                <c:pt idx="119">
                  <c:v>105.8</c:v>
                </c:pt>
                <c:pt idx="120">
                  <c:v>103.8</c:v>
                </c:pt>
              </c:numCache>
            </c:numRef>
          </c:yVal>
          <c:smooth val="1"/>
          <c:extLst xmlns:c16r2="http://schemas.microsoft.com/office/drawing/2015/06/chart">
            <c:ext xmlns:c16="http://schemas.microsoft.com/office/drawing/2014/chart" uri="{C3380CC4-5D6E-409C-BE32-E72D297353CC}">
              <c16:uniqueId val="{00000001-1BB3-4D28-AF7E-07426DD14B77}"/>
            </c:ext>
          </c:extLst>
        </c:ser>
        <c:ser>
          <c:idx val="2"/>
          <c:order val="2"/>
          <c:tx>
            <c:v>2 Percent Annual Chance</c:v>
          </c:tx>
          <c:spPr>
            <a:ln>
              <a:solidFill>
                <a:schemeClr val="tx2">
                  <a:lumMod val="60000"/>
                  <a:lumOff val="40000"/>
                </a:schemeClr>
              </a:solidFill>
            </a:ln>
          </c:spPr>
          <c:marker>
            <c:symbol val="none"/>
          </c:marker>
          <c:xVal>
            <c:numRef>
              <c:f>'Hydrograph (4)'!$A$3:$A$279</c:f>
              <c:numCache>
                <c:formatCode>0.00</c:formatCode>
                <c:ptCount val="277"/>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pt idx="101">
                  <c:v>101</c:v>
                </c:pt>
                <c:pt idx="102">
                  <c:v>102</c:v>
                </c:pt>
                <c:pt idx="103">
                  <c:v>103</c:v>
                </c:pt>
                <c:pt idx="104">
                  <c:v>104</c:v>
                </c:pt>
                <c:pt idx="105">
                  <c:v>105</c:v>
                </c:pt>
                <c:pt idx="106">
                  <c:v>106</c:v>
                </c:pt>
                <c:pt idx="107">
                  <c:v>107</c:v>
                </c:pt>
                <c:pt idx="108">
                  <c:v>108</c:v>
                </c:pt>
                <c:pt idx="109">
                  <c:v>109</c:v>
                </c:pt>
                <c:pt idx="110">
                  <c:v>110</c:v>
                </c:pt>
                <c:pt idx="111">
                  <c:v>111</c:v>
                </c:pt>
                <c:pt idx="112">
                  <c:v>112</c:v>
                </c:pt>
                <c:pt idx="113">
                  <c:v>113</c:v>
                </c:pt>
                <c:pt idx="114">
                  <c:v>114</c:v>
                </c:pt>
                <c:pt idx="115">
                  <c:v>115</c:v>
                </c:pt>
                <c:pt idx="116">
                  <c:v>116</c:v>
                </c:pt>
                <c:pt idx="117">
                  <c:v>117</c:v>
                </c:pt>
                <c:pt idx="118">
                  <c:v>118</c:v>
                </c:pt>
                <c:pt idx="119">
                  <c:v>119</c:v>
                </c:pt>
                <c:pt idx="120">
                  <c:v>120</c:v>
                </c:pt>
              </c:numCache>
            </c:numRef>
          </c:xVal>
          <c:yVal>
            <c:numRef>
              <c:f>'Hydrograph (4)'!$D$3:$D$279</c:f>
              <c:numCache>
                <c:formatCode>General</c:formatCode>
                <c:ptCount val="277"/>
                <c:pt idx="0">
                  <c:v>0</c:v>
                </c:pt>
                <c:pt idx="1">
                  <c:v>0</c:v>
                </c:pt>
                <c:pt idx="2">
                  <c:v>0</c:v>
                </c:pt>
                <c:pt idx="3">
                  <c:v>0</c:v>
                </c:pt>
                <c:pt idx="4">
                  <c:v>0</c:v>
                </c:pt>
                <c:pt idx="5">
                  <c:v>0</c:v>
                </c:pt>
                <c:pt idx="6">
                  <c:v>0</c:v>
                </c:pt>
                <c:pt idx="7">
                  <c:v>0</c:v>
                </c:pt>
                <c:pt idx="8">
                  <c:v>0</c:v>
                </c:pt>
                <c:pt idx="9">
                  <c:v>0.09</c:v>
                </c:pt>
                <c:pt idx="10">
                  <c:v>0.44</c:v>
                </c:pt>
                <c:pt idx="11">
                  <c:v>1.36</c:v>
                </c:pt>
                <c:pt idx="12">
                  <c:v>26.08</c:v>
                </c:pt>
                <c:pt idx="13">
                  <c:v>1099.1500000000001</c:v>
                </c:pt>
                <c:pt idx="14">
                  <c:v>929.35</c:v>
                </c:pt>
                <c:pt idx="15">
                  <c:v>596.70000000000005</c:v>
                </c:pt>
                <c:pt idx="16">
                  <c:v>438.84</c:v>
                </c:pt>
                <c:pt idx="17">
                  <c:v>815.19</c:v>
                </c:pt>
                <c:pt idx="18">
                  <c:v>945.11</c:v>
                </c:pt>
                <c:pt idx="19">
                  <c:v>993.06</c:v>
                </c:pt>
                <c:pt idx="20">
                  <c:v>1079.31</c:v>
                </c:pt>
                <c:pt idx="21">
                  <c:v>1145.2</c:v>
                </c:pt>
                <c:pt idx="22">
                  <c:v>1157.96</c:v>
                </c:pt>
                <c:pt idx="23">
                  <c:v>1131.73</c:v>
                </c:pt>
                <c:pt idx="24">
                  <c:v>1080.3699999999999</c:v>
                </c:pt>
                <c:pt idx="25">
                  <c:v>1001.15</c:v>
                </c:pt>
                <c:pt idx="26">
                  <c:v>911.46</c:v>
                </c:pt>
                <c:pt idx="27">
                  <c:v>821.15</c:v>
                </c:pt>
                <c:pt idx="28">
                  <c:v>737.23</c:v>
                </c:pt>
                <c:pt idx="29">
                  <c:v>662.44</c:v>
                </c:pt>
                <c:pt idx="30">
                  <c:v>596.97</c:v>
                </c:pt>
                <c:pt idx="31">
                  <c:v>540.22</c:v>
                </c:pt>
                <c:pt idx="32">
                  <c:v>491.4</c:v>
                </c:pt>
                <c:pt idx="33">
                  <c:v>448.29</c:v>
                </c:pt>
                <c:pt idx="34">
                  <c:v>409.35</c:v>
                </c:pt>
                <c:pt idx="35">
                  <c:v>371.92</c:v>
                </c:pt>
                <c:pt idx="36">
                  <c:v>338.17</c:v>
                </c:pt>
                <c:pt idx="37">
                  <c:v>306.41000000000003</c:v>
                </c:pt>
                <c:pt idx="38">
                  <c:v>276.42</c:v>
                </c:pt>
                <c:pt idx="39">
                  <c:v>250.16</c:v>
                </c:pt>
                <c:pt idx="40">
                  <c:v>227.16</c:v>
                </c:pt>
                <c:pt idx="41">
                  <c:v>204.22</c:v>
                </c:pt>
                <c:pt idx="42">
                  <c:v>183.06</c:v>
                </c:pt>
                <c:pt idx="43">
                  <c:v>164.42</c:v>
                </c:pt>
                <c:pt idx="44">
                  <c:v>148.51</c:v>
                </c:pt>
                <c:pt idx="45">
                  <c:v>134.84</c:v>
                </c:pt>
                <c:pt idx="46">
                  <c:v>122.73</c:v>
                </c:pt>
                <c:pt idx="47">
                  <c:v>111.02</c:v>
                </c:pt>
                <c:pt idx="48">
                  <c:v>101.63</c:v>
                </c:pt>
                <c:pt idx="49">
                  <c:v>796.94</c:v>
                </c:pt>
                <c:pt idx="50">
                  <c:v>757.01</c:v>
                </c:pt>
                <c:pt idx="51">
                  <c:v>718.73</c:v>
                </c:pt>
                <c:pt idx="52">
                  <c:v>682.6</c:v>
                </c:pt>
                <c:pt idx="53">
                  <c:v>648.99</c:v>
                </c:pt>
                <c:pt idx="54">
                  <c:v>616.79999999999995</c:v>
                </c:pt>
                <c:pt idx="55">
                  <c:v>585.63</c:v>
                </c:pt>
                <c:pt idx="56">
                  <c:v>556.91999999999996</c:v>
                </c:pt>
                <c:pt idx="57">
                  <c:v>531.05999999999995</c:v>
                </c:pt>
                <c:pt idx="58">
                  <c:v>510.04</c:v>
                </c:pt>
                <c:pt idx="59">
                  <c:v>485.62</c:v>
                </c:pt>
                <c:pt idx="60">
                  <c:v>463.15</c:v>
                </c:pt>
                <c:pt idx="61">
                  <c:v>443.06</c:v>
                </c:pt>
                <c:pt idx="62">
                  <c:v>424.52</c:v>
                </c:pt>
                <c:pt idx="63">
                  <c:v>406.42</c:v>
                </c:pt>
                <c:pt idx="64">
                  <c:v>389.82</c:v>
                </c:pt>
                <c:pt idx="65">
                  <c:v>373.8</c:v>
                </c:pt>
                <c:pt idx="66">
                  <c:v>358.68</c:v>
                </c:pt>
                <c:pt idx="67">
                  <c:v>345.03</c:v>
                </c:pt>
                <c:pt idx="68">
                  <c:v>332.23</c:v>
                </c:pt>
                <c:pt idx="69">
                  <c:v>319.75</c:v>
                </c:pt>
                <c:pt idx="70">
                  <c:v>307.88</c:v>
                </c:pt>
                <c:pt idx="71">
                  <c:v>296.62</c:v>
                </c:pt>
                <c:pt idx="72">
                  <c:v>285.79000000000002</c:v>
                </c:pt>
                <c:pt idx="73">
                  <c:v>275.45999999999998</c:v>
                </c:pt>
                <c:pt idx="74">
                  <c:v>266.04000000000002</c:v>
                </c:pt>
                <c:pt idx="75">
                  <c:v>257.02999999999997</c:v>
                </c:pt>
                <c:pt idx="76">
                  <c:v>248.46</c:v>
                </c:pt>
                <c:pt idx="77">
                  <c:v>240.16</c:v>
                </c:pt>
                <c:pt idx="78">
                  <c:v>232.37</c:v>
                </c:pt>
                <c:pt idx="79">
                  <c:v>224.92</c:v>
                </c:pt>
                <c:pt idx="80">
                  <c:v>218.07</c:v>
                </c:pt>
                <c:pt idx="81">
                  <c:v>211.23</c:v>
                </c:pt>
                <c:pt idx="82">
                  <c:v>204.58</c:v>
                </c:pt>
                <c:pt idx="83">
                  <c:v>199.73</c:v>
                </c:pt>
                <c:pt idx="84">
                  <c:v>192.62</c:v>
                </c:pt>
                <c:pt idx="85">
                  <c:v>186.6</c:v>
                </c:pt>
                <c:pt idx="86">
                  <c:v>181.08</c:v>
                </c:pt>
                <c:pt idx="87">
                  <c:v>175.87</c:v>
                </c:pt>
                <c:pt idx="88">
                  <c:v>170.9</c:v>
                </c:pt>
                <c:pt idx="89">
                  <c:v>166.22</c:v>
                </c:pt>
                <c:pt idx="90">
                  <c:v>161.66</c:v>
                </c:pt>
                <c:pt idx="91">
                  <c:v>157.30000000000001</c:v>
                </c:pt>
                <c:pt idx="92">
                  <c:v>153.09</c:v>
                </c:pt>
                <c:pt idx="93">
                  <c:v>149.09</c:v>
                </c:pt>
                <c:pt idx="94">
                  <c:v>145.32</c:v>
                </c:pt>
                <c:pt idx="95">
                  <c:v>141.69999999999999</c:v>
                </c:pt>
                <c:pt idx="96">
                  <c:v>138.15</c:v>
                </c:pt>
                <c:pt idx="97">
                  <c:v>134.71</c:v>
                </c:pt>
                <c:pt idx="98">
                  <c:v>131.62</c:v>
                </c:pt>
                <c:pt idx="99">
                  <c:v>128.59</c:v>
                </c:pt>
                <c:pt idx="100">
                  <c:v>125.48</c:v>
                </c:pt>
                <c:pt idx="101">
                  <c:v>122.42</c:v>
                </c:pt>
                <c:pt idx="102">
                  <c:v>119.44</c:v>
                </c:pt>
                <c:pt idx="103">
                  <c:v>116.57</c:v>
                </c:pt>
                <c:pt idx="104">
                  <c:v>113.81</c:v>
                </c:pt>
                <c:pt idx="105">
                  <c:v>111.15</c:v>
                </c:pt>
                <c:pt idx="106">
                  <c:v>108.81</c:v>
                </c:pt>
                <c:pt idx="107">
                  <c:v>106.34</c:v>
                </c:pt>
                <c:pt idx="108">
                  <c:v>103.96</c:v>
                </c:pt>
                <c:pt idx="109">
                  <c:v>101.62</c:v>
                </c:pt>
                <c:pt idx="110">
                  <c:v>99.34</c:v>
                </c:pt>
                <c:pt idx="111">
                  <c:v>97.15</c:v>
                </c:pt>
                <c:pt idx="112">
                  <c:v>94.99</c:v>
                </c:pt>
                <c:pt idx="113">
                  <c:v>92.95</c:v>
                </c:pt>
                <c:pt idx="114">
                  <c:v>91</c:v>
                </c:pt>
                <c:pt idx="115">
                  <c:v>89.04</c:v>
                </c:pt>
                <c:pt idx="116">
                  <c:v>87.14</c:v>
                </c:pt>
                <c:pt idx="117">
                  <c:v>85.32</c:v>
                </c:pt>
                <c:pt idx="118">
                  <c:v>83.57</c:v>
                </c:pt>
                <c:pt idx="119">
                  <c:v>81.900000000000006</c:v>
                </c:pt>
                <c:pt idx="120">
                  <c:v>80.31</c:v>
                </c:pt>
              </c:numCache>
            </c:numRef>
          </c:yVal>
          <c:smooth val="1"/>
          <c:extLst xmlns:c16r2="http://schemas.microsoft.com/office/drawing/2015/06/chart">
            <c:ext xmlns:c16="http://schemas.microsoft.com/office/drawing/2014/chart" uri="{C3380CC4-5D6E-409C-BE32-E72D297353CC}">
              <c16:uniqueId val="{00000002-1BB3-4D28-AF7E-07426DD14B77}"/>
            </c:ext>
          </c:extLst>
        </c:ser>
        <c:ser>
          <c:idx val="1"/>
          <c:order val="3"/>
          <c:tx>
            <c:v>4 Percent Annual Chance</c:v>
          </c:tx>
          <c:spPr>
            <a:ln>
              <a:solidFill>
                <a:srgbClr val="FFCC00"/>
              </a:solidFill>
            </a:ln>
          </c:spPr>
          <c:marker>
            <c:symbol val="none"/>
          </c:marker>
          <c:xVal>
            <c:numRef>
              <c:f>'Hydrograph (4)'!$A$3:$A$279</c:f>
              <c:numCache>
                <c:formatCode>0.00</c:formatCode>
                <c:ptCount val="277"/>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pt idx="101">
                  <c:v>101</c:v>
                </c:pt>
                <c:pt idx="102">
                  <c:v>102</c:v>
                </c:pt>
                <c:pt idx="103">
                  <c:v>103</c:v>
                </c:pt>
                <c:pt idx="104">
                  <c:v>104</c:v>
                </c:pt>
                <c:pt idx="105">
                  <c:v>105</c:v>
                </c:pt>
                <c:pt idx="106">
                  <c:v>106</c:v>
                </c:pt>
                <c:pt idx="107">
                  <c:v>107</c:v>
                </c:pt>
                <c:pt idx="108">
                  <c:v>108</c:v>
                </c:pt>
                <c:pt idx="109">
                  <c:v>109</c:v>
                </c:pt>
                <c:pt idx="110">
                  <c:v>110</c:v>
                </c:pt>
                <c:pt idx="111">
                  <c:v>111</c:v>
                </c:pt>
                <c:pt idx="112">
                  <c:v>112</c:v>
                </c:pt>
                <c:pt idx="113">
                  <c:v>113</c:v>
                </c:pt>
                <c:pt idx="114">
                  <c:v>114</c:v>
                </c:pt>
                <c:pt idx="115">
                  <c:v>115</c:v>
                </c:pt>
                <c:pt idx="116">
                  <c:v>116</c:v>
                </c:pt>
                <c:pt idx="117">
                  <c:v>117</c:v>
                </c:pt>
                <c:pt idx="118">
                  <c:v>118</c:v>
                </c:pt>
                <c:pt idx="119">
                  <c:v>119</c:v>
                </c:pt>
                <c:pt idx="120">
                  <c:v>120</c:v>
                </c:pt>
              </c:numCache>
            </c:numRef>
          </c:xVal>
          <c:yVal>
            <c:numRef>
              <c:f>'Hydrograph (4)'!$C$3:$C$279</c:f>
              <c:numCache>
                <c:formatCode>General</c:formatCode>
                <c:ptCount val="277"/>
                <c:pt idx="0">
                  <c:v>0</c:v>
                </c:pt>
                <c:pt idx="1">
                  <c:v>0</c:v>
                </c:pt>
                <c:pt idx="2">
                  <c:v>0</c:v>
                </c:pt>
                <c:pt idx="3">
                  <c:v>0</c:v>
                </c:pt>
                <c:pt idx="4">
                  <c:v>0</c:v>
                </c:pt>
                <c:pt idx="5">
                  <c:v>0</c:v>
                </c:pt>
                <c:pt idx="6">
                  <c:v>0</c:v>
                </c:pt>
                <c:pt idx="7">
                  <c:v>0</c:v>
                </c:pt>
                <c:pt idx="8">
                  <c:v>0</c:v>
                </c:pt>
                <c:pt idx="9">
                  <c:v>0.01</c:v>
                </c:pt>
                <c:pt idx="10">
                  <c:v>0.2</c:v>
                </c:pt>
                <c:pt idx="11">
                  <c:v>0.83</c:v>
                </c:pt>
                <c:pt idx="12">
                  <c:v>15.59</c:v>
                </c:pt>
                <c:pt idx="13">
                  <c:v>518.02</c:v>
                </c:pt>
                <c:pt idx="14">
                  <c:v>757.31</c:v>
                </c:pt>
                <c:pt idx="15">
                  <c:v>519.36</c:v>
                </c:pt>
                <c:pt idx="16">
                  <c:v>372.8</c:v>
                </c:pt>
                <c:pt idx="17">
                  <c:v>293.64</c:v>
                </c:pt>
                <c:pt idx="18">
                  <c:v>532.54</c:v>
                </c:pt>
                <c:pt idx="19">
                  <c:v>629.82000000000005</c:v>
                </c:pt>
                <c:pt idx="20">
                  <c:v>657.24</c:v>
                </c:pt>
                <c:pt idx="21">
                  <c:v>713.85</c:v>
                </c:pt>
                <c:pt idx="22">
                  <c:v>769.01</c:v>
                </c:pt>
                <c:pt idx="23">
                  <c:v>793.39</c:v>
                </c:pt>
                <c:pt idx="24">
                  <c:v>789.69</c:v>
                </c:pt>
                <c:pt idx="25">
                  <c:v>756.61</c:v>
                </c:pt>
                <c:pt idx="26">
                  <c:v>704.25</c:v>
                </c:pt>
                <c:pt idx="27">
                  <c:v>642.83000000000004</c:v>
                </c:pt>
                <c:pt idx="28">
                  <c:v>579.51</c:v>
                </c:pt>
                <c:pt idx="29">
                  <c:v>517.89</c:v>
                </c:pt>
                <c:pt idx="30">
                  <c:v>460.77</c:v>
                </c:pt>
                <c:pt idx="31">
                  <c:v>409.36</c:v>
                </c:pt>
                <c:pt idx="32">
                  <c:v>364.13</c:v>
                </c:pt>
                <c:pt idx="33">
                  <c:v>325.37</c:v>
                </c:pt>
                <c:pt idx="34">
                  <c:v>291.08999999999997</c:v>
                </c:pt>
                <c:pt idx="35">
                  <c:v>261.94</c:v>
                </c:pt>
                <c:pt idx="36">
                  <c:v>237.11</c:v>
                </c:pt>
                <c:pt idx="37">
                  <c:v>214.9</c:v>
                </c:pt>
                <c:pt idx="38">
                  <c:v>195.79</c:v>
                </c:pt>
                <c:pt idx="39">
                  <c:v>178.68</c:v>
                </c:pt>
                <c:pt idx="40">
                  <c:v>163.33000000000001</c:v>
                </c:pt>
                <c:pt idx="41">
                  <c:v>149.4</c:v>
                </c:pt>
                <c:pt idx="42">
                  <c:v>136.74</c:v>
                </c:pt>
                <c:pt idx="43">
                  <c:v>125.28</c:v>
                </c:pt>
                <c:pt idx="44">
                  <c:v>114.32</c:v>
                </c:pt>
                <c:pt idx="45">
                  <c:v>105.11</c:v>
                </c:pt>
                <c:pt idx="46">
                  <c:v>96.97</c:v>
                </c:pt>
                <c:pt idx="47">
                  <c:v>88.86</c:v>
                </c:pt>
                <c:pt idx="48">
                  <c:v>81.5</c:v>
                </c:pt>
                <c:pt idx="49">
                  <c:v>424.7</c:v>
                </c:pt>
                <c:pt idx="50">
                  <c:v>396.99</c:v>
                </c:pt>
                <c:pt idx="51">
                  <c:v>371.95</c:v>
                </c:pt>
                <c:pt idx="52">
                  <c:v>348.7</c:v>
                </c:pt>
                <c:pt idx="53">
                  <c:v>326.74</c:v>
                </c:pt>
                <c:pt idx="54">
                  <c:v>306.52</c:v>
                </c:pt>
                <c:pt idx="55">
                  <c:v>290.86</c:v>
                </c:pt>
                <c:pt idx="56">
                  <c:v>285.37</c:v>
                </c:pt>
                <c:pt idx="57">
                  <c:v>291.3</c:v>
                </c:pt>
                <c:pt idx="58">
                  <c:v>301.87</c:v>
                </c:pt>
                <c:pt idx="59">
                  <c:v>310.07</c:v>
                </c:pt>
                <c:pt idx="60">
                  <c:v>313.87</c:v>
                </c:pt>
                <c:pt idx="61">
                  <c:v>312.73</c:v>
                </c:pt>
                <c:pt idx="62">
                  <c:v>308.76</c:v>
                </c:pt>
                <c:pt idx="63">
                  <c:v>302.39999999999998</c:v>
                </c:pt>
                <c:pt idx="64">
                  <c:v>294.94</c:v>
                </c:pt>
                <c:pt idx="65">
                  <c:v>286.56</c:v>
                </c:pt>
                <c:pt idx="66">
                  <c:v>277.76</c:v>
                </c:pt>
                <c:pt idx="67">
                  <c:v>269.26</c:v>
                </c:pt>
                <c:pt idx="68">
                  <c:v>260.18</c:v>
                </c:pt>
                <c:pt idx="69">
                  <c:v>251.34</c:v>
                </c:pt>
                <c:pt idx="70">
                  <c:v>242.79</c:v>
                </c:pt>
                <c:pt idx="71">
                  <c:v>234.45</c:v>
                </c:pt>
                <c:pt idx="72">
                  <c:v>226.42</c:v>
                </c:pt>
                <c:pt idx="73">
                  <c:v>218.72</c:v>
                </c:pt>
                <c:pt idx="74">
                  <c:v>211.39</c:v>
                </c:pt>
                <c:pt idx="75">
                  <c:v>204.31</c:v>
                </c:pt>
                <c:pt idx="76">
                  <c:v>198.8</c:v>
                </c:pt>
                <c:pt idx="77">
                  <c:v>191.48</c:v>
                </c:pt>
                <c:pt idx="78">
                  <c:v>185.47</c:v>
                </c:pt>
                <c:pt idx="79">
                  <c:v>179.52</c:v>
                </c:pt>
                <c:pt idx="80">
                  <c:v>173.81</c:v>
                </c:pt>
                <c:pt idx="81">
                  <c:v>168.5</c:v>
                </c:pt>
                <c:pt idx="82">
                  <c:v>163.36000000000001</c:v>
                </c:pt>
                <c:pt idx="83">
                  <c:v>158.46</c:v>
                </c:pt>
                <c:pt idx="84">
                  <c:v>153.85</c:v>
                </c:pt>
                <c:pt idx="85">
                  <c:v>149.41999999999999</c:v>
                </c:pt>
                <c:pt idx="86">
                  <c:v>145.22</c:v>
                </c:pt>
                <c:pt idx="87">
                  <c:v>141.18</c:v>
                </c:pt>
                <c:pt idx="88">
                  <c:v>137.29</c:v>
                </c:pt>
                <c:pt idx="89">
                  <c:v>133.56</c:v>
                </c:pt>
                <c:pt idx="90">
                  <c:v>129.99</c:v>
                </c:pt>
                <c:pt idx="91">
                  <c:v>126.65</c:v>
                </c:pt>
                <c:pt idx="92">
                  <c:v>123.42</c:v>
                </c:pt>
                <c:pt idx="93">
                  <c:v>120.25</c:v>
                </c:pt>
                <c:pt idx="94">
                  <c:v>117.22</c:v>
                </c:pt>
                <c:pt idx="95">
                  <c:v>114.48</c:v>
                </c:pt>
                <c:pt idx="96">
                  <c:v>111.75</c:v>
                </c:pt>
                <c:pt idx="97">
                  <c:v>109.12</c:v>
                </c:pt>
                <c:pt idx="98">
                  <c:v>106.42</c:v>
                </c:pt>
                <c:pt idx="99">
                  <c:v>103.81</c:v>
                </c:pt>
                <c:pt idx="100">
                  <c:v>101.34</c:v>
                </c:pt>
                <c:pt idx="101">
                  <c:v>98.96</c:v>
                </c:pt>
                <c:pt idx="102">
                  <c:v>96.7</c:v>
                </c:pt>
                <c:pt idx="103">
                  <c:v>94.52</c:v>
                </c:pt>
                <c:pt idx="104">
                  <c:v>92.42</c:v>
                </c:pt>
                <c:pt idx="105">
                  <c:v>90.35</c:v>
                </c:pt>
                <c:pt idx="106">
                  <c:v>88.35</c:v>
                </c:pt>
                <c:pt idx="107">
                  <c:v>86.41</c:v>
                </c:pt>
                <c:pt idx="108">
                  <c:v>84.52</c:v>
                </c:pt>
                <c:pt idx="109">
                  <c:v>82.71</c:v>
                </c:pt>
                <c:pt idx="110">
                  <c:v>80.94</c:v>
                </c:pt>
                <c:pt idx="111">
                  <c:v>79.27</c:v>
                </c:pt>
                <c:pt idx="112">
                  <c:v>77.61</c:v>
                </c:pt>
                <c:pt idx="113">
                  <c:v>75.95</c:v>
                </c:pt>
                <c:pt idx="114">
                  <c:v>74.33</c:v>
                </c:pt>
                <c:pt idx="115">
                  <c:v>72.77</c:v>
                </c:pt>
                <c:pt idx="116">
                  <c:v>71.28</c:v>
                </c:pt>
                <c:pt idx="117">
                  <c:v>69.849999999999994</c:v>
                </c:pt>
                <c:pt idx="118">
                  <c:v>68.48</c:v>
                </c:pt>
                <c:pt idx="119">
                  <c:v>67.209999999999994</c:v>
                </c:pt>
                <c:pt idx="120">
                  <c:v>65.92</c:v>
                </c:pt>
              </c:numCache>
            </c:numRef>
          </c:yVal>
          <c:smooth val="1"/>
          <c:extLst xmlns:c16r2="http://schemas.microsoft.com/office/drawing/2015/06/chart">
            <c:ext xmlns:c16="http://schemas.microsoft.com/office/drawing/2014/chart" uri="{C3380CC4-5D6E-409C-BE32-E72D297353CC}">
              <c16:uniqueId val="{00000003-1BB3-4D28-AF7E-07426DD14B77}"/>
            </c:ext>
          </c:extLst>
        </c:ser>
        <c:ser>
          <c:idx val="0"/>
          <c:order val="4"/>
          <c:tx>
            <c:v>10 Percent Annual Chance</c:v>
          </c:tx>
          <c:spPr>
            <a:ln>
              <a:solidFill>
                <a:srgbClr val="33CC33"/>
              </a:solidFill>
            </a:ln>
          </c:spPr>
          <c:marker>
            <c:symbol val="none"/>
          </c:marker>
          <c:xVal>
            <c:numRef>
              <c:f>'Hydrograph (4)'!$A$3:$A$279</c:f>
              <c:numCache>
                <c:formatCode>0.00</c:formatCode>
                <c:ptCount val="277"/>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pt idx="101">
                  <c:v>101</c:v>
                </c:pt>
                <c:pt idx="102">
                  <c:v>102</c:v>
                </c:pt>
                <c:pt idx="103">
                  <c:v>103</c:v>
                </c:pt>
                <c:pt idx="104">
                  <c:v>104</c:v>
                </c:pt>
                <c:pt idx="105">
                  <c:v>105</c:v>
                </c:pt>
                <c:pt idx="106">
                  <c:v>106</c:v>
                </c:pt>
                <c:pt idx="107">
                  <c:v>107</c:v>
                </c:pt>
                <c:pt idx="108">
                  <c:v>108</c:v>
                </c:pt>
                <c:pt idx="109">
                  <c:v>109</c:v>
                </c:pt>
                <c:pt idx="110">
                  <c:v>110</c:v>
                </c:pt>
                <c:pt idx="111">
                  <c:v>111</c:v>
                </c:pt>
                <c:pt idx="112">
                  <c:v>112</c:v>
                </c:pt>
                <c:pt idx="113">
                  <c:v>113</c:v>
                </c:pt>
                <c:pt idx="114">
                  <c:v>114</c:v>
                </c:pt>
                <c:pt idx="115">
                  <c:v>115</c:v>
                </c:pt>
                <c:pt idx="116">
                  <c:v>116</c:v>
                </c:pt>
                <c:pt idx="117">
                  <c:v>117</c:v>
                </c:pt>
                <c:pt idx="118">
                  <c:v>118</c:v>
                </c:pt>
                <c:pt idx="119">
                  <c:v>119</c:v>
                </c:pt>
                <c:pt idx="120">
                  <c:v>120</c:v>
                </c:pt>
              </c:numCache>
            </c:numRef>
          </c:xVal>
          <c:yVal>
            <c:numRef>
              <c:f>'Hydrograph (4)'!$B$3:$B$279</c:f>
              <c:numCache>
                <c:formatCode>General</c:formatCode>
                <c:ptCount val="277"/>
                <c:pt idx="0">
                  <c:v>0</c:v>
                </c:pt>
                <c:pt idx="1">
                  <c:v>0</c:v>
                </c:pt>
                <c:pt idx="2">
                  <c:v>0</c:v>
                </c:pt>
                <c:pt idx="3">
                  <c:v>0</c:v>
                </c:pt>
                <c:pt idx="4">
                  <c:v>0</c:v>
                </c:pt>
                <c:pt idx="5">
                  <c:v>0</c:v>
                </c:pt>
                <c:pt idx="6">
                  <c:v>0</c:v>
                </c:pt>
                <c:pt idx="7">
                  <c:v>0</c:v>
                </c:pt>
                <c:pt idx="8">
                  <c:v>0</c:v>
                </c:pt>
                <c:pt idx="9">
                  <c:v>0</c:v>
                </c:pt>
                <c:pt idx="10">
                  <c:v>0.01</c:v>
                </c:pt>
                <c:pt idx="11">
                  <c:v>0.36</c:v>
                </c:pt>
                <c:pt idx="12">
                  <c:v>6.94</c:v>
                </c:pt>
                <c:pt idx="13">
                  <c:v>45.59</c:v>
                </c:pt>
                <c:pt idx="14">
                  <c:v>520.45000000000005</c:v>
                </c:pt>
                <c:pt idx="15">
                  <c:v>392.17</c:v>
                </c:pt>
                <c:pt idx="16">
                  <c:v>295.19</c:v>
                </c:pt>
                <c:pt idx="17">
                  <c:v>232.92</c:v>
                </c:pt>
                <c:pt idx="18">
                  <c:v>192.78</c:v>
                </c:pt>
                <c:pt idx="19">
                  <c:v>165.67</c:v>
                </c:pt>
                <c:pt idx="20">
                  <c:v>258.44</c:v>
                </c:pt>
                <c:pt idx="21">
                  <c:v>308.41000000000003</c:v>
                </c:pt>
                <c:pt idx="22">
                  <c:v>325.57</c:v>
                </c:pt>
                <c:pt idx="23">
                  <c:v>347.02</c:v>
                </c:pt>
                <c:pt idx="24">
                  <c:v>379.55</c:v>
                </c:pt>
                <c:pt idx="25">
                  <c:v>399.36</c:v>
                </c:pt>
                <c:pt idx="26">
                  <c:v>401.39</c:v>
                </c:pt>
                <c:pt idx="27">
                  <c:v>389.25</c:v>
                </c:pt>
                <c:pt idx="28">
                  <c:v>368.99</c:v>
                </c:pt>
                <c:pt idx="29">
                  <c:v>344.36</c:v>
                </c:pt>
                <c:pt idx="30">
                  <c:v>316.41000000000003</c:v>
                </c:pt>
                <c:pt idx="31">
                  <c:v>286.8</c:v>
                </c:pt>
                <c:pt idx="32">
                  <c:v>258.33999999999997</c:v>
                </c:pt>
                <c:pt idx="33">
                  <c:v>230.48</c:v>
                </c:pt>
                <c:pt idx="34">
                  <c:v>205.24</c:v>
                </c:pt>
                <c:pt idx="35">
                  <c:v>182.49</c:v>
                </c:pt>
                <c:pt idx="36">
                  <c:v>162.83000000000001</c:v>
                </c:pt>
                <c:pt idx="37">
                  <c:v>145.63999999999999</c:v>
                </c:pt>
                <c:pt idx="38">
                  <c:v>130.63</c:v>
                </c:pt>
                <c:pt idx="39">
                  <c:v>117.6</c:v>
                </c:pt>
                <c:pt idx="40">
                  <c:v>105.76</c:v>
                </c:pt>
                <c:pt idx="41">
                  <c:v>95.1</c:v>
                </c:pt>
                <c:pt idx="42">
                  <c:v>85.26</c:v>
                </c:pt>
                <c:pt idx="43">
                  <c:v>76.709999999999994</c:v>
                </c:pt>
                <c:pt idx="44">
                  <c:v>69.319999999999993</c:v>
                </c:pt>
                <c:pt idx="45">
                  <c:v>63.04</c:v>
                </c:pt>
                <c:pt idx="46">
                  <c:v>57.36</c:v>
                </c:pt>
                <c:pt idx="47">
                  <c:v>52.04</c:v>
                </c:pt>
                <c:pt idx="48">
                  <c:v>47.87</c:v>
                </c:pt>
                <c:pt idx="49">
                  <c:v>377.07</c:v>
                </c:pt>
                <c:pt idx="50">
                  <c:v>353.25</c:v>
                </c:pt>
                <c:pt idx="51">
                  <c:v>330.8</c:v>
                </c:pt>
                <c:pt idx="52">
                  <c:v>309.8</c:v>
                </c:pt>
                <c:pt idx="53">
                  <c:v>290.8</c:v>
                </c:pt>
                <c:pt idx="54">
                  <c:v>273.67</c:v>
                </c:pt>
                <c:pt idx="55">
                  <c:v>258.20999999999998</c:v>
                </c:pt>
                <c:pt idx="56">
                  <c:v>244.06</c:v>
                </c:pt>
                <c:pt idx="57">
                  <c:v>230.74</c:v>
                </c:pt>
                <c:pt idx="58">
                  <c:v>218.32</c:v>
                </c:pt>
                <c:pt idx="59">
                  <c:v>206.19</c:v>
                </c:pt>
                <c:pt idx="60">
                  <c:v>196.23</c:v>
                </c:pt>
                <c:pt idx="61">
                  <c:v>184.74</c:v>
                </c:pt>
                <c:pt idx="62">
                  <c:v>175.02</c:v>
                </c:pt>
                <c:pt idx="63">
                  <c:v>166.19</c:v>
                </c:pt>
                <c:pt idx="64">
                  <c:v>158</c:v>
                </c:pt>
                <c:pt idx="65">
                  <c:v>150.26</c:v>
                </c:pt>
                <c:pt idx="66">
                  <c:v>142.84</c:v>
                </c:pt>
                <c:pt idx="67">
                  <c:v>135.97</c:v>
                </c:pt>
                <c:pt idx="68">
                  <c:v>129.47</c:v>
                </c:pt>
                <c:pt idx="69">
                  <c:v>123.3</c:v>
                </c:pt>
                <c:pt idx="70">
                  <c:v>117.68</c:v>
                </c:pt>
                <c:pt idx="71">
                  <c:v>112.34</c:v>
                </c:pt>
                <c:pt idx="72">
                  <c:v>107.35</c:v>
                </c:pt>
                <c:pt idx="73">
                  <c:v>102.64</c:v>
                </c:pt>
                <c:pt idx="74">
                  <c:v>97.9</c:v>
                </c:pt>
                <c:pt idx="75">
                  <c:v>93.83</c:v>
                </c:pt>
                <c:pt idx="76">
                  <c:v>89.86</c:v>
                </c:pt>
                <c:pt idx="77">
                  <c:v>85.84</c:v>
                </c:pt>
                <c:pt idx="78">
                  <c:v>82.09</c:v>
                </c:pt>
                <c:pt idx="79">
                  <c:v>78.540000000000006</c:v>
                </c:pt>
                <c:pt idx="80">
                  <c:v>75.260000000000005</c:v>
                </c:pt>
                <c:pt idx="81">
                  <c:v>72.22</c:v>
                </c:pt>
                <c:pt idx="82">
                  <c:v>69.34</c:v>
                </c:pt>
                <c:pt idx="83">
                  <c:v>66.67</c:v>
                </c:pt>
                <c:pt idx="84">
                  <c:v>64.09</c:v>
                </c:pt>
                <c:pt idx="85">
                  <c:v>61.6</c:v>
                </c:pt>
                <c:pt idx="86">
                  <c:v>59.26</c:v>
                </c:pt>
                <c:pt idx="87">
                  <c:v>57.64</c:v>
                </c:pt>
                <c:pt idx="88">
                  <c:v>55.42</c:v>
                </c:pt>
                <c:pt idx="89">
                  <c:v>53.4</c:v>
                </c:pt>
                <c:pt idx="90">
                  <c:v>51.6</c:v>
                </c:pt>
                <c:pt idx="91">
                  <c:v>50.1</c:v>
                </c:pt>
                <c:pt idx="92">
                  <c:v>48.58</c:v>
                </c:pt>
                <c:pt idx="93">
                  <c:v>46.99</c:v>
                </c:pt>
                <c:pt idx="94">
                  <c:v>45.42</c:v>
                </c:pt>
                <c:pt idx="95">
                  <c:v>43.88</c:v>
                </c:pt>
                <c:pt idx="96">
                  <c:v>42.4</c:v>
                </c:pt>
                <c:pt idx="97">
                  <c:v>40.97</c:v>
                </c:pt>
                <c:pt idx="98">
                  <c:v>39.630000000000003</c:v>
                </c:pt>
                <c:pt idx="99">
                  <c:v>38.36</c:v>
                </c:pt>
                <c:pt idx="100">
                  <c:v>37.15</c:v>
                </c:pt>
                <c:pt idx="101">
                  <c:v>36.07</c:v>
                </c:pt>
                <c:pt idx="102">
                  <c:v>34.979999999999997</c:v>
                </c:pt>
                <c:pt idx="103">
                  <c:v>33.909999999999997</c:v>
                </c:pt>
                <c:pt idx="104">
                  <c:v>32.92</c:v>
                </c:pt>
                <c:pt idx="105">
                  <c:v>32</c:v>
                </c:pt>
                <c:pt idx="106">
                  <c:v>31.08</c:v>
                </c:pt>
                <c:pt idx="107">
                  <c:v>30.14</c:v>
                </c:pt>
                <c:pt idx="108">
                  <c:v>29.25</c:v>
                </c:pt>
                <c:pt idx="109">
                  <c:v>28.44</c:v>
                </c:pt>
                <c:pt idx="110">
                  <c:v>27.67</c:v>
                </c:pt>
                <c:pt idx="111">
                  <c:v>26.94</c:v>
                </c:pt>
                <c:pt idx="112">
                  <c:v>26.25</c:v>
                </c:pt>
                <c:pt idx="113">
                  <c:v>25.59</c:v>
                </c:pt>
                <c:pt idx="114">
                  <c:v>24.92</c:v>
                </c:pt>
                <c:pt idx="115">
                  <c:v>24.28</c:v>
                </c:pt>
                <c:pt idx="116">
                  <c:v>23.65</c:v>
                </c:pt>
                <c:pt idx="117">
                  <c:v>23.06</c:v>
                </c:pt>
                <c:pt idx="118">
                  <c:v>22.5</c:v>
                </c:pt>
                <c:pt idx="119">
                  <c:v>21.98</c:v>
                </c:pt>
                <c:pt idx="120">
                  <c:v>21.52</c:v>
                </c:pt>
              </c:numCache>
            </c:numRef>
          </c:yVal>
          <c:smooth val="1"/>
          <c:extLst xmlns:c16r2="http://schemas.microsoft.com/office/drawing/2015/06/chart">
            <c:ext xmlns:c16="http://schemas.microsoft.com/office/drawing/2014/chart" uri="{C3380CC4-5D6E-409C-BE32-E72D297353CC}">
              <c16:uniqueId val="{00000004-1BB3-4D28-AF7E-07426DD14B77}"/>
            </c:ext>
          </c:extLst>
        </c:ser>
        <c:ser>
          <c:idx val="5"/>
          <c:order val="5"/>
          <c:tx>
            <c:v>1 Percent Plus Annual Chance</c:v>
          </c:tx>
          <c:marker>
            <c:symbol val="none"/>
          </c:marker>
          <c:xVal>
            <c:numRef>
              <c:f>'Hydrograph (4)'!$A$3:$A$195</c:f>
              <c:numCache>
                <c:formatCode>0.00</c:formatCode>
                <c:ptCount val="193"/>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pt idx="101">
                  <c:v>101</c:v>
                </c:pt>
                <c:pt idx="102">
                  <c:v>102</c:v>
                </c:pt>
                <c:pt idx="103">
                  <c:v>103</c:v>
                </c:pt>
                <c:pt idx="104">
                  <c:v>104</c:v>
                </c:pt>
                <c:pt idx="105">
                  <c:v>105</c:v>
                </c:pt>
                <c:pt idx="106">
                  <c:v>106</c:v>
                </c:pt>
                <c:pt idx="107">
                  <c:v>107</c:v>
                </c:pt>
                <c:pt idx="108">
                  <c:v>108</c:v>
                </c:pt>
                <c:pt idx="109">
                  <c:v>109</c:v>
                </c:pt>
                <c:pt idx="110">
                  <c:v>110</c:v>
                </c:pt>
                <c:pt idx="111">
                  <c:v>111</c:v>
                </c:pt>
                <c:pt idx="112">
                  <c:v>112</c:v>
                </c:pt>
                <c:pt idx="113">
                  <c:v>113</c:v>
                </c:pt>
                <c:pt idx="114">
                  <c:v>114</c:v>
                </c:pt>
                <c:pt idx="115">
                  <c:v>115</c:v>
                </c:pt>
                <c:pt idx="116">
                  <c:v>116</c:v>
                </c:pt>
                <c:pt idx="117">
                  <c:v>117</c:v>
                </c:pt>
                <c:pt idx="118">
                  <c:v>118</c:v>
                </c:pt>
                <c:pt idx="119">
                  <c:v>119</c:v>
                </c:pt>
                <c:pt idx="120">
                  <c:v>120</c:v>
                </c:pt>
              </c:numCache>
            </c:numRef>
          </c:xVal>
          <c:yVal>
            <c:numRef>
              <c:f>'Hydrograph (4)'!$G$3:$G$1048576</c:f>
              <c:numCache>
                <c:formatCode>General</c:formatCode>
                <c:ptCount val="1048574"/>
                <c:pt idx="0">
                  <c:v>0</c:v>
                </c:pt>
                <c:pt idx="1">
                  <c:v>0</c:v>
                </c:pt>
                <c:pt idx="2">
                  <c:v>0</c:v>
                </c:pt>
                <c:pt idx="3">
                  <c:v>0</c:v>
                </c:pt>
                <c:pt idx="4">
                  <c:v>0</c:v>
                </c:pt>
                <c:pt idx="5">
                  <c:v>0.02</c:v>
                </c:pt>
                <c:pt idx="6">
                  <c:v>0.2</c:v>
                </c:pt>
                <c:pt idx="7">
                  <c:v>0.53</c:v>
                </c:pt>
                <c:pt idx="8">
                  <c:v>1.18</c:v>
                </c:pt>
                <c:pt idx="9">
                  <c:v>3.14</c:v>
                </c:pt>
                <c:pt idx="10">
                  <c:v>8.2799999999999994</c:v>
                </c:pt>
                <c:pt idx="11">
                  <c:v>17.62</c:v>
                </c:pt>
                <c:pt idx="12">
                  <c:v>455.38</c:v>
                </c:pt>
                <c:pt idx="13">
                  <c:v>2847.39</c:v>
                </c:pt>
                <c:pt idx="14">
                  <c:v>1888.65</c:v>
                </c:pt>
                <c:pt idx="15">
                  <c:v>2740</c:v>
                </c:pt>
                <c:pt idx="16">
                  <c:v>3032.52</c:v>
                </c:pt>
                <c:pt idx="17">
                  <c:v>3229.83</c:v>
                </c:pt>
                <c:pt idx="18">
                  <c:v>3346.05</c:v>
                </c:pt>
                <c:pt idx="19">
                  <c:v>3332.62</c:v>
                </c:pt>
                <c:pt idx="20">
                  <c:v>3172.38</c:v>
                </c:pt>
                <c:pt idx="21">
                  <c:v>2931.77</c:v>
                </c:pt>
                <c:pt idx="22">
                  <c:v>2678.85</c:v>
                </c:pt>
                <c:pt idx="23">
                  <c:v>2443.81</c:v>
                </c:pt>
                <c:pt idx="24">
                  <c:v>2241.46</c:v>
                </c:pt>
                <c:pt idx="25">
                  <c:v>2065.27</c:v>
                </c:pt>
                <c:pt idx="26">
                  <c:v>1932.62</c:v>
                </c:pt>
                <c:pt idx="27">
                  <c:v>1829.23</c:v>
                </c:pt>
                <c:pt idx="28">
                  <c:v>1728.55</c:v>
                </c:pt>
                <c:pt idx="29">
                  <c:v>1615.44</c:v>
                </c:pt>
                <c:pt idx="30">
                  <c:v>1492.94</c:v>
                </c:pt>
                <c:pt idx="31">
                  <c:v>1365.24</c:v>
                </c:pt>
                <c:pt idx="32">
                  <c:v>1238.9100000000001</c:v>
                </c:pt>
                <c:pt idx="33">
                  <c:v>1116.8800000000001</c:v>
                </c:pt>
                <c:pt idx="34">
                  <c:v>999.33</c:v>
                </c:pt>
                <c:pt idx="35">
                  <c:v>890.65</c:v>
                </c:pt>
                <c:pt idx="36">
                  <c:v>795.04</c:v>
                </c:pt>
                <c:pt idx="37">
                  <c:v>709.23</c:v>
                </c:pt>
                <c:pt idx="38">
                  <c:v>633.36</c:v>
                </c:pt>
                <c:pt idx="39">
                  <c:v>566.80999999999995</c:v>
                </c:pt>
                <c:pt idx="40">
                  <c:v>509.52</c:v>
                </c:pt>
                <c:pt idx="41">
                  <c:v>458.5</c:v>
                </c:pt>
                <c:pt idx="42">
                  <c:v>411.23</c:v>
                </c:pt>
                <c:pt idx="43">
                  <c:v>369.8</c:v>
                </c:pt>
                <c:pt idx="44">
                  <c:v>333.66</c:v>
                </c:pt>
                <c:pt idx="45">
                  <c:v>302.14</c:v>
                </c:pt>
                <c:pt idx="46">
                  <c:v>273.05</c:v>
                </c:pt>
                <c:pt idx="47">
                  <c:v>247.34</c:v>
                </c:pt>
                <c:pt idx="48">
                  <c:v>224.83</c:v>
                </c:pt>
                <c:pt idx="49">
                  <c:v>1240.04</c:v>
                </c:pt>
                <c:pt idx="50">
                  <c:v>1178.6199999999999</c:v>
                </c:pt>
                <c:pt idx="51">
                  <c:v>1120.19</c:v>
                </c:pt>
                <c:pt idx="52">
                  <c:v>1061.82</c:v>
                </c:pt>
                <c:pt idx="53">
                  <c:v>1006.34</c:v>
                </c:pt>
                <c:pt idx="54">
                  <c:v>955.21</c:v>
                </c:pt>
                <c:pt idx="55">
                  <c:v>907.46</c:v>
                </c:pt>
                <c:pt idx="56">
                  <c:v>862.89</c:v>
                </c:pt>
                <c:pt idx="57">
                  <c:v>821.6</c:v>
                </c:pt>
                <c:pt idx="58">
                  <c:v>782.33</c:v>
                </c:pt>
                <c:pt idx="59">
                  <c:v>745.66</c:v>
                </c:pt>
                <c:pt idx="60">
                  <c:v>710.68</c:v>
                </c:pt>
                <c:pt idx="61">
                  <c:v>677.91</c:v>
                </c:pt>
                <c:pt idx="62">
                  <c:v>647.41</c:v>
                </c:pt>
                <c:pt idx="63">
                  <c:v>617.89</c:v>
                </c:pt>
                <c:pt idx="64">
                  <c:v>589.44000000000005</c:v>
                </c:pt>
                <c:pt idx="65">
                  <c:v>562.95000000000005</c:v>
                </c:pt>
                <c:pt idx="66">
                  <c:v>539.77</c:v>
                </c:pt>
                <c:pt idx="67">
                  <c:v>515.58000000000004</c:v>
                </c:pt>
                <c:pt idx="68">
                  <c:v>495.25</c:v>
                </c:pt>
                <c:pt idx="69">
                  <c:v>473.65</c:v>
                </c:pt>
                <c:pt idx="70">
                  <c:v>453.47</c:v>
                </c:pt>
                <c:pt idx="71">
                  <c:v>435.16</c:v>
                </c:pt>
                <c:pt idx="72">
                  <c:v>417.99</c:v>
                </c:pt>
                <c:pt idx="73">
                  <c:v>401.68</c:v>
                </c:pt>
                <c:pt idx="74">
                  <c:v>386.57</c:v>
                </c:pt>
                <c:pt idx="75">
                  <c:v>372.05</c:v>
                </c:pt>
                <c:pt idx="76">
                  <c:v>358.04</c:v>
                </c:pt>
                <c:pt idx="77">
                  <c:v>345.15</c:v>
                </c:pt>
                <c:pt idx="78">
                  <c:v>333.06</c:v>
                </c:pt>
                <c:pt idx="79">
                  <c:v>321.56</c:v>
                </c:pt>
                <c:pt idx="80">
                  <c:v>310.81</c:v>
                </c:pt>
                <c:pt idx="81">
                  <c:v>300.67</c:v>
                </c:pt>
                <c:pt idx="82">
                  <c:v>291.18</c:v>
                </c:pt>
                <c:pt idx="83">
                  <c:v>282.02999999999997</c:v>
                </c:pt>
                <c:pt idx="84">
                  <c:v>273.35000000000002</c:v>
                </c:pt>
                <c:pt idx="85">
                  <c:v>265.02</c:v>
                </c:pt>
                <c:pt idx="86">
                  <c:v>257</c:v>
                </c:pt>
                <c:pt idx="87">
                  <c:v>249.54</c:v>
                </c:pt>
                <c:pt idx="88">
                  <c:v>242.38</c:v>
                </c:pt>
                <c:pt idx="89">
                  <c:v>235.57</c:v>
                </c:pt>
                <c:pt idx="90">
                  <c:v>228.93</c:v>
                </c:pt>
                <c:pt idx="91">
                  <c:v>222.44</c:v>
                </c:pt>
                <c:pt idx="92">
                  <c:v>216.27</c:v>
                </c:pt>
                <c:pt idx="93">
                  <c:v>210.22</c:v>
                </c:pt>
                <c:pt idx="94">
                  <c:v>204.5</c:v>
                </c:pt>
                <c:pt idx="95">
                  <c:v>200.51</c:v>
                </c:pt>
                <c:pt idx="96">
                  <c:v>194.21</c:v>
                </c:pt>
                <c:pt idx="97">
                  <c:v>188.9</c:v>
                </c:pt>
                <c:pt idx="98">
                  <c:v>184.07</c:v>
                </c:pt>
                <c:pt idx="99">
                  <c:v>179.49</c:v>
                </c:pt>
                <c:pt idx="100">
                  <c:v>175.24</c:v>
                </c:pt>
                <c:pt idx="101">
                  <c:v>171.07</c:v>
                </c:pt>
                <c:pt idx="102">
                  <c:v>166.86</c:v>
                </c:pt>
                <c:pt idx="103">
                  <c:v>162.81</c:v>
                </c:pt>
                <c:pt idx="104">
                  <c:v>158.93</c:v>
                </c:pt>
                <c:pt idx="105">
                  <c:v>155.22</c:v>
                </c:pt>
                <c:pt idx="106">
                  <c:v>151.72999999999999</c:v>
                </c:pt>
                <c:pt idx="107">
                  <c:v>148.24</c:v>
                </c:pt>
                <c:pt idx="108">
                  <c:v>144.76</c:v>
                </c:pt>
                <c:pt idx="109">
                  <c:v>141.4</c:v>
                </c:pt>
                <c:pt idx="110">
                  <c:v>138.16999999999999</c:v>
                </c:pt>
                <c:pt idx="111">
                  <c:v>135.04</c:v>
                </c:pt>
                <c:pt idx="112">
                  <c:v>132.03</c:v>
                </c:pt>
                <c:pt idx="113">
                  <c:v>129.16</c:v>
                </c:pt>
                <c:pt idx="114">
                  <c:v>126.38</c:v>
                </c:pt>
                <c:pt idx="115">
                  <c:v>123.58</c:v>
                </c:pt>
                <c:pt idx="116">
                  <c:v>120.89</c:v>
                </c:pt>
                <c:pt idx="117">
                  <c:v>118.4</c:v>
                </c:pt>
                <c:pt idx="118">
                  <c:v>115.97</c:v>
                </c:pt>
                <c:pt idx="119">
                  <c:v>113.78</c:v>
                </c:pt>
                <c:pt idx="120">
                  <c:v>111.56</c:v>
                </c:pt>
              </c:numCache>
            </c:numRef>
          </c:yVal>
          <c:smooth val="1"/>
          <c:extLst xmlns:c16r2="http://schemas.microsoft.com/office/drawing/2015/06/chart">
            <c:ext xmlns:c16="http://schemas.microsoft.com/office/drawing/2014/chart" uri="{C3380CC4-5D6E-409C-BE32-E72D297353CC}">
              <c16:uniqueId val="{00000005-1BB3-4D28-AF7E-07426DD14B77}"/>
            </c:ext>
          </c:extLst>
        </c:ser>
        <c:ser>
          <c:idx val="6"/>
          <c:order val="6"/>
          <c:tx>
            <c:v>1 Percent Minus Annual Chance</c:v>
          </c:tx>
          <c:marker>
            <c:symbol val="none"/>
          </c:marker>
          <c:xVal>
            <c:numRef>
              <c:f>'Hydrograph (4)'!$A$3:$A$195</c:f>
              <c:numCache>
                <c:formatCode>0.00</c:formatCode>
                <c:ptCount val="193"/>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pt idx="101">
                  <c:v>101</c:v>
                </c:pt>
                <c:pt idx="102">
                  <c:v>102</c:v>
                </c:pt>
                <c:pt idx="103">
                  <c:v>103</c:v>
                </c:pt>
                <c:pt idx="104">
                  <c:v>104</c:v>
                </c:pt>
                <c:pt idx="105">
                  <c:v>105</c:v>
                </c:pt>
                <c:pt idx="106">
                  <c:v>106</c:v>
                </c:pt>
                <c:pt idx="107">
                  <c:v>107</c:v>
                </c:pt>
                <c:pt idx="108">
                  <c:v>108</c:v>
                </c:pt>
                <c:pt idx="109">
                  <c:v>109</c:v>
                </c:pt>
                <c:pt idx="110">
                  <c:v>110</c:v>
                </c:pt>
                <c:pt idx="111">
                  <c:v>111</c:v>
                </c:pt>
                <c:pt idx="112">
                  <c:v>112</c:v>
                </c:pt>
                <c:pt idx="113">
                  <c:v>113</c:v>
                </c:pt>
                <c:pt idx="114">
                  <c:v>114</c:v>
                </c:pt>
                <c:pt idx="115">
                  <c:v>115</c:v>
                </c:pt>
                <c:pt idx="116">
                  <c:v>116</c:v>
                </c:pt>
                <c:pt idx="117">
                  <c:v>117</c:v>
                </c:pt>
                <c:pt idx="118">
                  <c:v>118</c:v>
                </c:pt>
                <c:pt idx="119">
                  <c:v>119</c:v>
                </c:pt>
                <c:pt idx="120">
                  <c:v>120</c:v>
                </c:pt>
              </c:numCache>
            </c:numRef>
          </c:xVal>
          <c:yVal>
            <c:numRef>
              <c:f>'Hydrograph (4)'!$H$3:$H$195</c:f>
              <c:numCache>
                <c:formatCode>General</c:formatCode>
                <c:ptCount val="193"/>
                <c:pt idx="0">
                  <c:v>0</c:v>
                </c:pt>
                <c:pt idx="1">
                  <c:v>0</c:v>
                </c:pt>
                <c:pt idx="2">
                  <c:v>0</c:v>
                </c:pt>
                <c:pt idx="3">
                  <c:v>0</c:v>
                </c:pt>
                <c:pt idx="4">
                  <c:v>0</c:v>
                </c:pt>
                <c:pt idx="5">
                  <c:v>0</c:v>
                </c:pt>
                <c:pt idx="6">
                  <c:v>0</c:v>
                </c:pt>
                <c:pt idx="7">
                  <c:v>0</c:v>
                </c:pt>
                <c:pt idx="8">
                  <c:v>0</c:v>
                </c:pt>
                <c:pt idx="9">
                  <c:v>0</c:v>
                </c:pt>
                <c:pt idx="10">
                  <c:v>0</c:v>
                </c:pt>
                <c:pt idx="11">
                  <c:v>0.01</c:v>
                </c:pt>
                <c:pt idx="12">
                  <c:v>3.45</c:v>
                </c:pt>
                <c:pt idx="13">
                  <c:v>33.200000000000003</c:v>
                </c:pt>
                <c:pt idx="14">
                  <c:v>392.17</c:v>
                </c:pt>
                <c:pt idx="15">
                  <c:v>349.33</c:v>
                </c:pt>
                <c:pt idx="16">
                  <c:v>275.61</c:v>
                </c:pt>
                <c:pt idx="17">
                  <c:v>224.27</c:v>
                </c:pt>
                <c:pt idx="18">
                  <c:v>189.32</c:v>
                </c:pt>
                <c:pt idx="19">
                  <c:v>164.03</c:v>
                </c:pt>
                <c:pt idx="20">
                  <c:v>144.63999999999999</c:v>
                </c:pt>
                <c:pt idx="21">
                  <c:v>207.76</c:v>
                </c:pt>
                <c:pt idx="22">
                  <c:v>262.83</c:v>
                </c:pt>
                <c:pt idx="23">
                  <c:v>290.49</c:v>
                </c:pt>
                <c:pt idx="24">
                  <c:v>324.17</c:v>
                </c:pt>
                <c:pt idx="25">
                  <c:v>353.96</c:v>
                </c:pt>
                <c:pt idx="26">
                  <c:v>368.43</c:v>
                </c:pt>
                <c:pt idx="27">
                  <c:v>367.6</c:v>
                </c:pt>
                <c:pt idx="28">
                  <c:v>356.06</c:v>
                </c:pt>
                <c:pt idx="29">
                  <c:v>337.8</c:v>
                </c:pt>
                <c:pt idx="30">
                  <c:v>314.89</c:v>
                </c:pt>
                <c:pt idx="31">
                  <c:v>289.01</c:v>
                </c:pt>
                <c:pt idx="32">
                  <c:v>262.87</c:v>
                </c:pt>
                <c:pt idx="33">
                  <c:v>236.59</c:v>
                </c:pt>
                <c:pt idx="34">
                  <c:v>211.55</c:v>
                </c:pt>
                <c:pt idx="35">
                  <c:v>189.12</c:v>
                </c:pt>
                <c:pt idx="36">
                  <c:v>169.05</c:v>
                </c:pt>
                <c:pt idx="37">
                  <c:v>151.27000000000001</c:v>
                </c:pt>
                <c:pt idx="38">
                  <c:v>135.44999999999999</c:v>
                </c:pt>
                <c:pt idx="39">
                  <c:v>121.36</c:v>
                </c:pt>
                <c:pt idx="40">
                  <c:v>108.28</c:v>
                </c:pt>
                <c:pt idx="41">
                  <c:v>97.32</c:v>
                </c:pt>
                <c:pt idx="42">
                  <c:v>87.04</c:v>
                </c:pt>
                <c:pt idx="43">
                  <c:v>77.959999999999994</c:v>
                </c:pt>
                <c:pt idx="44">
                  <c:v>70.13</c:v>
                </c:pt>
                <c:pt idx="45">
                  <c:v>63.47</c:v>
                </c:pt>
                <c:pt idx="46">
                  <c:v>57.48</c:v>
                </c:pt>
                <c:pt idx="47">
                  <c:v>51.89</c:v>
                </c:pt>
                <c:pt idx="48">
                  <c:v>47.58</c:v>
                </c:pt>
                <c:pt idx="49">
                  <c:v>387.69</c:v>
                </c:pt>
                <c:pt idx="50">
                  <c:v>362.57</c:v>
                </c:pt>
                <c:pt idx="51">
                  <c:v>339.17</c:v>
                </c:pt>
                <c:pt idx="52">
                  <c:v>317.22000000000003</c:v>
                </c:pt>
                <c:pt idx="53">
                  <c:v>297.12</c:v>
                </c:pt>
                <c:pt idx="54">
                  <c:v>279.24</c:v>
                </c:pt>
                <c:pt idx="55">
                  <c:v>263.08</c:v>
                </c:pt>
                <c:pt idx="56">
                  <c:v>248.38</c:v>
                </c:pt>
                <c:pt idx="57">
                  <c:v>234.56</c:v>
                </c:pt>
                <c:pt idx="58">
                  <c:v>221.82</c:v>
                </c:pt>
                <c:pt idx="59">
                  <c:v>209.37</c:v>
                </c:pt>
                <c:pt idx="60">
                  <c:v>199.18</c:v>
                </c:pt>
                <c:pt idx="61">
                  <c:v>187.5</c:v>
                </c:pt>
                <c:pt idx="62">
                  <c:v>177.24</c:v>
                </c:pt>
                <c:pt idx="63">
                  <c:v>168.21</c:v>
                </c:pt>
                <c:pt idx="64">
                  <c:v>159.87</c:v>
                </c:pt>
                <c:pt idx="65">
                  <c:v>152.03</c:v>
                </c:pt>
                <c:pt idx="66">
                  <c:v>144.49</c:v>
                </c:pt>
                <c:pt idx="67">
                  <c:v>137.49</c:v>
                </c:pt>
                <c:pt idx="68">
                  <c:v>130.91</c:v>
                </c:pt>
                <c:pt idx="69">
                  <c:v>124.65</c:v>
                </c:pt>
                <c:pt idx="70">
                  <c:v>118.87</c:v>
                </c:pt>
                <c:pt idx="71">
                  <c:v>113.5</c:v>
                </c:pt>
                <c:pt idx="72">
                  <c:v>108.41</c:v>
                </c:pt>
                <c:pt idx="73">
                  <c:v>103.67</c:v>
                </c:pt>
                <c:pt idx="74">
                  <c:v>98.88</c:v>
                </c:pt>
                <c:pt idx="75">
                  <c:v>94.67</c:v>
                </c:pt>
                <c:pt idx="76">
                  <c:v>90.73</c:v>
                </c:pt>
                <c:pt idx="77">
                  <c:v>86.69</c:v>
                </c:pt>
                <c:pt idx="78">
                  <c:v>82.87</c:v>
                </c:pt>
                <c:pt idx="79">
                  <c:v>79.260000000000005</c:v>
                </c:pt>
                <c:pt idx="80">
                  <c:v>75.930000000000007</c:v>
                </c:pt>
                <c:pt idx="81">
                  <c:v>72.86</c:v>
                </c:pt>
                <c:pt idx="82">
                  <c:v>69.959999999999994</c:v>
                </c:pt>
                <c:pt idx="83">
                  <c:v>67.290000000000006</c:v>
                </c:pt>
                <c:pt idx="84">
                  <c:v>64.739999999999995</c:v>
                </c:pt>
                <c:pt idx="85">
                  <c:v>62.25</c:v>
                </c:pt>
                <c:pt idx="86">
                  <c:v>59.9</c:v>
                </c:pt>
                <c:pt idx="87">
                  <c:v>57.73</c:v>
                </c:pt>
                <c:pt idx="88">
                  <c:v>56.07</c:v>
                </c:pt>
                <c:pt idx="89">
                  <c:v>54</c:v>
                </c:pt>
                <c:pt idx="90">
                  <c:v>52.13</c:v>
                </c:pt>
                <c:pt idx="91">
                  <c:v>50.54</c:v>
                </c:pt>
                <c:pt idx="92">
                  <c:v>49.02</c:v>
                </c:pt>
                <c:pt idx="93">
                  <c:v>47.44</c:v>
                </c:pt>
                <c:pt idx="94">
                  <c:v>45.86</c:v>
                </c:pt>
                <c:pt idx="95">
                  <c:v>44.32</c:v>
                </c:pt>
                <c:pt idx="96">
                  <c:v>42.83</c:v>
                </c:pt>
                <c:pt idx="97">
                  <c:v>41.4</c:v>
                </c:pt>
                <c:pt idx="98">
                  <c:v>40.03</c:v>
                </c:pt>
                <c:pt idx="99">
                  <c:v>38.75</c:v>
                </c:pt>
                <c:pt idx="100">
                  <c:v>37.53</c:v>
                </c:pt>
                <c:pt idx="101">
                  <c:v>36.4</c:v>
                </c:pt>
                <c:pt idx="102">
                  <c:v>35.32</c:v>
                </c:pt>
                <c:pt idx="103">
                  <c:v>34.270000000000003</c:v>
                </c:pt>
                <c:pt idx="104">
                  <c:v>33.299999999999997</c:v>
                </c:pt>
                <c:pt idx="105">
                  <c:v>32.369999999999997</c:v>
                </c:pt>
                <c:pt idx="106">
                  <c:v>31.46</c:v>
                </c:pt>
                <c:pt idx="107">
                  <c:v>30.51</c:v>
                </c:pt>
                <c:pt idx="108">
                  <c:v>29.6</c:v>
                </c:pt>
                <c:pt idx="109">
                  <c:v>28.76</c:v>
                </c:pt>
                <c:pt idx="110">
                  <c:v>27.99</c:v>
                </c:pt>
                <c:pt idx="111">
                  <c:v>27.25</c:v>
                </c:pt>
                <c:pt idx="112">
                  <c:v>26.54</c:v>
                </c:pt>
                <c:pt idx="113">
                  <c:v>25.87</c:v>
                </c:pt>
                <c:pt idx="114">
                  <c:v>25.23</c:v>
                </c:pt>
                <c:pt idx="115">
                  <c:v>24.57</c:v>
                </c:pt>
                <c:pt idx="116">
                  <c:v>23.96</c:v>
                </c:pt>
                <c:pt idx="117">
                  <c:v>23.35</c:v>
                </c:pt>
                <c:pt idx="118">
                  <c:v>22.8</c:v>
                </c:pt>
                <c:pt idx="119">
                  <c:v>22.24</c:v>
                </c:pt>
                <c:pt idx="120">
                  <c:v>21.77</c:v>
                </c:pt>
              </c:numCache>
            </c:numRef>
          </c:yVal>
          <c:smooth val="1"/>
          <c:extLst xmlns:c16r2="http://schemas.microsoft.com/office/drawing/2015/06/chart">
            <c:ext xmlns:c16="http://schemas.microsoft.com/office/drawing/2014/chart" uri="{C3380CC4-5D6E-409C-BE32-E72D297353CC}">
              <c16:uniqueId val="{00000006-1BB3-4D28-AF7E-07426DD14B77}"/>
            </c:ext>
          </c:extLst>
        </c:ser>
        <c:dLbls>
          <c:showLegendKey val="0"/>
          <c:showVal val="0"/>
          <c:showCatName val="0"/>
          <c:showSerName val="0"/>
          <c:showPercent val="0"/>
          <c:showBubbleSize val="0"/>
        </c:dLbls>
        <c:axId val="143266944"/>
        <c:axId val="143268864"/>
      </c:scatterChart>
      <c:valAx>
        <c:axId val="143266944"/>
        <c:scaling>
          <c:orientation val="minMax"/>
          <c:max val="108"/>
          <c:min val="0"/>
        </c:scaling>
        <c:delete val="0"/>
        <c:axPos val="b"/>
        <c:title>
          <c:tx>
            <c:rich>
              <a:bodyPr/>
              <a:lstStyle/>
              <a:p>
                <a:pPr>
                  <a:defRPr/>
                </a:pPr>
                <a:r>
                  <a:rPr lang="en-US"/>
                  <a:t>Time (hours)</a:t>
                </a:r>
              </a:p>
            </c:rich>
          </c:tx>
          <c:layout/>
          <c:overlay val="0"/>
        </c:title>
        <c:numFmt formatCode="0" sourceLinked="0"/>
        <c:majorTickMark val="out"/>
        <c:minorTickMark val="none"/>
        <c:tickLblPos val="nextTo"/>
        <c:crossAx val="143268864"/>
        <c:crosses val="autoZero"/>
        <c:crossBetween val="midCat"/>
        <c:majorUnit val="12"/>
        <c:minorUnit val="0.5"/>
      </c:valAx>
      <c:valAx>
        <c:axId val="143268864"/>
        <c:scaling>
          <c:orientation val="minMax"/>
          <c:min val="0"/>
        </c:scaling>
        <c:delete val="0"/>
        <c:axPos val="l"/>
        <c:majorGridlines/>
        <c:title>
          <c:tx>
            <c:rich>
              <a:bodyPr rot="-5400000" vert="horz"/>
              <a:lstStyle/>
              <a:p>
                <a:pPr>
                  <a:defRPr/>
                </a:pPr>
                <a:r>
                  <a:rPr lang="en-US"/>
                  <a:t>Discharge (cfs)</a:t>
                </a:r>
              </a:p>
            </c:rich>
          </c:tx>
          <c:layout>
            <c:manualLayout>
              <c:xMode val="edge"/>
              <c:yMode val="edge"/>
              <c:x val="1.0468951496669853E-2"/>
              <c:y val="0.36171568297552548"/>
            </c:manualLayout>
          </c:layout>
          <c:overlay val="0"/>
        </c:title>
        <c:numFmt formatCode="#,##0" sourceLinked="0"/>
        <c:majorTickMark val="out"/>
        <c:minorTickMark val="none"/>
        <c:tickLblPos val="nextTo"/>
        <c:crossAx val="143266944"/>
        <c:crosses val="autoZero"/>
        <c:crossBetween val="midCat"/>
      </c:valAx>
      <c:spPr>
        <a:ln>
          <a:solidFill>
            <a:schemeClr val="tx1"/>
          </a:solidFill>
        </a:ln>
      </c:spPr>
    </c:plotArea>
    <c:legend>
      <c:legendPos val="r"/>
      <c:layout>
        <c:manualLayout>
          <c:xMode val="edge"/>
          <c:yMode val="edge"/>
          <c:x val="0.55548264800233305"/>
          <c:y val="3.5943423738699319E-2"/>
          <c:w val="0.40156423155438903"/>
          <c:h val="0.35761658580556216"/>
        </c:manualLayout>
      </c:layout>
      <c:overlay val="1"/>
      <c:spPr>
        <a:solidFill>
          <a:schemeClr val="bg1"/>
        </a:solidFill>
        <a:ln>
          <a:solidFill>
            <a:schemeClr val="tx1"/>
          </a:solidFill>
        </a:ln>
      </c:spPr>
    </c:legend>
    <c:plotVisOnly val="1"/>
    <c:dispBlanksAs val="gap"/>
    <c:showDLblsOverMax val="0"/>
  </c:chart>
  <c:externalData r:id="rId2">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scatterChart>
        <c:scatterStyle val="smoothMarker"/>
        <c:varyColors val="0"/>
        <c:ser>
          <c:idx val="4"/>
          <c:order val="0"/>
          <c:tx>
            <c:v>0.2 Percent Annual Chance</c:v>
          </c:tx>
          <c:spPr>
            <a:ln>
              <a:solidFill>
                <a:schemeClr val="accent2"/>
              </a:solidFill>
            </a:ln>
          </c:spPr>
          <c:marker>
            <c:symbol val="none"/>
          </c:marker>
          <c:xVal>
            <c:numRef>
              <c:f>'Hydrograph (2)'!$A$3:$A$279</c:f>
              <c:numCache>
                <c:formatCode>0.00</c:formatCode>
                <c:ptCount val="277"/>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pt idx="101">
                  <c:v>101</c:v>
                </c:pt>
                <c:pt idx="102">
                  <c:v>102</c:v>
                </c:pt>
                <c:pt idx="103">
                  <c:v>103</c:v>
                </c:pt>
                <c:pt idx="104">
                  <c:v>104</c:v>
                </c:pt>
                <c:pt idx="105">
                  <c:v>105</c:v>
                </c:pt>
                <c:pt idx="106">
                  <c:v>106</c:v>
                </c:pt>
                <c:pt idx="107">
                  <c:v>107</c:v>
                </c:pt>
                <c:pt idx="108">
                  <c:v>108</c:v>
                </c:pt>
                <c:pt idx="109">
                  <c:v>109</c:v>
                </c:pt>
                <c:pt idx="110">
                  <c:v>110</c:v>
                </c:pt>
                <c:pt idx="111">
                  <c:v>111</c:v>
                </c:pt>
                <c:pt idx="112">
                  <c:v>112</c:v>
                </c:pt>
                <c:pt idx="113">
                  <c:v>113</c:v>
                </c:pt>
                <c:pt idx="114">
                  <c:v>114</c:v>
                </c:pt>
                <c:pt idx="115">
                  <c:v>115</c:v>
                </c:pt>
                <c:pt idx="116">
                  <c:v>116</c:v>
                </c:pt>
                <c:pt idx="117">
                  <c:v>117</c:v>
                </c:pt>
                <c:pt idx="118">
                  <c:v>118</c:v>
                </c:pt>
                <c:pt idx="119">
                  <c:v>119</c:v>
                </c:pt>
                <c:pt idx="120">
                  <c:v>120</c:v>
                </c:pt>
                <c:pt idx="121">
                  <c:v>121</c:v>
                </c:pt>
                <c:pt idx="122">
                  <c:v>122</c:v>
                </c:pt>
                <c:pt idx="123">
                  <c:v>123</c:v>
                </c:pt>
                <c:pt idx="124">
                  <c:v>124</c:v>
                </c:pt>
                <c:pt idx="125">
                  <c:v>125</c:v>
                </c:pt>
                <c:pt idx="126">
                  <c:v>126</c:v>
                </c:pt>
                <c:pt idx="127">
                  <c:v>127</c:v>
                </c:pt>
                <c:pt idx="128">
                  <c:v>128</c:v>
                </c:pt>
                <c:pt idx="129">
                  <c:v>129</c:v>
                </c:pt>
                <c:pt idx="130">
                  <c:v>130</c:v>
                </c:pt>
                <c:pt idx="131">
                  <c:v>131</c:v>
                </c:pt>
                <c:pt idx="132">
                  <c:v>132</c:v>
                </c:pt>
                <c:pt idx="133">
                  <c:v>133</c:v>
                </c:pt>
                <c:pt idx="134">
                  <c:v>134</c:v>
                </c:pt>
                <c:pt idx="135">
                  <c:v>135</c:v>
                </c:pt>
                <c:pt idx="136">
                  <c:v>136</c:v>
                </c:pt>
                <c:pt idx="137">
                  <c:v>137</c:v>
                </c:pt>
                <c:pt idx="138">
                  <c:v>138</c:v>
                </c:pt>
                <c:pt idx="139">
                  <c:v>139</c:v>
                </c:pt>
                <c:pt idx="140">
                  <c:v>140</c:v>
                </c:pt>
                <c:pt idx="141">
                  <c:v>141</c:v>
                </c:pt>
                <c:pt idx="142">
                  <c:v>142</c:v>
                </c:pt>
                <c:pt idx="143">
                  <c:v>143</c:v>
                </c:pt>
                <c:pt idx="144">
                  <c:v>144</c:v>
                </c:pt>
                <c:pt idx="145">
                  <c:v>145</c:v>
                </c:pt>
                <c:pt idx="146">
                  <c:v>146</c:v>
                </c:pt>
                <c:pt idx="147">
                  <c:v>147</c:v>
                </c:pt>
                <c:pt idx="148">
                  <c:v>148</c:v>
                </c:pt>
                <c:pt idx="149">
                  <c:v>149</c:v>
                </c:pt>
                <c:pt idx="150">
                  <c:v>150</c:v>
                </c:pt>
                <c:pt idx="151">
                  <c:v>151</c:v>
                </c:pt>
                <c:pt idx="152">
                  <c:v>152</c:v>
                </c:pt>
                <c:pt idx="153">
                  <c:v>153</c:v>
                </c:pt>
                <c:pt idx="154">
                  <c:v>154</c:v>
                </c:pt>
                <c:pt idx="155">
                  <c:v>155</c:v>
                </c:pt>
                <c:pt idx="156">
                  <c:v>156</c:v>
                </c:pt>
                <c:pt idx="157">
                  <c:v>157</c:v>
                </c:pt>
                <c:pt idx="158">
                  <c:v>158</c:v>
                </c:pt>
                <c:pt idx="159">
                  <c:v>159</c:v>
                </c:pt>
                <c:pt idx="160">
                  <c:v>160</c:v>
                </c:pt>
                <c:pt idx="161">
                  <c:v>161</c:v>
                </c:pt>
                <c:pt idx="162">
                  <c:v>162</c:v>
                </c:pt>
                <c:pt idx="163">
                  <c:v>163</c:v>
                </c:pt>
                <c:pt idx="164">
                  <c:v>164</c:v>
                </c:pt>
                <c:pt idx="165">
                  <c:v>165</c:v>
                </c:pt>
                <c:pt idx="166">
                  <c:v>166</c:v>
                </c:pt>
                <c:pt idx="167">
                  <c:v>167</c:v>
                </c:pt>
                <c:pt idx="168">
                  <c:v>168</c:v>
                </c:pt>
                <c:pt idx="169">
                  <c:v>169</c:v>
                </c:pt>
                <c:pt idx="170">
                  <c:v>170</c:v>
                </c:pt>
                <c:pt idx="171">
                  <c:v>171</c:v>
                </c:pt>
                <c:pt idx="172">
                  <c:v>172</c:v>
                </c:pt>
                <c:pt idx="173">
                  <c:v>173</c:v>
                </c:pt>
                <c:pt idx="174">
                  <c:v>174</c:v>
                </c:pt>
                <c:pt idx="175">
                  <c:v>175</c:v>
                </c:pt>
                <c:pt idx="176">
                  <c:v>176</c:v>
                </c:pt>
                <c:pt idx="177">
                  <c:v>177</c:v>
                </c:pt>
                <c:pt idx="178">
                  <c:v>178</c:v>
                </c:pt>
                <c:pt idx="179">
                  <c:v>179</c:v>
                </c:pt>
                <c:pt idx="180">
                  <c:v>180</c:v>
                </c:pt>
                <c:pt idx="181">
                  <c:v>181</c:v>
                </c:pt>
                <c:pt idx="182">
                  <c:v>182</c:v>
                </c:pt>
                <c:pt idx="183">
                  <c:v>183</c:v>
                </c:pt>
                <c:pt idx="184">
                  <c:v>184</c:v>
                </c:pt>
                <c:pt idx="185">
                  <c:v>185</c:v>
                </c:pt>
                <c:pt idx="186">
                  <c:v>186</c:v>
                </c:pt>
                <c:pt idx="187">
                  <c:v>187</c:v>
                </c:pt>
                <c:pt idx="188">
                  <c:v>188</c:v>
                </c:pt>
                <c:pt idx="189">
                  <c:v>189</c:v>
                </c:pt>
                <c:pt idx="190">
                  <c:v>190</c:v>
                </c:pt>
                <c:pt idx="191">
                  <c:v>191</c:v>
                </c:pt>
                <c:pt idx="192">
                  <c:v>192</c:v>
                </c:pt>
              </c:numCache>
            </c:numRef>
          </c:xVal>
          <c:yVal>
            <c:numRef>
              <c:f>'Hydrograph (2)'!$F$3:$F$279</c:f>
              <c:numCache>
                <c:formatCode>General</c:formatCode>
                <c:ptCount val="277"/>
                <c:pt idx="0">
                  <c:v>0</c:v>
                </c:pt>
                <c:pt idx="1">
                  <c:v>0</c:v>
                </c:pt>
                <c:pt idx="2">
                  <c:v>0</c:v>
                </c:pt>
                <c:pt idx="3">
                  <c:v>0</c:v>
                </c:pt>
                <c:pt idx="4">
                  <c:v>0</c:v>
                </c:pt>
                <c:pt idx="5">
                  <c:v>0</c:v>
                </c:pt>
                <c:pt idx="6">
                  <c:v>0</c:v>
                </c:pt>
                <c:pt idx="7">
                  <c:v>0.03</c:v>
                </c:pt>
                <c:pt idx="8">
                  <c:v>0.54</c:v>
                </c:pt>
                <c:pt idx="9">
                  <c:v>1.55</c:v>
                </c:pt>
                <c:pt idx="10">
                  <c:v>19.100000000000001</c:v>
                </c:pt>
                <c:pt idx="11">
                  <c:v>81.96</c:v>
                </c:pt>
                <c:pt idx="12">
                  <c:v>460.21</c:v>
                </c:pt>
                <c:pt idx="13">
                  <c:v>3189.41</c:v>
                </c:pt>
                <c:pt idx="14">
                  <c:v>4764.53</c:v>
                </c:pt>
                <c:pt idx="15">
                  <c:v>5489.84</c:v>
                </c:pt>
                <c:pt idx="16">
                  <c:v>5786.6</c:v>
                </c:pt>
                <c:pt idx="17">
                  <c:v>5707.2</c:v>
                </c:pt>
                <c:pt idx="18">
                  <c:v>5143.84</c:v>
                </c:pt>
                <c:pt idx="19">
                  <c:v>4419.6899999999996</c:v>
                </c:pt>
                <c:pt idx="20">
                  <c:v>3743.34</c:v>
                </c:pt>
                <c:pt idx="21">
                  <c:v>3190.06</c:v>
                </c:pt>
                <c:pt idx="22">
                  <c:v>2750.76</c:v>
                </c:pt>
                <c:pt idx="23">
                  <c:v>2408.0300000000002</c:v>
                </c:pt>
                <c:pt idx="24">
                  <c:v>2138.59</c:v>
                </c:pt>
                <c:pt idx="25">
                  <c:v>1889.79</c:v>
                </c:pt>
                <c:pt idx="26">
                  <c:v>1669.66</c:v>
                </c:pt>
                <c:pt idx="27">
                  <c:v>1476.48</c:v>
                </c:pt>
                <c:pt idx="28">
                  <c:v>1308.26</c:v>
                </c:pt>
                <c:pt idx="29">
                  <c:v>1169.03</c:v>
                </c:pt>
                <c:pt idx="30">
                  <c:v>1054.32</c:v>
                </c:pt>
                <c:pt idx="31">
                  <c:v>956.73</c:v>
                </c:pt>
                <c:pt idx="32">
                  <c:v>866.49</c:v>
                </c:pt>
                <c:pt idx="33">
                  <c:v>779.74</c:v>
                </c:pt>
                <c:pt idx="34">
                  <c:v>700.65</c:v>
                </c:pt>
                <c:pt idx="35">
                  <c:v>629.41999999999996</c:v>
                </c:pt>
                <c:pt idx="36">
                  <c:v>567.27</c:v>
                </c:pt>
                <c:pt idx="37">
                  <c:v>512.52</c:v>
                </c:pt>
                <c:pt idx="38">
                  <c:v>463.73</c:v>
                </c:pt>
                <c:pt idx="39">
                  <c:v>419.88</c:v>
                </c:pt>
                <c:pt idx="40">
                  <c:v>380.99</c:v>
                </c:pt>
                <c:pt idx="41">
                  <c:v>345.81</c:v>
                </c:pt>
                <c:pt idx="42">
                  <c:v>315.14999999999998</c:v>
                </c:pt>
                <c:pt idx="43">
                  <c:v>288.14</c:v>
                </c:pt>
                <c:pt idx="44">
                  <c:v>263.64</c:v>
                </c:pt>
                <c:pt idx="45">
                  <c:v>241.55</c:v>
                </c:pt>
                <c:pt idx="46">
                  <c:v>221.66</c:v>
                </c:pt>
                <c:pt idx="47">
                  <c:v>203.88</c:v>
                </c:pt>
                <c:pt idx="48">
                  <c:v>187.69</c:v>
                </c:pt>
                <c:pt idx="49">
                  <c:v>173.31</c:v>
                </c:pt>
                <c:pt idx="50">
                  <c:v>160.66</c:v>
                </c:pt>
                <c:pt idx="51">
                  <c:v>149.34</c:v>
                </c:pt>
                <c:pt idx="52">
                  <c:v>139.33000000000001</c:v>
                </c:pt>
                <c:pt idx="53">
                  <c:v>130.36000000000001</c:v>
                </c:pt>
                <c:pt idx="54">
                  <c:v>121.84</c:v>
                </c:pt>
                <c:pt idx="55">
                  <c:v>113.97</c:v>
                </c:pt>
                <c:pt idx="56">
                  <c:v>106.98</c:v>
                </c:pt>
                <c:pt idx="57">
                  <c:v>100.69</c:v>
                </c:pt>
                <c:pt idx="58">
                  <c:v>95.06</c:v>
                </c:pt>
                <c:pt idx="59">
                  <c:v>90.09</c:v>
                </c:pt>
                <c:pt idx="60">
                  <c:v>85.44</c:v>
                </c:pt>
                <c:pt idx="61">
                  <c:v>81.27</c:v>
                </c:pt>
                <c:pt idx="62">
                  <c:v>77.569999999999993</c:v>
                </c:pt>
                <c:pt idx="63">
                  <c:v>74.17</c:v>
                </c:pt>
                <c:pt idx="64">
                  <c:v>70.98</c:v>
                </c:pt>
                <c:pt idx="65">
                  <c:v>67.78</c:v>
                </c:pt>
                <c:pt idx="66">
                  <c:v>64.97</c:v>
                </c:pt>
                <c:pt idx="67">
                  <c:v>62.43</c:v>
                </c:pt>
                <c:pt idx="68">
                  <c:v>59.96</c:v>
                </c:pt>
                <c:pt idx="69">
                  <c:v>57.7</c:v>
                </c:pt>
                <c:pt idx="70">
                  <c:v>55.6</c:v>
                </c:pt>
                <c:pt idx="71">
                  <c:v>53.64</c:v>
                </c:pt>
                <c:pt idx="72">
                  <c:v>51.8</c:v>
                </c:pt>
                <c:pt idx="73">
                  <c:v>50.12</c:v>
                </c:pt>
                <c:pt idx="74">
                  <c:v>48.42</c:v>
                </c:pt>
                <c:pt idx="75">
                  <c:v>46.86</c:v>
                </c:pt>
                <c:pt idx="76">
                  <c:v>45.35</c:v>
                </c:pt>
                <c:pt idx="77">
                  <c:v>43.92</c:v>
                </c:pt>
                <c:pt idx="78">
                  <c:v>42.53</c:v>
                </c:pt>
                <c:pt idx="79">
                  <c:v>41.31</c:v>
                </c:pt>
                <c:pt idx="80">
                  <c:v>40.07</c:v>
                </c:pt>
                <c:pt idx="81">
                  <c:v>38.94</c:v>
                </c:pt>
                <c:pt idx="82">
                  <c:v>37.83</c:v>
                </c:pt>
                <c:pt idx="83">
                  <c:v>36.76</c:v>
                </c:pt>
                <c:pt idx="84">
                  <c:v>35.74</c:v>
                </c:pt>
                <c:pt idx="85">
                  <c:v>34.85</c:v>
                </c:pt>
                <c:pt idx="86">
                  <c:v>33.880000000000003</c:v>
                </c:pt>
                <c:pt idx="87">
                  <c:v>32.94</c:v>
                </c:pt>
                <c:pt idx="88">
                  <c:v>32.08</c:v>
                </c:pt>
                <c:pt idx="89">
                  <c:v>31.25</c:v>
                </c:pt>
                <c:pt idx="90">
                  <c:v>30.48</c:v>
                </c:pt>
                <c:pt idx="91">
                  <c:v>29.76</c:v>
                </c:pt>
                <c:pt idx="92">
                  <c:v>29.02</c:v>
                </c:pt>
                <c:pt idx="93">
                  <c:v>28.4</c:v>
                </c:pt>
                <c:pt idx="94">
                  <c:v>27.74</c:v>
                </c:pt>
                <c:pt idx="95">
                  <c:v>27.09</c:v>
                </c:pt>
                <c:pt idx="96">
                  <c:v>26.48</c:v>
                </c:pt>
                <c:pt idx="97">
                  <c:v>25.9</c:v>
                </c:pt>
                <c:pt idx="98">
                  <c:v>25.35</c:v>
                </c:pt>
                <c:pt idx="99">
                  <c:v>24.82</c:v>
                </c:pt>
                <c:pt idx="100">
                  <c:v>24.33</c:v>
                </c:pt>
                <c:pt idx="101">
                  <c:v>23.85</c:v>
                </c:pt>
                <c:pt idx="102">
                  <c:v>23.39</c:v>
                </c:pt>
                <c:pt idx="103">
                  <c:v>22.95</c:v>
                </c:pt>
                <c:pt idx="104">
                  <c:v>22.56</c:v>
                </c:pt>
                <c:pt idx="105">
                  <c:v>22.18</c:v>
                </c:pt>
                <c:pt idx="106">
                  <c:v>21.78</c:v>
                </c:pt>
                <c:pt idx="107">
                  <c:v>21.41</c:v>
                </c:pt>
                <c:pt idx="108">
                  <c:v>21.06</c:v>
                </c:pt>
                <c:pt idx="109">
                  <c:v>20.72</c:v>
                </c:pt>
                <c:pt idx="110">
                  <c:v>20.399999999999999</c:v>
                </c:pt>
                <c:pt idx="111">
                  <c:v>20.07</c:v>
                </c:pt>
                <c:pt idx="112">
                  <c:v>19.75</c:v>
                </c:pt>
                <c:pt idx="113">
                  <c:v>19.46</c:v>
                </c:pt>
                <c:pt idx="114">
                  <c:v>19.2</c:v>
                </c:pt>
                <c:pt idx="115">
                  <c:v>18.89</c:v>
                </c:pt>
                <c:pt idx="116">
                  <c:v>18.600000000000001</c:v>
                </c:pt>
                <c:pt idx="117">
                  <c:v>18.329999999999998</c:v>
                </c:pt>
                <c:pt idx="118">
                  <c:v>18.07</c:v>
                </c:pt>
                <c:pt idx="119">
                  <c:v>17.82</c:v>
                </c:pt>
                <c:pt idx="120">
                  <c:v>17.579999999999998</c:v>
                </c:pt>
                <c:pt idx="121">
                  <c:v>17.34</c:v>
                </c:pt>
                <c:pt idx="122">
                  <c:v>17.09</c:v>
                </c:pt>
                <c:pt idx="123">
                  <c:v>16.829999999999998</c:v>
                </c:pt>
                <c:pt idx="124">
                  <c:v>16.59</c:v>
                </c:pt>
                <c:pt idx="125">
                  <c:v>16.350000000000001</c:v>
                </c:pt>
                <c:pt idx="126">
                  <c:v>16.11</c:v>
                </c:pt>
                <c:pt idx="127">
                  <c:v>15.88</c:v>
                </c:pt>
                <c:pt idx="128">
                  <c:v>15.65</c:v>
                </c:pt>
                <c:pt idx="129">
                  <c:v>15.43</c:v>
                </c:pt>
                <c:pt idx="130">
                  <c:v>15.22</c:v>
                </c:pt>
                <c:pt idx="131">
                  <c:v>15.01</c:v>
                </c:pt>
                <c:pt idx="132">
                  <c:v>14.8</c:v>
                </c:pt>
                <c:pt idx="133">
                  <c:v>14.6</c:v>
                </c:pt>
                <c:pt idx="134">
                  <c:v>14.4</c:v>
                </c:pt>
                <c:pt idx="135">
                  <c:v>14.21</c:v>
                </c:pt>
                <c:pt idx="136">
                  <c:v>14.02</c:v>
                </c:pt>
                <c:pt idx="137">
                  <c:v>13.84</c:v>
                </c:pt>
                <c:pt idx="138">
                  <c:v>13.66</c:v>
                </c:pt>
                <c:pt idx="139">
                  <c:v>13.49</c:v>
                </c:pt>
                <c:pt idx="140">
                  <c:v>13.32</c:v>
                </c:pt>
                <c:pt idx="141">
                  <c:v>13.16</c:v>
                </c:pt>
                <c:pt idx="142">
                  <c:v>13</c:v>
                </c:pt>
                <c:pt idx="143">
                  <c:v>12.84</c:v>
                </c:pt>
                <c:pt idx="144">
                  <c:v>12.69</c:v>
                </c:pt>
                <c:pt idx="145">
                  <c:v>12.54</c:v>
                </c:pt>
                <c:pt idx="146">
                  <c:v>12.4</c:v>
                </c:pt>
                <c:pt idx="147">
                  <c:v>12.26</c:v>
                </c:pt>
                <c:pt idx="148">
                  <c:v>12.12</c:v>
                </c:pt>
                <c:pt idx="149">
                  <c:v>12</c:v>
                </c:pt>
                <c:pt idx="150">
                  <c:v>11.87</c:v>
                </c:pt>
                <c:pt idx="151">
                  <c:v>11.75</c:v>
                </c:pt>
                <c:pt idx="152">
                  <c:v>11.62</c:v>
                </c:pt>
                <c:pt idx="153">
                  <c:v>11.49</c:v>
                </c:pt>
                <c:pt idx="154">
                  <c:v>11.38</c:v>
                </c:pt>
                <c:pt idx="155">
                  <c:v>11.26</c:v>
                </c:pt>
                <c:pt idx="156">
                  <c:v>11.14</c:v>
                </c:pt>
                <c:pt idx="157">
                  <c:v>11.01</c:v>
                </c:pt>
                <c:pt idx="158">
                  <c:v>10.88</c:v>
                </c:pt>
                <c:pt idx="159">
                  <c:v>10.77</c:v>
                </c:pt>
                <c:pt idx="160">
                  <c:v>10.65</c:v>
                </c:pt>
                <c:pt idx="161">
                  <c:v>10.54</c:v>
                </c:pt>
                <c:pt idx="162">
                  <c:v>10.44</c:v>
                </c:pt>
                <c:pt idx="163">
                  <c:v>10.33</c:v>
                </c:pt>
                <c:pt idx="164">
                  <c:v>10.23</c:v>
                </c:pt>
                <c:pt idx="165">
                  <c:v>10.130000000000001</c:v>
                </c:pt>
                <c:pt idx="166">
                  <c:v>10.029999999999999</c:v>
                </c:pt>
                <c:pt idx="167">
                  <c:v>9.94</c:v>
                </c:pt>
                <c:pt idx="168">
                  <c:v>9.85</c:v>
                </c:pt>
                <c:pt idx="169">
                  <c:v>9446.8799999999992</c:v>
                </c:pt>
                <c:pt idx="170">
                  <c:v>9393.75</c:v>
                </c:pt>
                <c:pt idx="171">
                  <c:v>9340.6299999999992</c:v>
                </c:pt>
                <c:pt idx="172">
                  <c:v>9287.5</c:v>
                </c:pt>
                <c:pt idx="173">
                  <c:v>9234.3799999999992</c:v>
                </c:pt>
                <c:pt idx="174">
                  <c:v>9181.25</c:v>
                </c:pt>
                <c:pt idx="175">
                  <c:v>9128.1299999999992</c:v>
                </c:pt>
                <c:pt idx="176">
                  <c:v>9075</c:v>
                </c:pt>
                <c:pt idx="177">
                  <c:v>9021.8799999999992</c:v>
                </c:pt>
                <c:pt idx="178">
                  <c:v>8968.75</c:v>
                </c:pt>
                <c:pt idx="179">
                  <c:v>8915.6299999999992</c:v>
                </c:pt>
                <c:pt idx="180">
                  <c:v>8862.5</c:v>
                </c:pt>
                <c:pt idx="181">
                  <c:v>8809.3799999999992</c:v>
                </c:pt>
                <c:pt idx="182">
                  <c:v>8756.25</c:v>
                </c:pt>
                <c:pt idx="183">
                  <c:v>8703.1299999999992</c:v>
                </c:pt>
                <c:pt idx="184">
                  <c:v>8650</c:v>
                </c:pt>
                <c:pt idx="185">
                  <c:v>8596.8799999999992</c:v>
                </c:pt>
                <c:pt idx="186">
                  <c:v>8543.75</c:v>
                </c:pt>
                <c:pt idx="187">
                  <c:v>8490.6299999999992</c:v>
                </c:pt>
                <c:pt idx="188">
                  <c:v>8437.5</c:v>
                </c:pt>
                <c:pt idx="189">
                  <c:v>8384.3799999999992</c:v>
                </c:pt>
                <c:pt idx="190">
                  <c:v>8331.25</c:v>
                </c:pt>
                <c:pt idx="191">
                  <c:v>8278.1299999999992</c:v>
                </c:pt>
                <c:pt idx="192">
                  <c:v>8225</c:v>
                </c:pt>
              </c:numCache>
            </c:numRef>
          </c:yVal>
          <c:smooth val="1"/>
          <c:extLst xmlns:c16r2="http://schemas.microsoft.com/office/drawing/2015/06/chart">
            <c:ext xmlns:c16="http://schemas.microsoft.com/office/drawing/2014/chart" uri="{C3380CC4-5D6E-409C-BE32-E72D297353CC}">
              <c16:uniqueId val="{00000000-E3D3-4C69-8E12-7F78CE2323E9}"/>
            </c:ext>
          </c:extLst>
        </c:ser>
        <c:ser>
          <c:idx val="3"/>
          <c:order val="1"/>
          <c:tx>
            <c:v>1 Percent Annual Chance</c:v>
          </c:tx>
          <c:spPr>
            <a:ln>
              <a:solidFill>
                <a:schemeClr val="tx1"/>
              </a:solidFill>
            </a:ln>
          </c:spPr>
          <c:marker>
            <c:symbol val="none"/>
          </c:marker>
          <c:xVal>
            <c:numRef>
              <c:f>'Hydrograph (2)'!$A$3:$A$279</c:f>
              <c:numCache>
                <c:formatCode>0.00</c:formatCode>
                <c:ptCount val="277"/>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pt idx="101">
                  <c:v>101</c:v>
                </c:pt>
                <c:pt idx="102">
                  <c:v>102</c:v>
                </c:pt>
                <c:pt idx="103">
                  <c:v>103</c:v>
                </c:pt>
                <c:pt idx="104">
                  <c:v>104</c:v>
                </c:pt>
                <c:pt idx="105">
                  <c:v>105</c:v>
                </c:pt>
                <c:pt idx="106">
                  <c:v>106</c:v>
                </c:pt>
                <c:pt idx="107">
                  <c:v>107</c:v>
                </c:pt>
                <c:pt idx="108">
                  <c:v>108</c:v>
                </c:pt>
                <c:pt idx="109">
                  <c:v>109</c:v>
                </c:pt>
                <c:pt idx="110">
                  <c:v>110</c:v>
                </c:pt>
                <c:pt idx="111">
                  <c:v>111</c:v>
                </c:pt>
                <c:pt idx="112">
                  <c:v>112</c:v>
                </c:pt>
                <c:pt idx="113">
                  <c:v>113</c:v>
                </c:pt>
                <c:pt idx="114">
                  <c:v>114</c:v>
                </c:pt>
                <c:pt idx="115">
                  <c:v>115</c:v>
                </c:pt>
                <c:pt idx="116">
                  <c:v>116</c:v>
                </c:pt>
                <c:pt idx="117">
                  <c:v>117</c:v>
                </c:pt>
                <c:pt idx="118">
                  <c:v>118</c:v>
                </c:pt>
                <c:pt idx="119">
                  <c:v>119</c:v>
                </c:pt>
                <c:pt idx="120">
                  <c:v>120</c:v>
                </c:pt>
                <c:pt idx="121">
                  <c:v>121</c:v>
                </c:pt>
                <c:pt idx="122">
                  <c:v>122</c:v>
                </c:pt>
                <c:pt idx="123">
                  <c:v>123</c:v>
                </c:pt>
                <c:pt idx="124">
                  <c:v>124</c:v>
                </c:pt>
                <c:pt idx="125">
                  <c:v>125</c:v>
                </c:pt>
                <c:pt idx="126">
                  <c:v>126</c:v>
                </c:pt>
                <c:pt idx="127">
                  <c:v>127</c:v>
                </c:pt>
                <c:pt idx="128">
                  <c:v>128</c:v>
                </c:pt>
                <c:pt idx="129">
                  <c:v>129</c:v>
                </c:pt>
                <c:pt idx="130">
                  <c:v>130</c:v>
                </c:pt>
                <c:pt idx="131">
                  <c:v>131</c:v>
                </c:pt>
                <c:pt idx="132">
                  <c:v>132</c:v>
                </c:pt>
                <c:pt idx="133">
                  <c:v>133</c:v>
                </c:pt>
                <c:pt idx="134">
                  <c:v>134</c:v>
                </c:pt>
                <c:pt idx="135">
                  <c:v>135</c:v>
                </c:pt>
                <c:pt idx="136">
                  <c:v>136</c:v>
                </c:pt>
                <c:pt idx="137">
                  <c:v>137</c:v>
                </c:pt>
                <c:pt idx="138">
                  <c:v>138</c:v>
                </c:pt>
                <c:pt idx="139">
                  <c:v>139</c:v>
                </c:pt>
                <c:pt idx="140">
                  <c:v>140</c:v>
                </c:pt>
                <c:pt idx="141">
                  <c:v>141</c:v>
                </c:pt>
                <c:pt idx="142">
                  <c:v>142</c:v>
                </c:pt>
                <c:pt idx="143">
                  <c:v>143</c:v>
                </c:pt>
                <c:pt idx="144">
                  <c:v>144</c:v>
                </c:pt>
                <c:pt idx="145">
                  <c:v>145</c:v>
                </c:pt>
                <c:pt idx="146">
                  <c:v>146</c:v>
                </c:pt>
                <c:pt idx="147">
                  <c:v>147</c:v>
                </c:pt>
                <c:pt idx="148">
                  <c:v>148</c:v>
                </c:pt>
                <c:pt idx="149">
                  <c:v>149</c:v>
                </c:pt>
                <c:pt idx="150">
                  <c:v>150</c:v>
                </c:pt>
                <c:pt idx="151">
                  <c:v>151</c:v>
                </c:pt>
                <c:pt idx="152">
                  <c:v>152</c:v>
                </c:pt>
                <c:pt idx="153">
                  <c:v>153</c:v>
                </c:pt>
                <c:pt idx="154">
                  <c:v>154</c:v>
                </c:pt>
                <c:pt idx="155">
                  <c:v>155</c:v>
                </c:pt>
                <c:pt idx="156">
                  <c:v>156</c:v>
                </c:pt>
                <c:pt idx="157">
                  <c:v>157</c:v>
                </c:pt>
                <c:pt idx="158">
                  <c:v>158</c:v>
                </c:pt>
                <c:pt idx="159">
                  <c:v>159</c:v>
                </c:pt>
                <c:pt idx="160">
                  <c:v>160</c:v>
                </c:pt>
                <c:pt idx="161">
                  <c:v>161</c:v>
                </c:pt>
                <c:pt idx="162">
                  <c:v>162</c:v>
                </c:pt>
                <c:pt idx="163">
                  <c:v>163</c:v>
                </c:pt>
                <c:pt idx="164">
                  <c:v>164</c:v>
                </c:pt>
                <c:pt idx="165">
                  <c:v>165</c:v>
                </c:pt>
                <c:pt idx="166">
                  <c:v>166</c:v>
                </c:pt>
                <c:pt idx="167">
                  <c:v>167</c:v>
                </c:pt>
                <c:pt idx="168">
                  <c:v>168</c:v>
                </c:pt>
                <c:pt idx="169">
                  <c:v>169</c:v>
                </c:pt>
                <c:pt idx="170">
                  <c:v>170</c:v>
                </c:pt>
                <c:pt idx="171">
                  <c:v>171</c:v>
                </c:pt>
                <c:pt idx="172">
                  <c:v>172</c:v>
                </c:pt>
                <c:pt idx="173">
                  <c:v>173</c:v>
                </c:pt>
                <c:pt idx="174">
                  <c:v>174</c:v>
                </c:pt>
                <c:pt idx="175">
                  <c:v>175</c:v>
                </c:pt>
                <c:pt idx="176">
                  <c:v>176</c:v>
                </c:pt>
                <c:pt idx="177">
                  <c:v>177</c:v>
                </c:pt>
                <c:pt idx="178">
                  <c:v>178</c:v>
                </c:pt>
                <c:pt idx="179">
                  <c:v>179</c:v>
                </c:pt>
                <c:pt idx="180">
                  <c:v>180</c:v>
                </c:pt>
                <c:pt idx="181">
                  <c:v>181</c:v>
                </c:pt>
                <c:pt idx="182">
                  <c:v>182</c:v>
                </c:pt>
                <c:pt idx="183">
                  <c:v>183</c:v>
                </c:pt>
                <c:pt idx="184">
                  <c:v>184</c:v>
                </c:pt>
                <c:pt idx="185">
                  <c:v>185</c:v>
                </c:pt>
                <c:pt idx="186">
                  <c:v>186</c:v>
                </c:pt>
                <c:pt idx="187">
                  <c:v>187</c:v>
                </c:pt>
                <c:pt idx="188">
                  <c:v>188</c:v>
                </c:pt>
                <c:pt idx="189">
                  <c:v>189</c:v>
                </c:pt>
                <c:pt idx="190">
                  <c:v>190</c:v>
                </c:pt>
                <c:pt idx="191">
                  <c:v>191</c:v>
                </c:pt>
                <c:pt idx="192">
                  <c:v>192</c:v>
                </c:pt>
              </c:numCache>
            </c:numRef>
          </c:xVal>
          <c:yVal>
            <c:numRef>
              <c:f>'Hydrograph (2)'!$E$3:$E$279</c:f>
              <c:numCache>
                <c:formatCode>General</c:formatCode>
                <c:ptCount val="277"/>
                <c:pt idx="0">
                  <c:v>0</c:v>
                </c:pt>
                <c:pt idx="1">
                  <c:v>0</c:v>
                </c:pt>
                <c:pt idx="2">
                  <c:v>0</c:v>
                </c:pt>
                <c:pt idx="3">
                  <c:v>0</c:v>
                </c:pt>
                <c:pt idx="4">
                  <c:v>0</c:v>
                </c:pt>
                <c:pt idx="5">
                  <c:v>0</c:v>
                </c:pt>
                <c:pt idx="6">
                  <c:v>0</c:v>
                </c:pt>
                <c:pt idx="7">
                  <c:v>0</c:v>
                </c:pt>
                <c:pt idx="8">
                  <c:v>0.06</c:v>
                </c:pt>
                <c:pt idx="9">
                  <c:v>1.0900000000000001</c:v>
                </c:pt>
                <c:pt idx="10">
                  <c:v>1.65</c:v>
                </c:pt>
                <c:pt idx="11">
                  <c:v>18.989999999999998</c:v>
                </c:pt>
                <c:pt idx="12">
                  <c:v>192.21</c:v>
                </c:pt>
                <c:pt idx="13">
                  <c:v>1352.15</c:v>
                </c:pt>
                <c:pt idx="14">
                  <c:v>2196.25</c:v>
                </c:pt>
                <c:pt idx="15">
                  <c:v>2618.11</c:v>
                </c:pt>
                <c:pt idx="16">
                  <c:v>2683.56</c:v>
                </c:pt>
                <c:pt idx="17">
                  <c:v>2716.7</c:v>
                </c:pt>
                <c:pt idx="18">
                  <c:v>2793.35</c:v>
                </c:pt>
                <c:pt idx="19">
                  <c:v>2730.42</c:v>
                </c:pt>
                <c:pt idx="20">
                  <c:v>2565.9699999999998</c:v>
                </c:pt>
                <c:pt idx="21">
                  <c:v>2357</c:v>
                </c:pt>
                <c:pt idx="22">
                  <c:v>2137.08</c:v>
                </c:pt>
                <c:pt idx="23">
                  <c:v>1929.71</c:v>
                </c:pt>
                <c:pt idx="24">
                  <c:v>1740.2</c:v>
                </c:pt>
                <c:pt idx="25">
                  <c:v>1543.01</c:v>
                </c:pt>
                <c:pt idx="26">
                  <c:v>1359.6</c:v>
                </c:pt>
                <c:pt idx="27">
                  <c:v>1196.78</c:v>
                </c:pt>
                <c:pt idx="28">
                  <c:v>1052.5</c:v>
                </c:pt>
                <c:pt idx="29">
                  <c:v>923.21</c:v>
                </c:pt>
                <c:pt idx="30">
                  <c:v>812.12</c:v>
                </c:pt>
                <c:pt idx="31">
                  <c:v>711.28</c:v>
                </c:pt>
                <c:pt idx="32">
                  <c:v>624.91999999999996</c:v>
                </c:pt>
                <c:pt idx="33">
                  <c:v>552.35</c:v>
                </c:pt>
                <c:pt idx="34">
                  <c:v>489.68</c:v>
                </c:pt>
                <c:pt idx="35">
                  <c:v>435.86</c:v>
                </c:pt>
                <c:pt idx="36">
                  <c:v>388.72</c:v>
                </c:pt>
                <c:pt idx="37">
                  <c:v>348.34</c:v>
                </c:pt>
                <c:pt idx="38">
                  <c:v>311.77999999999997</c:v>
                </c:pt>
                <c:pt idx="39">
                  <c:v>279.32</c:v>
                </c:pt>
                <c:pt idx="40">
                  <c:v>251.19</c:v>
                </c:pt>
                <c:pt idx="41">
                  <c:v>226.89</c:v>
                </c:pt>
                <c:pt idx="42">
                  <c:v>204.96</c:v>
                </c:pt>
                <c:pt idx="43">
                  <c:v>186.07</c:v>
                </c:pt>
                <c:pt idx="44">
                  <c:v>168.67</c:v>
                </c:pt>
                <c:pt idx="45">
                  <c:v>153.25</c:v>
                </c:pt>
                <c:pt idx="46">
                  <c:v>139.46</c:v>
                </c:pt>
                <c:pt idx="47">
                  <c:v>127.24</c:v>
                </c:pt>
                <c:pt idx="48">
                  <c:v>116.49</c:v>
                </c:pt>
                <c:pt idx="49">
                  <c:v>106.85</c:v>
                </c:pt>
                <c:pt idx="50">
                  <c:v>98.47</c:v>
                </c:pt>
                <c:pt idx="51">
                  <c:v>91.08</c:v>
                </c:pt>
                <c:pt idx="52">
                  <c:v>84.42</c:v>
                </c:pt>
                <c:pt idx="53">
                  <c:v>78.239999999999995</c:v>
                </c:pt>
                <c:pt idx="54">
                  <c:v>72.5</c:v>
                </c:pt>
                <c:pt idx="55">
                  <c:v>67.31</c:v>
                </c:pt>
                <c:pt idx="56">
                  <c:v>62.87</c:v>
                </c:pt>
                <c:pt idx="57">
                  <c:v>58.85</c:v>
                </c:pt>
                <c:pt idx="58">
                  <c:v>55.31</c:v>
                </c:pt>
                <c:pt idx="59">
                  <c:v>52.1</c:v>
                </c:pt>
                <c:pt idx="60">
                  <c:v>49.16</c:v>
                </c:pt>
                <c:pt idx="61">
                  <c:v>46.57</c:v>
                </c:pt>
                <c:pt idx="62">
                  <c:v>44.17</c:v>
                </c:pt>
                <c:pt idx="63">
                  <c:v>42.06</c:v>
                </c:pt>
                <c:pt idx="64">
                  <c:v>39.85</c:v>
                </c:pt>
                <c:pt idx="65">
                  <c:v>37.9</c:v>
                </c:pt>
                <c:pt idx="66">
                  <c:v>36.159999999999997</c:v>
                </c:pt>
                <c:pt idx="67">
                  <c:v>34.479999999999997</c:v>
                </c:pt>
                <c:pt idx="68">
                  <c:v>32.96</c:v>
                </c:pt>
                <c:pt idx="69">
                  <c:v>31.6</c:v>
                </c:pt>
                <c:pt idx="70">
                  <c:v>30.28</c:v>
                </c:pt>
                <c:pt idx="71">
                  <c:v>29.11</c:v>
                </c:pt>
                <c:pt idx="72">
                  <c:v>28.04</c:v>
                </c:pt>
                <c:pt idx="73">
                  <c:v>27.05</c:v>
                </c:pt>
                <c:pt idx="74">
                  <c:v>26.11</c:v>
                </c:pt>
                <c:pt idx="75">
                  <c:v>25.24</c:v>
                </c:pt>
                <c:pt idx="76">
                  <c:v>24.45</c:v>
                </c:pt>
                <c:pt idx="77">
                  <c:v>23.7</c:v>
                </c:pt>
                <c:pt idx="78">
                  <c:v>23.01</c:v>
                </c:pt>
                <c:pt idx="79">
                  <c:v>22.37</c:v>
                </c:pt>
                <c:pt idx="80">
                  <c:v>21.77</c:v>
                </c:pt>
                <c:pt idx="81">
                  <c:v>21.2</c:v>
                </c:pt>
                <c:pt idx="82">
                  <c:v>20.64</c:v>
                </c:pt>
                <c:pt idx="83">
                  <c:v>20.13</c:v>
                </c:pt>
                <c:pt idx="84">
                  <c:v>19.649999999999999</c:v>
                </c:pt>
                <c:pt idx="85">
                  <c:v>19.350000000000001</c:v>
                </c:pt>
                <c:pt idx="86">
                  <c:v>18.809999999999999</c:v>
                </c:pt>
                <c:pt idx="87">
                  <c:v>18.420000000000002</c:v>
                </c:pt>
                <c:pt idx="88">
                  <c:v>18.059999999999999</c:v>
                </c:pt>
                <c:pt idx="89">
                  <c:v>17.73</c:v>
                </c:pt>
                <c:pt idx="90">
                  <c:v>17.43</c:v>
                </c:pt>
                <c:pt idx="91">
                  <c:v>17.100000000000001</c:v>
                </c:pt>
                <c:pt idx="92">
                  <c:v>16.829999999999998</c:v>
                </c:pt>
                <c:pt idx="93">
                  <c:v>16.579999999999998</c:v>
                </c:pt>
                <c:pt idx="94">
                  <c:v>16.329999999999998</c:v>
                </c:pt>
                <c:pt idx="95">
                  <c:v>16.079999999999998</c:v>
                </c:pt>
                <c:pt idx="96">
                  <c:v>15.83</c:v>
                </c:pt>
                <c:pt idx="97">
                  <c:v>15.6</c:v>
                </c:pt>
                <c:pt idx="98">
                  <c:v>15.39</c:v>
                </c:pt>
                <c:pt idx="99">
                  <c:v>15.17</c:v>
                </c:pt>
                <c:pt idx="100">
                  <c:v>14.96</c:v>
                </c:pt>
                <c:pt idx="101">
                  <c:v>14.77</c:v>
                </c:pt>
                <c:pt idx="102">
                  <c:v>14.59</c:v>
                </c:pt>
                <c:pt idx="103">
                  <c:v>14.4</c:v>
                </c:pt>
                <c:pt idx="104">
                  <c:v>14.23</c:v>
                </c:pt>
                <c:pt idx="105">
                  <c:v>14.08</c:v>
                </c:pt>
                <c:pt idx="106">
                  <c:v>13.94</c:v>
                </c:pt>
                <c:pt idx="107">
                  <c:v>13.79</c:v>
                </c:pt>
                <c:pt idx="108">
                  <c:v>13.63</c:v>
                </c:pt>
                <c:pt idx="109">
                  <c:v>13.47</c:v>
                </c:pt>
                <c:pt idx="110">
                  <c:v>13.32</c:v>
                </c:pt>
                <c:pt idx="111">
                  <c:v>13.17</c:v>
                </c:pt>
                <c:pt idx="112">
                  <c:v>13.03</c:v>
                </c:pt>
                <c:pt idx="113">
                  <c:v>12.9</c:v>
                </c:pt>
                <c:pt idx="114">
                  <c:v>12.77</c:v>
                </c:pt>
                <c:pt idx="115">
                  <c:v>12.63</c:v>
                </c:pt>
                <c:pt idx="116">
                  <c:v>12.51</c:v>
                </c:pt>
                <c:pt idx="117">
                  <c:v>12.39</c:v>
                </c:pt>
                <c:pt idx="118">
                  <c:v>12.27</c:v>
                </c:pt>
                <c:pt idx="119">
                  <c:v>12.15</c:v>
                </c:pt>
                <c:pt idx="120">
                  <c:v>12.03</c:v>
                </c:pt>
                <c:pt idx="121">
                  <c:v>11.93</c:v>
                </c:pt>
                <c:pt idx="122">
                  <c:v>11.82</c:v>
                </c:pt>
                <c:pt idx="123">
                  <c:v>11.71</c:v>
                </c:pt>
                <c:pt idx="124">
                  <c:v>11.6</c:v>
                </c:pt>
                <c:pt idx="125">
                  <c:v>11.5</c:v>
                </c:pt>
                <c:pt idx="126">
                  <c:v>11.4</c:v>
                </c:pt>
                <c:pt idx="127">
                  <c:v>11.3</c:v>
                </c:pt>
                <c:pt idx="128">
                  <c:v>11.2</c:v>
                </c:pt>
                <c:pt idx="129">
                  <c:v>11.1</c:v>
                </c:pt>
                <c:pt idx="130">
                  <c:v>11.01</c:v>
                </c:pt>
                <c:pt idx="131">
                  <c:v>10.91</c:v>
                </c:pt>
                <c:pt idx="132">
                  <c:v>10.82</c:v>
                </c:pt>
                <c:pt idx="133">
                  <c:v>10.73</c:v>
                </c:pt>
                <c:pt idx="134">
                  <c:v>10.64</c:v>
                </c:pt>
                <c:pt idx="135">
                  <c:v>10.55</c:v>
                </c:pt>
                <c:pt idx="136">
                  <c:v>10.46</c:v>
                </c:pt>
                <c:pt idx="137">
                  <c:v>10.37</c:v>
                </c:pt>
                <c:pt idx="138">
                  <c:v>10.28</c:v>
                </c:pt>
                <c:pt idx="139">
                  <c:v>10.199999999999999</c:v>
                </c:pt>
                <c:pt idx="140">
                  <c:v>10.11</c:v>
                </c:pt>
                <c:pt idx="141">
                  <c:v>10.02</c:v>
                </c:pt>
                <c:pt idx="142">
                  <c:v>9.93</c:v>
                </c:pt>
                <c:pt idx="143">
                  <c:v>9.84</c:v>
                </c:pt>
                <c:pt idx="144">
                  <c:v>9.76</c:v>
                </c:pt>
                <c:pt idx="145">
                  <c:v>9.67</c:v>
                </c:pt>
                <c:pt idx="146">
                  <c:v>9.59</c:v>
                </c:pt>
                <c:pt idx="147">
                  <c:v>9.51</c:v>
                </c:pt>
                <c:pt idx="148">
                  <c:v>9.43</c:v>
                </c:pt>
                <c:pt idx="149">
                  <c:v>9.36</c:v>
                </c:pt>
                <c:pt idx="150">
                  <c:v>9.2899999999999991</c:v>
                </c:pt>
                <c:pt idx="151">
                  <c:v>9.2100000000000009</c:v>
                </c:pt>
                <c:pt idx="152">
                  <c:v>9.1300000000000008</c:v>
                </c:pt>
                <c:pt idx="153">
                  <c:v>9.06</c:v>
                </c:pt>
                <c:pt idx="154">
                  <c:v>8.99</c:v>
                </c:pt>
                <c:pt idx="155">
                  <c:v>8.91</c:v>
                </c:pt>
                <c:pt idx="156">
                  <c:v>8.83</c:v>
                </c:pt>
                <c:pt idx="157">
                  <c:v>8.76</c:v>
                </c:pt>
                <c:pt idx="158">
                  <c:v>8.68</c:v>
                </c:pt>
                <c:pt idx="159">
                  <c:v>8.61</c:v>
                </c:pt>
                <c:pt idx="160">
                  <c:v>8.5299999999999994</c:v>
                </c:pt>
                <c:pt idx="161">
                  <c:v>8.4600000000000009</c:v>
                </c:pt>
                <c:pt idx="162">
                  <c:v>8.39</c:v>
                </c:pt>
                <c:pt idx="163">
                  <c:v>8.32</c:v>
                </c:pt>
                <c:pt idx="164">
                  <c:v>8.25</c:v>
                </c:pt>
                <c:pt idx="165">
                  <c:v>8.19</c:v>
                </c:pt>
                <c:pt idx="166">
                  <c:v>8.1199999999999992</c:v>
                </c:pt>
                <c:pt idx="167">
                  <c:v>8.0500000000000007</c:v>
                </c:pt>
                <c:pt idx="168">
                  <c:v>7.99</c:v>
                </c:pt>
                <c:pt idx="169">
                  <c:v>10794.14</c:v>
                </c:pt>
                <c:pt idx="170">
                  <c:v>10777.25</c:v>
                </c:pt>
                <c:pt idx="171">
                  <c:v>10760.35</c:v>
                </c:pt>
                <c:pt idx="172">
                  <c:v>10743.45</c:v>
                </c:pt>
                <c:pt idx="173">
                  <c:v>10726.56</c:v>
                </c:pt>
                <c:pt idx="174">
                  <c:v>10709.66</c:v>
                </c:pt>
                <c:pt idx="175">
                  <c:v>10692.76</c:v>
                </c:pt>
                <c:pt idx="176">
                  <c:v>10675.87</c:v>
                </c:pt>
                <c:pt idx="177">
                  <c:v>10658.97</c:v>
                </c:pt>
                <c:pt idx="178">
                  <c:v>10642.07</c:v>
                </c:pt>
                <c:pt idx="179">
                  <c:v>10625.18</c:v>
                </c:pt>
                <c:pt idx="180">
                  <c:v>10608.28</c:v>
                </c:pt>
                <c:pt idx="181">
                  <c:v>10591.38</c:v>
                </c:pt>
                <c:pt idx="182">
                  <c:v>10574.49</c:v>
                </c:pt>
                <c:pt idx="183">
                  <c:v>10557.59</c:v>
                </c:pt>
                <c:pt idx="184">
                  <c:v>10540.69</c:v>
                </c:pt>
                <c:pt idx="185">
                  <c:v>10523.8</c:v>
                </c:pt>
                <c:pt idx="186">
                  <c:v>10506.9</c:v>
                </c:pt>
                <c:pt idx="187">
                  <c:v>10490</c:v>
                </c:pt>
                <c:pt idx="188">
                  <c:v>10473.11</c:v>
                </c:pt>
                <c:pt idx="189">
                  <c:v>10456.209999999999</c:v>
                </c:pt>
                <c:pt idx="190">
                  <c:v>10439.31</c:v>
                </c:pt>
                <c:pt idx="191">
                  <c:v>10422.42</c:v>
                </c:pt>
                <c:pt idx="192">
                  <c:v>10405.52</c:v>
                </c:pt>
              </c:numCache>
            </c:numRef>
          </c:yVal>
          <c:smooth val="1"/>
          <c:extLst xmlns:c16r2="http://schemas.microsoft.com/office/drawing/2015/06/chart">
            <c:ext xmlns:c16="http://schemas.microsoft.com/office/drawing/2014/chart" uri="{C3380CC4-5D6E-409C-BE32-E72D297353CC}">
              <c16:uniqueId val="{00000001-E3D3-4C69-8E12-7F78CE2323E9}"/>
            </c:ext>
          </c:extLst>
        </c:ser>
        <c:ser>
          <c:idx val="2"/>
          <c:order val="2"/>
          <c:tx>
            <c:v>2 Percent Annual Chance</c:v>
          </c:tx>
          <c:spPr>
            <a:ln>
              <a:solidFill>
                <a:schemeClr val="tx2">
                  <a:lumMod val="60000"/>
                  <a:lumOff val="40000"/>
                </a:schemeClr>
              </a:solidFill>
            </a:ln>
          </c:spPr>
          <c:marker>
            <c:symbol val="none"/>
          </c:marker>
          <c:xVal>
            <c:numRef>
              <c:f>'Hydrograph (2)'!$A$3:$A$279</c:f>
              <c:numCache>
                <c:formatCode>0.00</c:formatCode>
                <c:ptCount val="277"/>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pt idx="101">
                  <c:v>101</c:v>
                </c:pt>
                <c:pt idx="102">
                  <c:v>102</c:v>
                </c:pt>
                <c:pt idx="103">
                  <c:v>103</c:v>
                </c:pt>
                <c:pt idx="104">
                  <c:v>104</c:v>
                </c:pt>
                <c:pt idx="105">
                  <c:v>105</c:v>
                </c:pt>
                <c:pt idx="106">
                  <c:v>106</c:v>
                </c:pt>
                <c:pt idx="107">
                  <c:v>107</c:v>
                </c:pt>
                <c:pt idx="108">
                  <c:v>108</c:v>
                </c:pt>
                <c:pt idx="109">
                  <c:v>109</c:v>
                </c:pt>
                <c:pt idx="110">
                  <c:v>110</c:v>
                </c:pt>
                <c:pt idx="111">
                  <c:v>111</c:v>
                </c:pt>
                <c:pt idx="112">
                  <c:v>112</c:v>
                </c:pt>
                <c:pt idx="113">
                  <c:v>113</c:v>
                </c:pt>
                <c:pt idx="114">
                  <c:v>114</c:v>
                </c:pt>
                <c:pt idx="115">
                  <c:v>115</c:v>
                </c:pt>
                <c:pt idx="116">
                  <c:v>116</c:v>
                </c:pt>
                <c:pt idx="117">
                  <c:v>117</c:v>
                </c:pt>
                <c:pt idx="118">
                  <c:v>118</c:v>
                </c:pt>
                <c:pt idx="119">
                  <c:v>119</c:v>
                </c:pt>
                <c:pt idx="120">
                  <c:v>120</c:v>
                </c:pt>
                <c:pt idx="121">
                  <c:v>121</c:v>
                </c:pt>
                <c:pt idx="122">
                  <c:v>122</c:v>
                </c:pt>
                <c:pt idx="123">
                  <c:v>123</c:v>
                </c:pt>
                <c:pt idx="124">
                  <c:v>124</c:v>
                </c:pt>
                <c:pt idx="125">
                  <c:v>125</c:v>
                </c:pt>
                <c:pt idx="126">
                  <c:v>126</c:v>
                </c:pt>
                <c:pt idx="127">
                  <c:v>127</c:v>
                </c:pt>
                <c:pt idx="128">
                  <c:v>128</c:v>
                </c:pt>
                <c:pt idx="129">
                  <c:v>129</c:v>
                </c:pt>
                <c:pt idx="130">
                  <c:v>130</c:v>
                </c:pt>
                <c:pt idx="131">
                  <c:v>131</c:v>
                </c:pt>
                <c:pt idx="132">
                  <c:v>132</c:v>
                </c:pt>
                <c:pt idx="133">
                  <c:v>133</c:v>
                </c:pt>
                <c:pt idx="134">
                  <c:v>134</c:v>
                </c:pt>
                <c:pt idx="135">
                  <c:v>135</c:v>
                </c:pt>
                <c:pt idx="136">
                  <c:v>136</c:v>
                </c:pt>
                <c:pt idx="137">
                  <c:v>137</c:v>
                </c:pt>
                <c:pt idx="138">
                  <c:v>138</c:v>
                </c:pt>
                <c:pt idx="139">
                  <c:v>139</c:v>
                </c:pt>
                <c:pt idx="140">
                  <c:v>140</c:v>
                </c:pt>
                <c:pt idx="141">
                  <c:v>141</c:v>
                </c:pt>
                <c:pt idx="142">
                  <c:v>142</c:v>
                </c:pt>
                <c:pt idx="143">
                  <c:v>143</c:v>
                </c:pt>
                <c:pt idx="144">
                  <c:v>144</c:v>
                </c:pt>
                <c:pt idx="145">
                  <c:v>145</c:v>
                </c:pt>
                <c:pt idx="146">
                  <c:v>146</c:v>
                </c:pt>
                <c:pt idx="147">
                  <c:v>147</c:v>
                </c:pt>
                <c:pt idx="148">
                  <c:v>148</c:v>
                </c:pt>
                <c:pt idx="149">
                  <c:v>149</c:v>
                </c:pt>
                <c:pt idx="150">
                  <c:v>150</c:v>
                </c:pt>
                <c:pt idx="151">
                  <c:v>151</c:v>
                </c:pt>
                <c:pt idx="152">
                  <c:v>152</c:v>
                </c:pt>
                <c:pt idx="153">
                  <c:v>153</c:v>
                </c:pt>
                <c:pt idx="154">
                  <c:v>154</c:v>
                </c:pt>
                <c:pt idx="155">
                  <c:v>155</c:v>
                </c:pt>
                <c:pt idx="156">
                  <c:v>156</c:v>
                </c:pt>
                <c:pt idx="157">
                  <c:v>157</c:v>
                </c:pt>
                <c:pt idx="158">
                  <c:v>158</c:v>
                </c:pt>
                <c:pt idx="159">
                  <c:v>159</c:v>
                </c:pt>
                <c:pt idx="160">
                  <c:v>160</c:v>
                </c:pt>
                <c:pt idx="161">
                  <c:v>161</c:v>
                </c:pt>
                <c:pt idx="162">
                  <c:v>162</c:v>
                </c:pt>
                <c:pt idx="163">
                  <c:v>163</c:v>
                </c:pt>
                <c:pt idx="164">
                  <c:v>164</c:v>
                </c:pt>
                <c:pt idx="165">
                  <c:v>165</c:v>
                </c:pt>
                <c:pt idx="166">
                  <c:v>166</c:v>
                </c:pt>
                <c:pt idx="167">
                  <c:v>167</c:v>
                </c:pt>
                <c:pt idx="168">
                  <c:v>168</c:v>
                </c:pt>
                <c:pt idx="169">
                  <c:v>169</c:v>
                </c:pt>
                <c:pt idx="170">
                  <c:v>170</c:v>
                </c:pt>
                <c:pt idx="171">
                  <c:v>171</c:v>
                </c:pt>
                <c:pt idx="172">
                  <c:v>172</c:v>
                </c:pt>
                <c:pt idx="173">
                  <c:v>173</c:v>
                </c:pt>
                <c:pt idx="174">
                  <c:v>174</c:v>
                </c:pt>
                <c:pt idx="175">
                  <c:v>175</c:v>
                </c:pt>
                <c:pt idx="176">
                  <c:v>176</c:v>
                </c:pt>
                <c:pt idx="177">
                  <c:v>177</c:v>
                </c:pt>
                <c:pt idx="178">
                  <c:v>178</c:v>
                </c:pt>
                <c:pt idx="179">
                  <c:v>179</c:v>
                </c:pt>
                <c:pt idx="180">
                  <c:v>180</c:v>
                </c:pt>
                <c:pt idx="181">
                  <c:v>181</c:v>
                </c:pt>
                <c:pt idx="182">
                  <c:v>182</c:v>
                </c:pt>
                <c:pt idx="183">
                  <c:v>183</c:v>
                </c:pt>
                <c:pt idx="184">
                  <c:v>184</c:v>
                </c:pt>
                <c:pt idx="185">
                  <c:v>185</c:v>
                </c:pt>
                <c:pt idx="186">
                  <c:v>186</c:v>
                </c:pt>
                <c:pt idx="187">
                  <c:v>187</c:v>
                </c:pt>
                <c:pt idx="188">
                  <c:v>188</c:v>
                </c:pt>
                <c:pt idx="189">
                  <c:v>189</c:v>
                </c:pt>
                <c:pt idx="190">
                  <c:v>190</c:v>
                </c:pt>
                <c:pt idx="191">
                  <c:v>191</c:v>
                </c:pt>
                <c:pt idx="192">
                  <c:v>192</c:v>
                </c:pt>
              </c:numCache>
            </c:numRef>
          </c:xVal>
          <c:yVal>
            <c:numRef>
              <c:f>'Hydrograph (2)'!$D$3:$D$279</c:f>
              <c:numCache>
                <c:formatCode>General</c:formatCode>
                <c:ptCount val="277"/>
                <c:pt idx="0">
                  <c:v>0</c:v>
                </c:pt>
                <c:pt idx="1">
                  <c:v>0</c:v>
                </c:pt>
                <c:pt idx="2">
                  <c:v>0</c:v>
                </c:pt>
                <c:pt idx="3">
                  <c:v>0</c:v>
                </c:pt>
                <c:pt idx="4">
                  <c:v>0</c:v>
                </c:pt>
                <c:pt idx="5">
                  <c:v>0</c:v>
                </c:pt>
                <c:pt idx="6">
                  <c:v>0</c:v>
                </c:pt>
                <c:pt idx="7">
                  <c:v>0</c:v>
                </c:pt>
                <c:pt idx="8">
                  <c:v>0</c:v>
                </c:pt>
                <c:pt idx="9">
                  <c:v>0.02</c:v>
                </c:pt>
                <c:pt idx="10">
                  <c:v>0.47</c:v>
                </c:pt>
                <c:pt idx="11">
                  <c:v>2.08</c:v>
                </c:pt>
                <c:pt idx="12">
                  <c:v>101.05</c:v>
                </c:pt>
                <c:pt idx="13">
                  <c:v>880.27</c:v>
                </c:pt>
                <c:pt idx="14">
                  <c:v>1501.19</c:v>
                </c:pt>
                <c:pt idx="15">
                  <c:v>2016.98</c:v>
                </c:pt>
                <c:pt idx="16">
                  <c:v>2190.12</c:v>
                </c:pt>
                <c:pt idx="17">
                  <c:v>2159.38</c:v>
                </c:pt>
                <c:pt idx="18">
                  <c:v>2105.4</c:v>
                </c:pt>
                <c:pt idx="19">
                  <c:v>2092.54</c:v>
                </c:pt>
                <c:pt idx="20">
                  <c:v>1985.44</c:v>
                </c:pt>
                <c:pt idx="21">
                  <c:v>1841.32</c:v>
                </c:pt>
                <c:pt idx="22">
                  <c:v>1701.17</c:v>
                </c:pt>
                <c:pt idx="23">
                  <c:v>1560.43</c:v>
                </c:pt>
                <c:pt idx="24">
                  <c:v>1425.29</c:v>
                </c:pt>
                <c:pt idx="25">
                  <c:v>1280.3800000000001</c:v>
                </c:pt>
                <c:pt idx="26">
                  <c:v>1147.95</c:v>
                </c:pt>
                <c:pt idx="27">
                  <c:v>1019.11</c:v>
                </c:pt>
                <c:pt idx="28">
                  <c:v>905.84</c:v>
                </c:pt>
                <c:pt idx="29">
                  <c:v>803.54</c:v>
                </c:pt>
                <c:pt idx="30">
                  <c:v>709.82</c:v>
                </c:pt>
                <c:pt idx="31">
                  <c:v>628.38</c:v>
                </c:pt>
                <c:pt idx="32">
                  <c:v>558.28</c:v>
                </c:pt>
                <c:pt idx="33">
                  <c:v>497.14</c:v>
                </c:pt>
                <c:pt idx="34">
                  <c:v>443.84</c:v>
                </c:pt>
                <c:pt idx="35">
                  <c:v>397.31</c:v>
                </c:pt>
                <c:pt idx="36">
                  <c:v>356.63</c:v>
                </c:pt>
                <c:pt idx="37">
                  <c:v>320.12</c:v>
                </c:pt>
                <c:pt idx="38">
                  <c:v>287.27</c:v>
                </c:pt>
                <c:pt idx="39">
                  <c:v>258.66000000000003</c:v>
                </c:pt>
                <c:pt idx="40">
                  <c:v>233.39</c:v>
                </c:pt>
                <c:pt idx="41">
                  <c:v>211.34</c:v>
                </c:pt>
                <c:pt idx="42">
                  <c:v>191.78</c:v>
                </c:pt>
                <c:pt idx="43">
                  <c:v>173.95</c:v>
                </c:pt>
                <c:pt idx="44">
                  <c:v>158.03</c:v>
                </c:pt>
                <c:pt idx="45">
                  <c:v>143.78</c:v>
                </c:pt>
                <c:pt idx="46">
                  <c:v>130.97</c:v>
                </c:pt>
                <c:pt idx="47">
                  <c:v>119.67</c:v>
                </c:pt>
                <c:pt idx="48">
                  <c:v>109.64</c:v>
                </c:pt>
                <c:pt idx="49">
                  <c:v>100.87</c:v>
                </c:pt>
                <c:pt idx="50">
                  <c:v>93.06</c:v>
                </c:pt>
                <c:pt idx="51">
                  <c:v>86.27</c:v>
                </c:pt>
                <c:pt idx="52">
                  <c:v>80.02</c:v>
                </c:pt>
                <c:pt idx="53">
                  <c:v>74.09</c:v>
                </c:pt>
                <c:pt idx="54">
                  <c:v>68.8</c:v>
                </c:pt>
                <c:pt idx="55">
                  <c:v>64.180000000000007</c:v>
                </c:pt>
                <c:pt idx="56">
                  <c:v>60.05</c:v>
                </c:pt>
                <c:pt idx="57">
                  <c:v>56.35</c:v>
                </c:pt>
                <c:pt idx="58">
                  <c:v>52.98</c:v>
                </c:pt>
                <c:pt idx="59">
                  <c:v>49.91</c:v>
                </c:pt>
                <c:pt idx="60">
                  <c:v>47.19</c:v>
                </c:pt>
                <c:pt idx="61">
                  <c:v>44.7</c:v>
                </c:pt>
                <c:pt idx="62">
                  <c:v>42.39</c:v>
                </c:pt>
                <c:pt idx="63">
                  <c:v>40.200000000000003</c:v>
                </c:pt>
                <c:pt idx="64">
                  <c:v>38.19</c:v>
                </c:pt>
                <c:pt idx="65">
                  <c:v>36.35</c:v>
                </c:pt>
                <c:pt idx="66">
                  <c:v>34.6</c:v>
                </c:pt>
                <c:pt idx="67">
                  <c:v>33.01</c:v>
                </c:pt>
                <c:pt idx="68">
                  <c:v>31.55</c:v>
                </c:pt>
                <c:pt idx="69">
                  <c:v>30.28</c:v>
                </c:pt>
                <c:pt idx="70">
                  <c:v>28.94</c:v>
                </c:pt>
                <c:pt idx="71">
                  <c:v>27.8</c:v>
                </c:pt>
                <c:pt idx="72">
                  <c:v>26.75</c:v>
                </c:pt>
                <c:pt idx="73">
                  <c:v>25.73</c:v>
                </c:pt>
                <c:pt idx="74">
                  <c:v>24.78</c:v>
                </c:pt>
                <c:pt idx="75">
                  <c:v>23.95</c:v>
                </c:pt>
                <c:pt idx="76">
                  <c:v>23.1</c:v>
                </c:pt>
                <c:pt idx="77">
                  <c:v>22.32</c:v>
                </c:pt>
                <c:pt idx="78">
                  <c:v>21.59</c:v>
                </c:pt>
                <c:pt idx="79">
                  <c:v>20.91</c:v>
                </c:pt>
                <c:pt idx="80">
                  <c:v>20.23</c:v>
                </c:pt>
                <c:pt idx="81">
                  <c:v>19.579999999999998</c:v>
                </c:pt>
                <c:pt idx="82">
                  <c:v>18.98</c:v>
                </c:pt>
                <c:pt idx="83">
                  <c:v>18.399999999999999</c:v>
                </c:pt>
                <c:pt idx="84">
                  <c:v>17.87</c:v>
                </c:pt>
                <c:pt idx="85">
                  <c:v>17.350000000000001</c:v>
                </c:pt>
                <c:pt idx="86">
                  <c:v>16.86</c:v>
                </c:pt>
                <c:pt idx="87">
                  <c:v>16.399999999999999</c:v>
                </c:pt>
                <c:pt idx="88">
                  <c:v>15.94</c:v>
                </c:pt>
                <c:pt idx="89">
                  <c:v>15.54</c:v>
                </c:pt>
                <c:pt idx="90">
                  <c:v>15.14</c:v>
                </c:pt>
                <c:pt idx="91">
                  <c:v>14.74</c:v>
                </c:pt>
                <c:pt idx="92">
                  <c:v>14.39</c:v>
                </c:pt>
                <c:pt idx="93">
                  <c:v>14.06</c:v>
                </c:pt>
                <c:pt idx="94">
                  <c:v>13.71</c:v>
                </c:pt>
                <c:pt idx="95">
                  <c:v>13.37</c:v>
                </c:pt>
                <c:pt idx="96">
                  <c:v>13.03</c:v>
                </c:pt>
                <c:pt idx="97">
                  <c:v>12.71</c:v>
                </c:pt>
                <c:pt idx="98">
                  <c:v>12.41</c:v>
                </c:pt>
                <c:pt idx="99">
                  <c:v>12.1</c:v>
                </c:pt>
                <c:pt idx="100">
                  <c:v>11.82</c:v>
                </c:pt>
                <c:pt idx="101">
                  <c:v>11.55</c:v>
                </c:pt>
                <c:pt idx="102">
                  <c:v>11.28</c:v>
                </c:pt>
                <c:pt idx="103">
                  <c:v>11</c:v>
                </c:pt>
                <c:pt idx="104">
                  <c:v>10.74</c:v>
                </c:pt>
                <c:pt idx="105">
                  <c:v>10.5</c:v>
                </c:pt>
                <c:pt idx="106">
                  <c:v>10.27</c:v>
                </c:pt>
                <c:pt idx="107">
                  <c:v>10.050000000000001</c:v>
                </c:pt>
                <c:pt idx="108">
                  <c:v>9.83</c:v>
                </c:pt>
                <c:pt idx="109">
                  <c:v>9.6199999999999992</c:v>
                </c:pt>
                <c:pt idx="110">
                  <c:v>9.43</c:v>
                </c:pt>
                <c:pt idx="111">
                  <c:v>9.24</c:v>
                </c:pt>
                <c:pt idx="112">
                  <c:v>9.07</c:v>
                </c:pt>
                <c:pt idx="113">
                  <c:v>8.89</c:v>
                </c:pt>
                <c:pt idx="114">
                  <c:v>8.7200000000000006</c:v>
                </c:pt>
                <c:pt idx="115">
                  <c:v>8.56</c:v>
                </c:pt>
                <c:pt idx="116">
                  <c:v>8.41</c:v>
                </c:pt>
                <c:pt idx="117">
                  <c:v>8.26</c:v>
                </c:pt>
                <c:pt idx="118">
                  <c:v>8.1199999999999992</c:v>
                </c:pt>
                <c:pt idx="119">
                  <c:v>7.98</c:v>
                </c:pt>
                <c:pt idx="120">
                  <c:v>7.84</c:v>
                </c:pt>
                <c:pt idx="121">
                  <c:v>7.71</c:v>
                </c:pt>
                <c:pt idx="122">
                  <c:v>7.59</c:v>
                </c:pt>
                <c:pt idx="123">
                  <c:v>7.47</c:v>
                </c:pt>
                <c:pt idx="124">
                  <c:v>7.35</c:v>
                </c:pt>
                <c:pt idx="125">
                  <c:v>7.24</c:v>
                </c:pt>
                <c:pt idx="126">
                  <c:v>7.13</c:v>
                </c:pt>
                <c:pt idx="127">
                  <c:v>7.02</c:v>
                </c:pt>
                <c:pt idx="128">
                  <c:v>6.91</c:v>
                </c:pt>
                <c:pt idx="129">
                  <c:v>6.81</c:v>
                </c:pt>
                <c:pt idx="130">
                  <c:v>6.71</c:v>
                </c:pt>
                <c:pt idx="131">
                  <c:v>6.61</c:v>
                </c:pt>
                <c:pt idx="132">
                  <c:v>6.52</c:v>
                </c:pt>
                <c:pt idx="133">
                  <c:v>6.42</c:v>
                </c:pt>
                <c:pt idx="134">
                  <c:v>6.33</c:v>
                </c:pt>
                <c:pt idx="135">
                  <c:v>6.24</c:v>
                </c:pt>
                <c:pt idx="136">
                  <c:v>6.16</c:v>
                </c:pt>
                <c:pt idx="137">
                  <c:v>6.07</c:v>
                </c:pt>
                <c:pt idx="138">
                  <c:v>5.99</c:v>
                </c:pt>
                <c:pt idx="139">
                  <c:v>5.91</c:v>
                </c:pt>
                <c:pt idx="140">
                  <c:v>5.83</c:v>
                </c:pt>
                <c:pt idx="141">
                  <c:v>5.75</c:v>
                </c:pt>
                <c:pt idx="142">
                  <c:v>5.67</c:v>
                </c:pt>
                <c:pt idx="143">
                  <c:v>5.6</c:v>
                </c:pt>
                <c:pt idx="144">
                  <c:v>5.52</c:v>
                </c:pt>
                <c:pt idx="145">
                  <c:v>5.46</c:v>
                </c:pt>
                <c:pt idx="146">
                  <c:v>5.39</c:v>
                </c:pt>
                <c:pt idx="147">
                  <c:v>5.32</c:v>
                </c:pt>
                <c:pt idx="148">
                  <c:v>5.26</c:v>
                </c:pt>
                <c:pt idx="149">
                  <c:v>5.19</c:v>
                </c:pt>
                <c:pt idx="150">
                  <c:v>5.13</c:v>
                </c:pt>
                <c:pt idx="151">
                  <c:v>5.07</c:v>
                </c:pt>
                <c:pt idx="152">
                  <c:v>5</c:v>
                </c:pt>
                <c:pt idx="153">
                  <c:v>4.9400000000000004</c:v>
                </c:pt>
                <c:pt idx="154">
                  <c:v>4.88</c:v>
                </c:pt>
                <c:pt idx="155">
                  <c:v>4.83</c:v>
                </c:pt>
                <c:pt idx="156">
                  <c:v>4.7699999999999996</c:v>
                </c:pt>
                <c:pt idx="157">
                  <c:v>4.72</c:v>
                </c:pt>
                <c:pt idx="158">
                  <c:v>4.67</c:v>
                </c:pt>
                <c:pt idx="159">
                  <c:v>4.62</c:v>
                </c:pt>
                <c:pt idx="160">
                  <c:v>4.57</c:v>
                </c:pt>
                <c:pt idx="161">
                  <c:v>4.5199999999999996</c:v>
                </c:pt>
                <c:pt idx="162">
                  <c:v>4.47</c:v>
                </c:pt>
                <c:pt idx="163">
                  <c:v>4.43</c:v>
                </c:pt>
                <c:pt idx="164">
                  <c:v>4.38</c:v>
                </c:pt>
                <c:pt idx="165">
                  <c:v>4.33</c:v>
                </c:pt>
                <c:pt idx="166">
                  <c:v>4.28</c:v>
                </c:pt>
                <c:pt idx="167">
                  <c:v>4.24</c:v>
                </c:pt>
                <c:pt idx="168">
                  <c:v>4.1900000000000004</c:v>
                </c:pt>
                <c:pt idx="169">
                  <c:v>8274.4699999999993</c:v>
                </c:pt>
                <c:pt idx="170">
                  <c:v>8165.01</c:v>
                </c:pt>
                <c:pt idx="171">
                  <c:v>8055.56</c:v>
                </c:pt>
                <c:pt idx="172">
                  <c:v>7946.1</c:v>
                </c:pt>
                <c:pt idx="173">
                  <c:v>7836.65</c:v>
                </c:pt>
                <c:pt idx="174">
                  <c:v>7727.19</c:v>
                </c:pt>
                <c:pt idx="175">
                  <c:v>7617.74</c:v>
                </c:pt>
                <c:pt idx="176">
                  <c:v>7508.28</c:v>
                </c:pt>
                <c:pt idx="177">
                  <c:v>7398.83</c:v>
                </c:pt>
                <c:pt idx="178">
                  <c:v>7289.37</c:v>
                </c:pt>
                <c:pt idx="179">
                  <c:v>7179.92</c:v>
                </c:pt>
                <c:pt idx="180">
                  <c:v>7070.46</c:v>
                </c:pt>
                <c:pt idx="181">
                  <c:v>6961.01</c:v>
                </c:pt>
                <c:pt idx="182">
                  <c:v>6851.55</c:v>
                </c:pt>
                <c:pt idx="183">
                  <c:v>6742.1</c:v>
                </c:pt>
                <c:pt idx="184">
                  <c:v>6632.64</c:v>
                </c:pt>
                <c:pt idx="185">
                  <c:v>6523.19</c:v>
                </c:pt>
                <c:pt idx="186">
                  <c:v>6413.73</c:v>
                </c:pt>
                <c:pt idx="187">
                  <c:v>6304.28</c:v>
                </c:pt>
                <c:pt idx="188">
                  <c:v>6194.82</c:v>
                </c:pt>
                <c:pt idx="189">
                  <c:v>6085.37</c:v>
                </c:pt>
                <c:pt idx="190">
                  <c:v>5975.91</c:v>
                </c:pt>
                <c:pt idx="191">
                  <c:v>5866.46</c:v>
                </c:pt>
                <c:pt idx="192">
                  <c:v>5757</c:v>
                </c:pt>
              </c:numCache>
            </c:numRef>
          </c:yVal>
          <c:smooth val="1"/>
          <c:extLst xmlns:c16r2="http://schemas.microsoft.com/office/drawing/2015/06/chart">
            <c:ext xmlns:c16="http://schemas.microsoft.com/office/drawing/2014/chart" uri="{C3380CC4-5D6E-409C-BE32-E72D297353CC}">
              <c16:uniqueId val="{00000002-E3D3-4C69-8E12-7F78CE2323E9}"/>
            </c:ext>
          </c:extLst>
        </c:ser>
        <c:ser>
          <c:idx val="1"/>
          <c:order val="3"/>
          <c:tx>
            <c:v>4 Percent Annual Chance</c:v>
          </c:tx>
          <c:spPr>
            <a:ln>
              <a:solidFill>
                <a:srgbClr val="FFCC00"/>
              </a:solidFill>
            </a:ln>
          </c:spPr>
          <c:marker>
            <c:symbol val="none"/>
          </c:marker>
          <c:xVal>
            <c:numRef>
              <c:f>'Hydrograph (2)'!$A$3:$A$279</c:f>
              <c:numCache>
                <c:formatCode>0.00</c:formatCode>
                <c:ptCount val="277"/>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pt idx="101">
                  <c:v>101</c:v>
                </c:pt>
                <c:pt idx="102">
                  <c:v>102</c:v>
                </c:pt>
                <c:pt idx="103">
                  <c:v>103</c:v>
                </c:pt>
                <c:pt idx="104">
                  <c:v>104</c:v>
                </c:pt>
                <c:pt idx="105">
                  <c:v>105</c:v>
                </c:pt>
                <c:pt idx="106">
                  <c:v>106</c:v>
                </c:pt>
                <c:pt idx="107">
                  <c:v>107</c:v>
                </c:pt>
                <c:pt idx="108">
                  <c:v>108</c:v>
                </c:pt>
                <c:pt idx="109">
                  <c:v>109</c:v>
                </c:pt>
                <c:pt idx="110">
                  <c:v>110</c:v>
                </c:pt>
                <c:pt idx="111">
                  <c:v>111</c:v>
                </c:pt>
                <c:pt idx="112">
                  <c:v>112</c:v>
                </c:pt>
                <c:pt idx="113">
                  <c:v>113</c:v>
                </c:pt>
                <c:pt idx="114">
                  <c:v>114</c:v>
                </c:pt>
                <c:pt idx="115">
                  <c:v>115</c:v>
                </c:pt>
                <c:pt idx="116">
                  <c:v>116</c:v>
                </c:pt>
                <c:pt idx="117">
                  <c:v>117</c:v>
                </c:pt>
                <c:pt idx="118">
                  <c:v>118</c:v>
                </c:pt>
                <c:pt idx="119">
                  <c:v>119</c:v>
                </c:pt>
                <c:pt idx="120">
                  <c:v>120</c:v>
                </c:pt>
                <c:pt idx="121">
                  <c:v>121</c:v>
                </c:pt>
                <c:pt idx="122">
                  <c:v>122</c:v>
                </c:pt>
                <c:pt idx="123">
                  <c:v>123</c:v>
                </c:pt>
                <c:pt idx="124">
                  <c:v>124</c:v>
                </c:pt>
                <c:pt idx="125">
                  <c:v>125</c:v>
                </c:pt>
                <c:pt idx="126">
                  <c:v>126</c:v>
                </c:pt>
                <c:pt idx="127">
                  <c:v>127</c:v>
                </c:pt>
                <c:pt idx="128">
                  <c:v>128</c:v>
                </c:pt>
                <c:pt idx="129">
                  <c:v>129</c:v>
                </c:pt>
                <c:pt idx="130">
                  <c:v>130</c:v>
                </c:pt>
                <c:pt idx="131">
                  <c:v>131</c:v>
                </c:pt>
                <c:pt idx="132">
                  <c:v>132</c:v>
                </c:pt>
                <c:pt idx="133">
                  <c:v>133</c:v>
                </c:pt>
                <c:pt idx="134">
                  <c:v>134</c:v>
                </c:pt>
                <c:pt idx="135">
                  <c:v>135</c:v>
                </c:pt>
                <c:pt idx="136">
                  <c:v>136</c:v>
                </c:pt>
                <c:pt idx="137">
                  <c:v>137</c:v>
                </c:pt>
                <c:pt idx="138">
                  <c:v>138</c:v>
                </c:pt>
                <c:pt idx="139">
                  <c:v>139</c:v>
                </c:pt>
                <c:pt idx="140">
                  <c:v>140</c:v>
                </c:pt>
                <c:pt idx="141">
                  <c:v>141</c:v>
                </c:pt>
                <c:pt idx="142">
                  <c:v>142</c:v>
                </c:pt>
                <c:pt idx="143">
                  <c:v>143</c:v>
                </c:pt>
                <c:pt idx="144">
                  <c:v>144</c:v>
                </c:pt>
                <c:pt idx="145">
                  <c:v>145</c:v>
                </c:pt>
                <c:pt idx="146">
                  <c:v>146</c:v>
                </c:pt>
                <c:pt idx="147">
                  <c:v>147</c:v>
                </c:pt>
                <c:pt idx="148">
                  <c:v>148</c:v>
                </c:pt>
                <c:pt idx="149">
                  <c:v>149</c:v>
                </c:pt>
                <c:pt idx="150">
                  <c:v>150</c:v>
                </c:pt>
                <c:pt idx="151">
                  <c:v>151</c:v>
                </c:pt>
                <c:pt idx="152">
                  <c:v>152</c:v>
                </c:pt>
                <c:pt idx="153">
                  <c:v>153</c:v>
                </c:pt>
                <c:pt idx="154">
                  <c:v>154</c:v>
                </c:pt>
                <c:pt idx="155">
                  <c:v>155</c:v>
                </c:pt>
                <c:pt idx="156">
                  <c:v>156</c:v>
                </c:pt>
                <c:pt idx="157">
                  <c:v>157</c:v>
                </c:pt>
                <c:pt idx="158">
                  <c:v>158</c:v>
                </c:pt>
                <c:pt idx="159">
                  <c:v>159</c:v>
                </c:pt>
                <c:pt idx="160">
                  <c:v>160</c:v>
                </c:pt>
                <c:pt idx="161">
                  <c:v>161</c:v>
                </c:pt>
                <c:pt idx="162">
                  <c:v>162</c:v>
                </c:pt>
                <c:pt idx="163">
                  <c:v>163</c:v>
                </c:pt>
                <c:pt idx="164">
                  <c:v>164</c:v>
                </c:pt>
                <c:pt idx="165">
                  <c:v>165</c:v>
                </c:pt>
                <c:pt idx="166">
                  <c:v>166</c:v>
                </c:pt>
                <c:pt idx="167">
                  <c:v>167</c:v>
                </c:pt>
                <c:pt idx="168">
                  <c:v>168</c:v>
                </c:pt>
                <c:pt idx="169">
                  <c:v>169</c:v>
                </c:pt>
                <c:pt idx="170">
                  <c:v>170</c:v>
                </c:pt>
                <c:pt idx="171">
                  <c:v>171</c:v>
                </c:pt>
                <c:pt idx="172">
                  <c:v>172</c:v>
                </c:pt>
                <c:pt idx="173">
                  <c:v>173</c:v>
                </c:pt>
                <c:pt idx="174">
                  <c:v>174</c:v>
                </c:pt>
                <c:pt idx="175">
                  <c:v>175</c:v>
                </c:pt>
                <c:pt idx="176">
                  <c:v>176</c:v>
                </c:pt>
                <c:pt idx="177">
                  <c:v>177</c:v>
                </c:pt>
                <c:pt idx="178">
                  <c:v>178</c:v>
                </c:pt>
                <c:pt idx="179">
                  <c:v>179</c:v>
                </c:pt>
                <c:pt idx="180">
                  <c:v>180</c:v>
                </c:pt>
                <c:pt idx="181">
                  <c:v>181</c:v>
                </c:pt>
                <c:pt idx="182">
                  <c:v>182</c:v>
                </c:pt>
                <c:pt idx="183">
                  <c:v>183</c:v>
                </c:pt>
                <c:pt idx="184">
                  <c:v>184</c:v>
                </c:pt>
                <c:pt idx="185">
                  <c:v>185</c:v>
                </c:pt>
                <c:pt idx="186">
                  <c:v>186</c:v>
                </c:pt>
                <c:pt idx="187">
                  <c:v>187</c:v>
                </c:pt>
                <c:pt idx="188">
                  <c:v>188</c:v>
                </c:pt>
                <c:pt idx="189">
                  <c:v>189</c:v>
                </c:pt>
                <c:pt idx="190">
                  <c:v>190</c:v>
                </c:pt>
                <c:pt idx="191">
                  <c:v>191</c:v>
                </c:pt>
                <c:pt idx="192">
                  <c:v>192</c:v>
                </c:pt>
              </c:numCache>
            </c:numRef>
          </c:xVal>
          <c:yVal>
            <c:numRef>
              <c:f>'Hydrograph (2)'!$C$3:$C$279</c:f>
              <c:numCache>
                <c:formatCode>General</c:formatCode>
                <c:ptCount val="277"/>
                <c:pt idx="0">
                  <c:v>0</c:v>
                </c:pt>
                <c:pt idx="1">
                  <c:v>0</c:v>
                </c:pt>
                <c:pt idx="2">
                  <c:v>0</c:v>
                </c:pt>
                <c:pt idx="3">
                  <c:v>0</c:v>
                </c:pt>
                <c:pt idx="4">
                  <c:v>0</c:v>
                </c:pt>
                <c:pt idx="5">
                  <c:v>0</c:v>
                </c:pt>
                <c:pt idx="6">
                  <c:v>0</c:v>
                </c:pt>
                <c:pt idx="7">
                  <c:v>0</c:v>
                </c:pt>
                <c:pt idx="8">
                  <c:v>0</c:v>
                </c:pt>
                <c:pt idx="9">
                  <c:v>0</c:v>
                </c:pt>
                <c:pt idx="10">
                  <c:v>0.03</c:v>
                </c:pt>
                <c:pt idx="11">
                  <c:v>1.26</c:v>
                </c:pt>
                <c:pt idx="12">
                  <c:v>39.36</c:v>
                </c:pt>
                <c:pt idx="13">
                  <c:v>569.75</c:v>
                </c:pt>
                <c:pt idx="14">
                  <c:v>958.87</c:v>
                </c:pt>
                <c:pt idx="15">
                  <c:v>1352.69</c:v>
                </c:pt>
                <c:pt idx="16">
                  <c:v>1599.52</c:v>
                </c:pt>
                <c:pt idx="17">
                  <c:v>1626.3</c:v>
                </c:pt>
                <c:pt idx="18">
                  <c:v>1571.25</c:v>
                </c:pt>
                <c:pt idx="19">
                  <c:v>1485.47</c:v>
                </c:pt>
                <c:pt idx="20">
                  <c:v>1475.82</c:v>
                </c:pt>
                <c:pt idx="21">
                  <c:v>1428.78</c:v>
                </c:pt>
                <c:pt idx="22">
                  <c:v>1330.7</c:v>
                </c:pt>
                <c:pt idx="23">
                  <c:v>1222.24</c:v>
                </c:pt>
                <c:pt idx="24">
                  <c:v>1127.3800000000001</c:v>
                </c:pt>
                <c:pt idx="25">
                  <c:v>1031.57</c:v>
                </c:pt>
                <c:pt idx="26">
                  <c:v>943.17</c:v>
                </c:pt>
                <c:pt idx="27">
                  <c:v>856.42</c:v>
                </c:pt>
                <c:pt idx="28">
                  <c:v>774.14</c:v>
                </c:pt>
                <c:pt idx="29">
                  <c:v>693.95</c:v>
                </c:pt>
                <c:pt idx="30">
                  <c:v>621.21</c:v>
                </c:pt>
                <c:pt idx="31">
                  <c:v>556.42999999999995</c:v>
                </c:pt>
                <c:pt idx="32">
                  <c:v>499.96</c:v>
                </c:pt>
                <c:pt idx="33">
                  <c:v>448.43</c:v>
                </c:pt>
                <c:pt idx="34">
                  <c:v>403.16</c:v>
                </c:pt>
                <c:pt idx="35">
                  <c:v>362.98</c:v>
                </c:pt>
                <c:pt idx="36">
                  <c:v>327.37</c:v>
                </c:pt>
                <c:pt idx="37">
                  <c:v>294.63</c:v>
                </c:pt>
                <c:pt idx="38">
                  <c:v>265.66000000000003</c:v>
                </c:pt>
                <c:pt idx="39">
                  <c:v>240.15</c:v>
                </c:pt>
                <c:pt idx="40">
                  <c:v>217.59</c:v>
                </c:pt>
                <c:pt idx="41">
                  <c:v>197.15</c:v>
                </c:pt>
                <c:pt idx="42">
                  <c:v>178.99</c:v>
                </c:pt>
                <c:pt idx="43">
                  <c:v>162.57</c:v>
                </c:pt>
                <c:pt idx="44">
                  <c:v>147.75</c:v>
                </c:pt>
                <c:pt idx="45">
                  <c:v>134.53</c:v>
                </c:pt>
                <c:pt idx="46">
                  <c:v>122.79</c:v>
                </c:pt>
                <c:pt idx="47">
                  <c:v>112.39</c:v>
                </c:pt>
                <c:pt idx="48">
                  <c:v>103.18</c:v>
                </c:pt>
                <c:pt idx="49">
                  <c:v>95.21</c:v>
                </c:pt>
                <c:pt idx="50">
                  <c:v>88.18</c:v>
                </c:pt>
                <c:pt idx="51">
                  <c:v>81.96</c:v>
                </c:pt>
                <c:pt idx="52">
                  <c:v>76.12</c:v>
                </c:pt>
                <c:pt idx="53">
                  <c:v>70.75</c:v>
                </c:pt>
                <c:pt idx="54">
                  <c:v>65.900000000000006</c:v>
                </c:pt>
                <c:pt idx="55">
                  <c:v>61.65</c:v>
                </c:pt>
                <c:pt idx="56">
                  <c:v>57.77</c:v>
                </c:pt>
                <c:pt idx="57">
                  <c:v>54.3</c:v>
                </c:pt>
                <c:pt idx="58">
                  <c:v>51.1</c:v>
                </c:pt>
                <c:pt idx="59">
                  <c:v>48.18</c:v>
                </c:pt>
                <c:pt idx="60">
                  <c:v>45.61</c:v>
                </c:pt>
                <c:pt idx="61">
                  <c:v>43.21</c:v>
                </c:pt>
                <c:pt idx="62">
                  <c:v>40.98</c:v>
                </c:pt>
                <c:pt idx="63">
                  <c:v>38.99</c:v>
                </c:pt>
                <c:pt idx="64">
                  <c:v>36.99</c:v>
                </c:pt>
                <c:pt idx="65">
                  <c:v>35.229999999999997</c:v>
                </c:pt>
                <c:pt idx="66">
                  <c:v>33.53</c:v>
                </c:pt>
                <c:pt idx="67">
                  <c:v>32.01</c:v>
                </c:pt>
                <c:pt idx="68">
                  <c:v>30.6</c:v>
                </c:pt>
                <c:pt idx="69">
                  <c:v>29.32</c:v>
                </c:pt>
                <c:pt idx="70">
                  <c:v>28.14</c:v>
                </c:pt>
                <c:pt idx="71">
                  <c:v>27.05</c:v>
                </c:pt>
                <c:pt idx="72">
                  <c:v>26.02</c:v>
                </c:pt>
                <c:pt idx="73">
                  <c:v>25.04</c:v>
                </c:pt>
                <c:pt idx="74">
                  <c:v>24.17</c:v>
                </c:pt>
                <c:pt idx="75">
                  <c:v>23.32</c:v>
                </c:pt>
                <c:pt idx="76">
                  <c:v>22.51</c:v>
                </c:pt>
                <c:pt idx="77">
                  <c:v>21.79</c:v>
                </c:pt>
                <c:pt idx="78">
                  <c:v>21.07</c:v>
                </c:pt>
                <c:pt idx="79">
                  <c:v>20.36</c:v>
                </c:pt>
                <c:pt idx="80">
                  <c:v>19.7</c:v>
                </c:pt>
                <c:pt idx="81">
                  <c:v>19.11</c:v>
                </c:pt>
                <c:pt idx="82">
                  <c:v>18.510000000000002</c:v>
                </c:pt>
                <c:pt idx="83">
                  <c:v>17.97</c:v>
                </c:pt>
                <c:pt idx="84">
                  <c:v>17.440000000000001</c:v>
                </c:pt>
                <c:pt idx="85">
                  <c:v>16.95</c:v>
                </c:pt>
                <c:pt idx="86">
                  <c:v>16.48</c:v>
                </c:pt>
                <c:pt idx="87">
                  <c:v>16.02</c:v>
                </c:pt>
                <c:pt idx="88">
                  <c:v>15.59</c:v>
                </c:pt>
                <c:pt idx="89">
                  <c:v>15.21</c:v>
                </c:pt>
                <c:pt idx="90">
                  <c:v>14.8</c:v>
                </c:pt>
                <c:pt idx="91">
                  <c:v>14.42</c:v>
                </c:pt>
                <c:pt idx="92">
                  <c:v>14.08</c:v>
                </c:pt>
                <c:pt idx="93">
                  <c:v>13.74</c:v>
                </c:pt>
                <c:pt idx="94">
                  <c:v>13.43</c:v>
                </c:pt>
                <c:pt idx="95">
                  <c:v>13.07</c:v>
                </c:pt>
                <c:pt idx="96">
                  <c:v>12.75</c:v>
                </c:pt>
                <c:pt idx="97">
                  <c:v>12.44</c:v>
                </c:pt>
                <c:pt idx="98">
                  <c:v>12.14</c:v>
                </c:pt>
                <c:pt idx="99">
                  <c:v>11.85</c:v>
                </c:pt>
                <c:pt idx="100">
                  <c:v>11.56</c:v>
                </c:pt>
                <c:pt idx="101">
                  <c:v>11.29</c:v>
                </c:pt>
                <c:pt idx="102">
                  <c:v>11.02</c:v>
                </c:pt>
                <c:pt idx="103">
                  <c:v>10.76</c:v>
                </c:pt>
                <c:pt idx="104">
                  <c:v>10.52</c:v>
                </c:pt>
                <c:pt idx="105">
                  <c:v>10.29</c:v>
                </c:pt>
                <c:pt idx="106">
                  <c:v>10.06</c:v>
                </c:pt>
                <c:pt idx="107">
                  <c:v>9.85</c:v>
                </c:pt>
                <c:pt idx="108">
                  <c:v>9.64</c:v>
                </c:pt>
                <c:pt idx="109">
                  <c:v>9.44</c:v>
                </c:pt>
                <c:pt idx="110">
                  <c:v>9.25</c:v>
                </c:pt>
                <c:pt idx="111">
                  <c:v>9.07</c:v>
                </c:pt>
                <c:pt idx="112">
                  <c:v>8.89</c:v>
                </c:pt>
                <c:pt idx="113">
                  <c:v>8.7200000000000006</c:v>
                </c:pt>
                <c:pt idx="114">
                  <c:v>8.56</c:v>
                </c:pt>
                <c:pt idx="115">
                  <c:v>8.41</c:v>
                </c:pt>
                <c:pt idx="116">
                  <c:v>8.26</c:v>
                </c:pt>
                <c:pt idx="117">
                  <c:v>8.1199999999999992</c:v>
                </c:pt>
                <c:pt idx="118">
                  <c:v>8</c:v>
                </c:pt>
                <c:pt idx="119">
                  <c:v>7.84</c:v>
                </c:pt>
                <c:pt idx="120">
                  <c:v>7.71</c:v>
                </c:pt>
                <c:pt idx="121">
                  <c:v>7.59</c:v>
                </c:pt>
                <c:pt idx="122">
                  <c:v>7.47</c:v>
                </c:pt>
                <c:pt idx="123">
                  <c:v>7.35</c:v>
                </c:pt>
                <c:pt idx="124">
                  <c:v>7.23</c:v>
                </c:pt>
                <c:pt idx="125">
                  <c:v>7.12</c:v>
                </c:pt>
                <c:pt idx="126">
                  <c:v>7</c:v>
                </c:pt>
                <c:pt idx="127">
                  <c:v>6.9</c:v>
                </c:pt>
                <c:pt idx="128">
                  <c:v>6.79</c:v>
                </c:pt>
                <c:pt idx="129">
                  <c:v>6.69</c:v>
                </c:pt>
                <c:pt idx="130">
                  <c:v>6.59</c:v>
                </c:pt>
                <c:pt idx="131">
                  <c:v>6.49</c:v>
                </c:pt>
                <c:pt idx="132">
                  <c:v>6.4</c:v>
                </c:pt>
                <c:pt idx="133">
                  <c:v>6.31</c:v>
                </c:pt>
                <c:pt idx="134">
                  <c:v>6.21</c:v>
                </c:pt>
                <c:pt idx="135">
                  <c:v>6.13</c:v>
                </c:pt>
                <c:pt idx="136">
                  <c:v>6.04</c:v>
                </c:pt>
                <c:pt idx="137">
                  <c:v>5.95</c:v>
                </c:pt>
                <c:pt idx="138">
                  <c:v>5.87</c:v>
                </c:pt>
                <c:pt idx="139">
                  <c:v>5.78</c:v>
                </c:pt>
                <c:pt idx="140">
                  <c:v>5.71</c:v>
                </c:pt>
                <c:pt idx="141">
                  <c:v>5.63</c:v>
                </c:pt>
                <c:pt idx="142">
                  <c:v>5.55</c:v>
                </c:pt>
                <c:pt idx="143">
                  <c:v>5.48</c:v>
                </c:pt>
                <c:pt idx="144">
                  <c:v>5.4</c:v>
                </c:pt>
                <c:pt idx="145">
                  <c:v>5.33</c:v>
                </c:pt>
                <c:pt idx="146">
                  <c:v>5.27</c:v>
                </c:pt>
                <c:pt idx="147">
                  <c:v>5.2</c:v>
                </c:pt>
                <c:pt idx="148">
                  <c:v>5.13</c:v>
                </c:pt>
                <c:pt idx="149">
                  <c:v>5.07</c:v>
                </c:pt>
                <c:pt idx="150">
                  <c:v>5</c:v>
                </c:pt>
                <c:pt idx="151">
                  <c:v>4.93</c:v>
                </c:pt>
                <c:pt idx="152">
                  <c:v>4.87</c:v>
                </c:pt>
                <c:pt idx="153">
                  <c:v>4.8099999999999996</c:v>
                </c:pt>
                <c:pt idx="154">
                  <c:v>4.75</c:v>
                </c:pt>
                <c:pt idx="155">
                  <c:v>4.6900000000000004</c:v>
                </c:pt>
                <c:pt idx="156">
                  <c:v>4.6399999999999997</c:v>
                </c:pt>
                <c:pt idx="157">
                  <c:v>4.59</c:v>
                </c:pt>
                <c:pt idx="158">
                  <c:v>4.54</c:v>
                </c:pt>
                <c:pt idx="159">
                  <c:v>4.49</c:v>
                </c:pt>
                <c:pt idx="160">
                  <c:v>4.43</c:v>
                </c:pt>
                <c:pt idx="161">
                  <c:v>4.38</c:v>
                </c:pt>
                <c:pt idx="162">
                  <c:v>4.33</c:v>
                </c:pt>
                <c:pt idx="163">
                  <c:v>4.28</c:v>
                </c:pt>
                <c:pt idx="164">
                  <c:v>4.22</c:v>
                </c:pt>
                <c:pt idx="165">
                  <c:v>4.17</c:v>
                </c:pt>
                <c:pt idx="166">
                  <c:v>4.12</c:v>
                </c:pt>
                <c:pt idx="167">
                  <c:v>4.07</c:v>
                </c:pt>
                <c:pt idx="168">
                  <c:v>4.03</c:v>
                </c:pt>
                <c:pt idx="169">
                  <c:v>7638.35</c:v>
                </c:pt>
                <c:pt idx="170">
                  <c:v>7510.59</c:v>
                </c:pt>
                <c:pt idx="171">
                  <c:v>7382.84</c:v>
                </c:pt>
                <c:pt idx="172">
                  <c:v>7255.08</c:v>
                </c:pt>
                <c:pt idx="173">
                  <c:v>7127.33</c:v>
                </c:pt>
                <c:pt idx="174">
                  <c:v>6999.58</c:v>
                </c:pt>
                <c:pt idx="175">
                  <c:v>6871.82</c:v>
                </c:pt>
                <c:pt idx="176">
                  <c:v>6744.07</c:v>
                </c:pt>
                <c:pt idx="177">
                  <c:v>6616.31</c:v>
                </c:pt>
                <c:pt idx="178">
                  <c:v>6488.56</c:v>
                </c:pt>
                <c:pt idx="179">
                  <c:v>6360.8</c:v>
                </c:pt>
                <c:pt idx="180">
                  <c:v>6233.05</c:v>
                </c:pt>
                <c:pt idx="181">
                  <c:v>6105.3</c:v>
                </c:pt>
                <c:pt idx="182">
                  <c:v>5977.54</c:v>
                </c:pt>
                <c:pt idx="183">
                  <c:v>5849.79</c:v>
                </c:pt>
                <c:pt idx="184">
                  <c:v>5722.03</c:v>
                </c:pt>
                <c:pt idx="185">
                  <c:v>5594.28</c:v>
                </c:pt>
                <c:pt idx="186">
                  <c:v>5466.53</c:v>
                </c:pt>
                <c:pt idx="187">
                  <c:v>5338.77</c:v>
                </c:pt>
                <c:pt idx="188">
                  <c:v>5211.0200000000004</c:v>
                </c:pt>
                <c:pt idx="189">
                  <c:v>5083.26</c:v>
                </c:pt>
                <c:pt idx="190">
                  <c:v>4955.51</c:v>
                </c:pt>
                <c:pt idx="191">
                  <c:v>4827.75</c:v>
                </c:pt>
                <c:pt idx="192">
                  <c:v>4700</c:v>
                </c:pt>
              </c:numCache>
            </c:numRef>
          </c:yVal>
          <c:smooth val="1"/>
          <c:extLst xmlns:c16r2="http://schemas.microsoft.com/office/drawing/2015/06/chart">
            <c:ext xmlns:c16="http://schemas.microsoft.com/office/drawing/2014/chart" uri="{C3380CC4-5D6E-409C-BE32-E72D297353CC}">
              <c16:uniqueId val="{00000003-E3D3-4C69-8E12-7F78CE2323E9}"/>
            </c:ext>
          </c:extLst>
        </c:ser>
        <c:ser>
          <c:idx val="0"/>
          <c:order val="4"/>
          <c:tx>
            <c:v>10 Percent Annual Chance</c:v>
          </c:tx>
          <c:spPr>
            <a:ln>
              <a:solidFill>
                <a:srgbClr val="33CC33"/>
              </a:solidFill>
            </a:ln>
          </c:spPr>
          <c:marker>
            <c:symbol val="none"/>
          </c:marker>
          <c:xVal>
            <c:numRef>
              <c:f>'Hydrograph (2)'!$A$3:$A$279</c:f>
              <c:numCache>
                <c:formatCode>0.00</c:formatCode>
                <c:ptCount val="277"/>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pt idx="101">
                  <c:v>101</c:v>
                </c:pt>
                <c:pt idx="102">
                  <c:v>102</c:v>
                </c:pt>
                <c:pt idx="103">
                  <c:v>103</c:v>
                </c:pt>
                <c:pt idx="104">
                  <c:v>104</c:v>
                </c:pt>
                <c:pt idx="105">
                  <c:v>105</c:v>
                </c:pt>
                <c:pt idx="106">
                  <c:v>106</c:v>
                </c:pt>
                <c:pt idx="107">
                  <c:v>107</c:v>
                </c:pt>
                <c:pt idx="108">
                  <c:v>108</c:v>
                </c:pt>
                <c:pt idx="109">
                  <c:v>109</c:v>
                </c:pt>
                <c:pt idx="110">
                  <c:v>110</c:v>
                </c:pt>
                <c:pt idx="111">
                  <c:v>111</c:v>
                </c:pt>
                <c:pt idx="112">
                  <c:v>112</c:v>
                </c:pt>
                <c:pt idx="113">
                  <c:v>113</c:v>
                </c:pt>
                <c:pt idx="114">
                  <c:v>114</c:v>
                </c:pt>
                <c:pt idx="115">
                  <c:v>115</c:v>
                </c:pt>
                <c:pt idx="116">
                  <c:v>116</c:v>
                </c:pt>
                <c:pt idx="117">
                  <c:v>117</c:v>
                </c:pt>
                <c:pt idx="118">
                  <c:v>118</c:v>
                </c:pt>
                <c:pt idx="119">
                  <c:v>119</c:v>
                </c:pt>
                <c:pt idx="120">
                  <c:v>120</c:v>
                </c:pt>
                <c:pt idx="121">
                  <c:v>121</c:v>
                </c:pt>
                <c:pt idx="122">
                  <c:v>122</c:v>
                </c:pt>
                <c:pt idx="123">
                  <c:v>123</c:v>
                </c:pt>
                <c:pt idx="124">
                  <c:v>124</c:v>
                </c:pt>
                <c:pt idx="125">
                  <c:v>125</c:v>
                </c:pt>
                <c:pt idx="126">
                  <c:v>126</c:v>
                </c:pt>
                <c:pt idx="127">
                  <c:v>127</c:v>
                </c:pt>
                <c:pt idx="128">
                  <c:v>128</c:v>
                </c:pt>
                <c:pt idx="129">
                  <c:v>129</c:v>
                </c:pt>
                <c:pt idx="130">
                  <c:v>130</c:v>
                </c:pt>
                <c:pt idx="131">
                  <c:v>131</c:v>
                </c:pt>
                <c:pt idx="132">
                  <c:v>132</c:v>
                </c:pt>
                <c:pt idx="133">
                  <c:v>133</c:v>
                </c:pt>
                <c:pt idx="134">
                  <c:v>134</c:v>
                </c:pt>
                <c:pt idx="135">
                  <c:v>135</c:v>
                </c:pt>
                <c:pt idx="136">
                  <c:v>136</c:v>
                </c:pt>
                <c:pt idx="137">
                  <c:v>137</c:v>
                </c:pt>
                <c:pt idx="138">
                  <c:v>138</c:v>
                </c:pt>
                <c:pt idx="139">
                  <c:v>139</c:v>
                </c:pt>
                <c:pt idx="140">
                  <c:v>140</c:v>
                </c:pt>
                <c:pt idx="141">
                  <c:v>141</c:v>
                </c:pt>
                <c:pt idx="142">
                  <c:v>142</c:v>
                </c:pt>
                <c:pt idx="143">
                  <c:v>143</c:v>
                </c:pt>
                <c:pt idx="144">
                  <c:v>144</c:v>
                </c:pt>
                <c:pt idx="145">
                  <c:v>145</c:v>
                </c:pt>
                <c:pt idx="146">
                  <c:v>146</c:v>
                </c:pt>
                <c:pt idx="147">
                  <c:v>147</c:v>
                </c:pt>
                <c:pt idx="148">
                  <c:v>148</c:v>
                </c:pt>
                <c:pt idx="149">
                  <c:v>149</c:v>
                </c:pt>
                <c:pt idx="150">
                  <c:v>150</c:v>
                </c:pt>
                <c:pt idx="151">
                  <c:v>151</c:v>
                </c:pt>
                <c:pt idx="152">
                  <c:v>152</c:v>
                </c:pt>
                <c:pt idx="153">
                  <c:v>153</c:v>
                </c:pt>
                <c:pt idx="154">
                  <c:v>154</c:v>
                </c:pt>
                <c:pt idx="155">
                  <c:v>155</c:v>
                </c:pt>
                <c:pt idx="156">
                  <c:v>156</c:v>
                </c:pt>
                <c:pt idx="157">
                  <c:v>157</c:v>
                </c:pt>
                <c:pt idx="158">
                  <c:v>158</c:v>
                </c:pt>
                <c:pt idx="159">
                  <c:v>159</c:v>
                </c:pt>
                <c:pt idx="160">
                  <c:v>160</c:v>
                </c:pt>
                <c:pt idx="161">
                  <c:v>161</c:v>
                </c:pt>
                <c:pt idx="162">
                  <c:v>162</c:v>
                </c:pt>
                <c:pt idx="163">
                  <c:v>163</c:v>
                </c:pt>
                <c:pt idx="164">
                  <c:v>164</c:v>
                </c:pt>
                <c:pt idx="165">
                  <c:v>165</c:v>
                </c:pt>
                <c:pt idx="166">
                  <c:v>166</c:v>
                </c:pt>
                <c:pt idx="167">
                  <c:v>167</c:v>
                </c:pt>
                <c:pt idx="168">
                  <c:v>168</c:v>
                </c:pt>
                <c:pt idx="169">
                  <c:v>169</c:v>
                </c:pt>
                <c:pt idx="170">
                  <c:v>170</c:v>
                </c:pt>
                <c:pt idx="171">
                  <c:v>171</c:v>
                </c:pt>
                <c:pt idx="172">
                  <c:v>172</c:v>
                </c:pt>
                <c:pt idx="173">
                  <c:v>173</c:v>
                </c:pt>
                <c:pt idx="174">
                  <c:v>174</c:v>
                </c:pt>
                <c:pt idx="175">
                  <c:v>175</c:v>
                </c:pt>
                <c:pt idx="176">
                  <c:v>176</c:v>
                </c:pt>
                <c:pt idx="177">
                  <c:v>177</c:v>
                </c:pt>
                <c:pt idx="178">
                  <c:v>178</c:v>
                </c:pt>
                <c:pt idx="179">
                  <c:v>179</c:v>
                </c:pt>
                <c:pt idx="180">
                  <c:v>180</c:v>
                </c:pt>
                <c:pt idx="181">
                  <c:v>181</c:v>
                </c:pt>
                <c:pt idx="182">
                  <c:v>182</c:v>
                </c:pt>
                <c:pt idx="183">
                  <c:v>183</c:v>
                </c:pt>
                <c:pt idx="184">
                  <c:v>184</c:v>
                </c:pt>
                <c:pt idx="185">
                  <c:v>185</c:v>
                </c:pt>
                <c:pt idx="186">
                  <c:v>186</c:v>
                </c:pt>
                <c:pt idx="187">
                  <c:v>187</c:v>
                </c:pt>
                <c:pt idx="188">
                  <c:v>188</c:v>
                </c:pt>
                <c:pt idx="189">
                  <c:v>189</c:v>
                </c:pt>
                <c:pt idx="190">
                  <c:v>190</c:v>
                </c:pt>
                <c:pt idx="191">
                  <c:v>191</c:v>
                </c:pt>
                <c:pt idx="192">
                  <c:v>192</c:v>
                </c:pt>
              </c:numCache>
            </c:numRef>
          </c:xVal>
          <c:yVal>
            <c:numRef>
              <c:f>'Hydrograph (2)'!$B$3:$B$279</c:f>
              <c:numCache>
                <c:formatCode>General</c:formatCode>
                <c:ptCount val="277"/>
                <c:pt idx="0">
                  <c:v>0</c:v>
                </c:pt>
                <c:pt idx="1">
                  <c:v>0</c:v>
                </c:pt>
                <c:pt idx="2">
                  <c:v>0</c:v>
                </c:pt>
                <c:pt idx="3">
                  <c:v>0</c:v>
                </c:pt>
                <c:pt idx="4">
                  <c:v>0</c:v>
                </c:pt>
                <c:pt idx="5">
                  <c:v>0</c:v>
                </c:pt>
                <c:pt idx="6">
                  <c:v>0</c:v>
                </c:pt>
                <c:pt idx="7">
                  <c:v>0</c:v>
                </c:pt>
                <c:pt idx="8">
                  <c:v>0</c:v>
                </c:pt>
                <c:pt idx="9">
                  <c:v>0</c:v>
                </c:pt>
                <c:pt idx="10">
                  <c:v>0.01</c:v>
                </c:pt>
                <c:pt idx="11">
                  <c:v>0.31</c:v>
                </c:pt>
                <c:pt idx="12">
                  <c:v>8.1</c:v>
                </c:pt>
                <c:pt idx="13">
                  <c:v>329.49</c:v>
                </c:pt>
                <c:pt idx="14">
                  <c:v>509.96</c:v>
                </c:pt>
                <c:pt idx="15">
                  <c:v>671.53</c:v>
                </c:pt>
                <c:pt idx="16">
                  <c:v>841.92</c:v>
                </c:pt>
                <c:pt idx="17">
                  <c:v>977.54</c:v>
                </c:pt>
                <c:pt idx="18">
                  <c:v>978.93</c:v>
                </c:pt>
                <c:pt idx="19">
                  <c:v>982.47</c:v>
                </c:pt>
                <c:pt idx="20">
                  <c:v>929.61</c:v>
                </c:pt>
                <c:pt idx="21">
                  <c:v>857.76</c:v>
                </c:pt>
                <c:pt idx="22">
                  <c:v>824</c:v>
                </c:pt>
                <c:pt idx="23">
                  <c:v>820.05</c:v>
                </c:pt>
                <c:pt idx="24">
                  <c:v>795.47</c:v>
                </c:pt>
                <c:pt idx="25">
                  <c:v>739.98</c:v>
                </c:pt>
                <c:pt idx="26">
                  <c:v>675.84</c:v>
                </c:pt>
                <c:pt idx="27">
                  <c:v>611.02</c:v>
                </c:pt>
                <c:pt idx="28">
                  <c:v>551.07000000000005</c:v>
                </c:pt>
                <c:pt idx="29">
                  <c:v>495.17</c:v>
                </c:pt>
                <c:pt idx="30">
                  <c:v>445.83</c:v>
                </c:pt>
                <c:pt idx="31">
                  <c:v>400.45</c:v>
                </c:pt>
                <c:pt idx="32">
                  <c:v>359.86</c:v>
                </c:pt>
                <c:pt idx="33">
                  <c:v>324.3</c:v>
                </c:pt>
                <c:pt idx="34">
                  <c:v>293.81</c:v>
                </c:pt>
                <c:pt idx="35">
                  <c:v>266.88</c:v>
                </c:pt>
                <c:pt idx="36">
                  <c:v>242.24</c:v>
                </c:pt>
                <c:pt idx="37">
                  <c:v>220.51</c:v>
                </c:pt>
                <c:pt idx="38">
                  <c:v>201.47</c:v>
                </c:pt>
                <c:pt idx="39">
                  <c:v>184.46</c:v>
                </c:pt>
                <c:pt idx="40">
                  <c:v>168.7</c:v>
                </c:pt>
                <c:pt idx="41">
                  <c:v>154.6</c:v>
                </c:pt>
                <c:pt idx="42">
                  <c:v>141.85</c:v>
                </c:pt>
                <c:pt idx="43">
                  <c:v>130.21</c:v>
                </c:pt>
                <c:pt idx="44">
                  <c:v>119.7</c:v>
                </c:pt>
                <c:pt idx="45">
                  <c:v>110.12</c:v>
                </c:pt>
                <c:pt idx="46">
                  <c:v>101.64</c:v>
                </c:pt>
                <c:pt idx="47">
                  <c:v>94.12</c:v>
                </c:pt>
                <c:pt idx="48">
                  <c:v>87.48</c:v>
                </c:pt>
                <c:pt idx="49">
                  <c:v>81.5</c:v>
                </c:pt>
                <c:pt idx="50">
                  <c:v>76.09</c:v>
                </c:pt>
                <c:pt idx="51">
                  <c:v>71.010000000000005</c:v>
                </c:pt>
                <c:pt idx="52">
                  <c:v>66.25</c:v>
                </c:pt>
                <c:pt idx="53">
                  <c:v>61.83</c:v>
                </c:pt>
                <c:pt idx="54">
                  <c:v>57.97</c:v>
                </c:pt>
                <c:pt idx="55">
                  <c:v>54.43</c:v>
                </c:pt>
                <c:pt idx="56">
                  <c:v>51.26</c:v>
                </c:pt>
                <c:pt idx="57">
                  <c:v>48.27</c:v>
                </c:pt>
                <c:pt idx="58">
                  <c:v>45.62</c:v>
                </c:pt>
                <c:pt idx="59">
                  <c:v>43.22</c:v>
                </c:pt>
                <c:pt idx="60">
                  <c:v>40.98</c:v>
                </c:pt>
                <c:pt idx="61">
                  <c:v>38.950000000000003</c:v>
                </c:pt>
                <c:pt idx="62">
                  <c:v>36.97</c:v>
                </c:pt>
                <c:pt idx="63">
                  <c:v>35.21</c:v>
                </c:pt>
                <c:pt idx="64">
                  <c:v>33.479999999999997</c:v>
                </c:pt>
                <c:pt idx="65">
                  <c:v>31.89</c:v>
                </c:pt>
                <c:pt idx="66">
                  <c:v>30.45</c:v>
                </c:pt>
                <c:pt idx="67">
                  <c:v>29.17</c:v>
                </c:pt>
                <c:pt idx="68">
                  <c:v>27.98</c:v>
                </c:pt>
                <c:pt idx="69">
                  <c:v>26.86</c:v>
                </c:pt>
                <c:pt idx="70">
                  <c:v>25.79</c:v>
                </c:pt>
                <c:pt idx="71">
                  <c:v>24.82</c:v>
                </c:pt>
                <c:pt idx="72">
                  <c:v>23.95</c:v>
                </c:pt>
                <c:pt idx="73">
                  <c:v>23.1</c:v>
                </c:pt>
                <c:pt idx="74">
                  <c:v>22.27</c:v>
                </c:pt>
                <c:pt idx="75">
                  <c:v>21.52</c:v>
                </c:pt>
                <c:pt idx="76">
                  <c:v>20.8</c:v>
                </c:pt>
                <c:pt idx="77">
                  <c:v>20.11</c:v>
                </c:pt>
                <c:pt idx="78">
                  <c:v>19.45</c:v>
                </c:pt>
                <c:pt idx="79">
                  <c:v>18.82</c:v>
                </c:pt>
                <c:pt idx="80">
                  <c:v>18.239999999999998</c:v>
                </c:pt>
                <c:pt idx="81">
                  <c:v>17.690000000000001</c:v>
                </c:pt>
                <c:pt idx="82">
                  <c:v>17.170000000000002</c:v>
                </c:pt>
                <c:pt idx="83">
                  <c:v>16.670000000000002</c:v>
                </c:pt>
                <c:pt idx="84">
                  <c:v>16.190000000000001</c:v>
                </c:pt>
                <c:pt idx="85">
                  <c:v>15.75</c:v>
                </c:pt>
                <c:pt idx="86">
                  <c:v>15.33</c:v>
                </c:pt>
                <c:pt idx="87">
                  <c:v>14.94</c:v>
                </c:pt>
                <c:pt idx="88">
                  <c:v>14.54</c:v>
                </c:pt>
                <c:pt idx="89">
                  <c:v>14.15</c:v>
                </c:pt>
                <c:pt idx="90">
                  <c:v>13.8</c:v>
                </c:pt>
                <c:pt idx="91">
                  <c:v>13.49</c:v>
                </c:pt>
                <c:pt idx="92">
                  <c:v>13.18</c:v>
                </c:pt>
                <c:pt idx="93">
                  <c:v>12.86</c:v>
                </c:pt>
                <c:pt idx="94">
                  <c:v>12.54</c:v>
                </c:pt>
                <c:pt idx="95">
                  <c:v>12.23</c:v>
                </c:pt>
                <c:pt idx="96">
                  <c:v>11.94</c:v>
                </c:pt>
                <c:pt idx="97">
                  <c:v>11.66</c:v>
                </c:pt>
                <c:pt idx="98">
                  <c:v>11.39</c:v>
                </c:pt>
                <c:pt idx="99">
                  <c:v>11.12</c:v>
                </c:pt>
                <c:pt idx="100">
                  <c:v>10.87</c:v>
                </c:pt>
                <c:pt idx="101">
                  <c:v>10.62</c:v>
                </c:pt>
                <c:pt idx="102">
                  <c:v>10.38</c:v>
                </c:pt>
                <c:pt idx="103">
                  <c:v>10.15</c:v>
                </c:pt>
                <c:pt idx="104">
                  <c:v>9.94</c:v>
                </c:pt>
                <c:pt idx="105">
                  <c:v>9.73</c:v>
                </c:pt>
                <c:pt idx="106">
                  <c:v>9.5399999999999991</c:v>
                </c:pt>
                <c:pt idx="107">
                  <c:v>9.34</c:v>
                </c:pt>
                <c:pt idx="108">
                  <c:v>9.16</c:v>
                </c:pt>
                <c:pt idx="109">
                  <c:v>8.99</c:v>
                </c:pt>
                <c:pt idx="110">
                  <c:v>8.82</c:v>
                </c:pt>
                <c:pt idx="111">
                  <c:v>8.65</c:v>
                </c:pt>
                <c:pt idx="112">
                  <c:v>8.49</c:v>
                </c:pt>
                <c:pt idx="113">
                  <c:v>8.34</c:v>
                </c:pt>
                <c:pt idx="114">
                  <c:v>8.19</c:v>
                </c:pt>
                <c:pt idx="115">
                  <c:v>8.0500000000000007</c:v>
                </c:pt>
                <c:pt idx="116">
                  <c:v>7.91</c:v>
                </c:pt>
                <c:pt idx="117">
                  <c:v>7.78</c:v>
                </c:pt>
                <c:pt idx="118">
                  <c:v>7.65</c:v>
                </c:pt>
                <c:pt idx="119">
                  <c:v>7.53</c:v>
                </c:pt>
                <c:pt idx="120">
                  <c:v>7.41</c:v>
                </c:pt>
                <c:pt idx="121">
                  <c:v>7.29</c:v>
                </c:pt>
                <c:pt idx="122">
                  <c:v>7.17</c:v>
                </c:pt>
                <c:pt idx="123">
                  <c:v>7.06</c:v>
                </c:pt>
                <c:pt idx="124">
                  <c:v>6.95</c:v>
                </c:pt>
                <c:pt idx="125">
                  <c:v>6.84</c:v>
                </c:pt>
                <c:pt idx="126">
                  <c:v>6.73</c:v>
                </c:pt>
                <c:pt idx="127">
                  <c:v>6.63</c:v>
                </c:pt>
                <c:pt idx="128">
                  <c:v>6.53</c:v>
                </c:pt>
                <c:pt idx="129">
                  <c:v>6.43</c:v>
                </c:pt>
                <c:pt idx="130">
                  <c:v>6.34</c:v>
                </c:pt>
                <c:pt idx="131">
                  <c:v>6.25</c:v>
                </c:pt>
                <c:pt idx="132">
                  <c:v>6.16</c:v>
                </c:pt>
                <c:pt idx="133">
                  <c:v>6.07</c:v>
                </c:pt>
                <c:pt idx="134">
                  <c:v>5.99</c:v>
                </c:pt>
                <c:pt idx="135">
                  <c:v>5.9</c:v>
                </c:pt>
                <c:pt idx="136">
                  <c:v>5.81</c:v>
                </c:pt>
                <c:pt idx="137">
                  <c:v>5.73</c:v>
                </c:pt>
                <c:pt idx="138">
                  <c:v>5.65</c:v>
                </c:pt>
                <c:pt idx="139">
                  <c:v>5.58</c:v>
                </c:pt>
                <c:pt idx="140">
                  <c:v>5.5</c:v>
                </c:pt>
                <c:pt idx="141">
                  <c:v>5.42</c:v>
                </c:pt>
                <c:pt idx="142">
                  <c:v>5.35</c:v>
                </c:pt>
                <c:pt idx="143">
                  <c:v>5.29</c:v>
                </c:pt>
                <c:pt idx="144">
                  <c:v>5.23</c:v>
                </c:pt>
                <c:pt idx="145">
                  <c:v>5.16</c:v>
                </c:pt>
                <c:pt idx="146">
                  <c:v>5.09</c:v>
                </c:pt>
                <c:pt idx="147">
                  <c:v>5.03</c:v>
                </c:pt>
                <c:pt idx="148">
                  <c:v>4.96</c:v>
                </c:pt>
                <c:pt idx="149">
                  <c:v>4.9000000000000004</c:v>
                </c:pt>
                <c:pt idx="150">
                  <c:v>4.8099999999999996</c:v>
                </c:pt>
                <c:pt idx="151">
                  <c:v>4.78</c:v>
                </c:pt>
                <c:pt idx="152">
                  <c:v>4.72</c:v>
                </c:pt>
                <c:pt idx="153">
                  <c:v>4.66</c:v>
                </c:pt>
                <c:pt idx="154">
                  <c:v>4.6100000000000003</c:v>
                </c:pt>
                <c:pt idx="155">
                  <c:v>4.5599999999999996</c:v>
                </c:pt>
                <c:pt idx="156">
                  <c:v>4.51</c:v>
                </c:pt>
                <c:pt idx="157">
                  <c:v>4.46</c:v>
                </c:pt>
                <c:pt idx="158">
                  <c:v>4.41</c:v>
                </c:pt>
                <c:pt idx="159">
                  <c:v>4.3600000000000003</c:v>
                </c:pt>
                <c:pt idx="160">
                  <c:v>4.3</c:v>
                </c:pt>
                <c:pt idx="161">
                  <c:v>4.25</c:v>
                </c:pt>
                <c:pt idx="162">
                  <c:v>4.1900000000000004</c:v>
                </c:pt>
                <c:pt idx="163">
                  <c:v>4.1399999999999997</c:v>
                </c:pt>
                <c:pt idx="164">
                  <c:v>4.09</c:v>
                </c:pt>
                <c:pt idx="165">
                  <c:v>4.04</c:v>
                </c:pt>
                <c:pt idx="166">
                  <c:v>4</c:v>
                </c:pt>
                <c:pt idx="167">
                  <c:v>3.95</c:v>
                </c:pt>
                <c:pt idx="168">
                  <c:v>3.9</c:v>
                </c:pt>
                <c:pt idx="169">
                  <c:v>5484.89</c:v>
                </c:pt>
                <c:pt idx="170">
                  <c:v>5420.33</c:v>
                </c:pt>
                <c:pt idx="171">
                  <c:v>5355.77</c:v>
                </c:pt>
                <c:pt idx="172">
                  <c:v>5291.21</c:v>
                </c:pt>
                <c:pt idx="173">
                  <c:v>5226.6499999999996</c:v>
                </c:pt>
                <c:pt idx="174">
                  <c:v>5162.09</c:v>
                </c:pt>
                <c:pt idx="175">
                  <c:v>5097.53</c:v>
                </c:pt>
                <c:pt idx="176">
                  <c:v>5032.97</c:v>
                </c:pt>
                <c:pt idx="177">
                  <c:v>4968.41</c:v>
                </c:pt>
                <c:pt idx="178">
                  <c:v>4903.8500000000004</c:v>
                </c:pt>
                <c:pt idx="179">
                  <c:v>4839.29</c:v>
                </c:pt>
                <c:pt idx="180">
                  <c:v>4774.7299999999996</c:v>
                </c:pt>
                <c:pt idx="181">
                  <c:v>4710.17</c:v>
                </c:pt>
                <c:pt idx="182">
                  <c:v>4645.6099999999997</c:v>
                </c:pt>
                <c:pt idx="183">
                  <c:v>4581.05</c:v>
                </c:pt>
                <c:pt idx="184">
                  <c:v>4516.49</c:v>
                </c:pt>
                <c:pt idx="185">
                  <c:v>4451.92</c:v>
                </c:pt>
                <c:pt idx="186">
                  <c:v>4387.3599999999997</c:v>
                </c:pt>
                <c:pt idx="187">
                  <c:v>4322.8</c:v>
                </c:pt>
                <c:pt idx="188">
                  <c:v>4258.24</c:v>
                </c:pt>
                <c:pt idx="189">
                  <c:v>4193.68</c:v>
                </c:pt>
                <c:pt idx="190">
                  <c:v>4129.12</c:v>
                </c:pt>
                <c:pt idx="191">
                  <c:v>4064.56</c:v>
                </c:pt>
                <c:pt idx="192">
                  <c:v>4000</c:v>
                </c:pt>
              </c:numCache>
            </c:numRef>
          </c:yVal>
          <c:smooth val="1"/>
          <c:extLst xmlns:c16r2="http://schemas.microsoft.com/office/drawing/2015/06/chart">
            <c:ext xmlns:c16="http://schemas.microsoft.com/office/drawing/2014/chart" uri="{C3380CC4-5D6E-409C-BE32-E72D297353CC}">
              <c16:uniqueId val="{00000004-E3D3-4C69-8E12-7F78CE2323E9}"/>
            </c:ext>
          </c:extLst>
        </c:ser>
        <c:ser>
          <c:idx val="5"/>
          <c:order val="5"/>
          <c:tx>
            <c:v>1 Percent Plus Annual Chance</c:v>
          </c:tx>
          <c:marker>
            <c:symbol val="none"/>
          </c:marker>
          <c:xVal>
            <c:numRef>
              <c:f>'Hydrograph (2)'!$A$3:$A$195</c:f>
              <c:numCache>
                <c:formatCode>0.00</c:formatCode>
                <c:ptCount val="193"/>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pt idx="101">
                  <c:v>101</c:v>
                </c:pt>
                <c:pt idx="102">
                  <c:v>102</c:v>
                </c:pt>
                <c:pt idx="103">
                  <c:v>103</c:v>
                </c:pt>
                <c:pt idx="104">
                  <c:v>104</c:v>
                </c:pt>
                <c:pt idx="105">
                  <c:v>105</c:v>
                </c:pt>
                <c:pt idx="106">
                  <c:v>106</c:v>
                </c:pt>
                <c:pt idx="107">
                  <c:v>107</c:v>
                </c:pt>
                <c:pt idx="108">
                  <c:v>108</c:v>
                </c:pt>
                <c:pt idx="109">
                  <c:v>109</c:v>
                </c:pt>
                <c:pt idx="110">
                  <c:v>110</c:v>
                </c:pt>
                <c:pt idx="111">
                  <c:v>111</c:v>
                </c:pt>
                <c:pt idx="112">
                  <c:v>112</c:v>
                </c:pt>
                <c:pt idx="113">
                  <c:v>113</c:v>
                </c:pt>
                <c:pt idx="114">
                  <c:v>114</c:v>
                </c:pt>
                <c:pt idx="115">
                  <c:v>115</c:v>
                </c:pt>
                <c:pt idx="116">
                  <c:v>116</c:v>
                </c:pt>
                <c:pt idx="117">
                  <c:v>117</c:v>
                </c:pt>
                <c:pt idx="118">
                  <c:v>118</c:v>
                </c:pt>
                <c:pt idx="119">
                  <c:v>119</c:v>
                </c:pt>
                <c:pt idx="120">
                  <c:v>120</c:v>
                </c:pt>
                <c:pt idx="121">
                  <c:v>121</c:v>
                </c:pt>
                <c:pt idx="122">
                  <c:v>122</c:v>
                </c:pt>
                <c:pt idx="123">
                  <c:v>123</c:v>
                </c:pt>
                <c:pt idx="124">
                  <c:v>124</c:v>
                </c:pt>
                <c:pt idx="125">
                  <c:v>125</c:v>
                </c:pt>
                <c:pt idx="126">
                  <c:v>126</c:v>
                </c:pt>
                <c:pt idx="127">
                  <c:v>127</c:v>
                </c:pt>
                <c:pt idx="128">
                  <c:v>128</c:v>
                </c:pt>
                <c:pt idx="129">
                  <c:v>129</c:v>
                </c:pt>
                <c:pt idx="130">
                  <c:v>130</c:v>
                </c:pt>
                <c:pt idx="131">
                  <c:v>131</c:v>
                </c:pt>
                <c:pt idx="132">
                  <c:v>132</c:v>
                </c:pt>
                <c:pt idx="133">
                  <c:v>133</c:v>
                </c:pt>
                <c:pt idx="134">
                  <c:v>134</c:v>
                </c:pt>
                <c:pt idx="135">
                  <c:v>135</c:v>
                </c:pt>
                <c:pt idx="136">
                  <c:v>136</c:v>
                </c:pt>
                <c:pt idx="137">
                  <c:v>137</c:v>
                </c:pt>
                <c:pt idx="138">
                  <c:v>138</c:v>
                </c:pt>
                <c:pt idx="139">
                  <c:v>139</c:v>
                </c:pt>
                <c:pt idx="140">
                  <c:v>140</c:v>
                </c:pt>
                <c:pt idx="141">
                  <c:v>141</c:v>
                </c:pt>
                <c:pt idx="142">
                  <c:v>142</c:v>
                </c:pt>
                <c:pt idx="143">
                  <c:v>143</c:v>
                </c:pt>
                <c:pt idx="144">
                  <c:v>144</c:v>
                </c:pt>
                <c:pt idx="145">
                  <c:v>145</c:v>
                </c:pt>
                <c:pt idx="146">
                  <c:v>146</c:v>
                </c:pt>
                <c:pt idx="147">
                  <c:v>147</c:v>
                </c:pt>
                <c:pt idx="148">
                  <c:v>148</c:v>
                </c:pt>
                <c:pt idx="149">
                  <c:v>149</c:v>
                </c:pt>
                <c:pt idx="150">
                  <c:v>150</c:v>
                </c:pt>
                <c:pt idx="151">
                  <c:v>151</c:v>
                </c:pt>
                <c:pt idx="152">
                  <c:v>152</c:v>
                </c:pt>
                <c:pt idx="153">
                  <c:v>153</c:v>
                </c:pt>
                <c:pt idx="154">
                  <c:v>154</c:v>
                </c:pt>
                <c:pt idx="155">
                  <c:v>155</c:v>
                </c:pt>
                <c:pt idx="156">
                  <c:v>156</c:v>
                </c:pt>
                <c:pt idx="157">
                  <c:v>157</c:v>
                </c:pt>
                <c:pt idx="158">
                  <c:v>158</c:v>
                </c:pt>
                <c:pt idx="159">
                  <c:v>159</c:v>
                </c:pt>
                <c:pt idx="160">
                  <c:v>160</c:v>
                </c:pt>
                <c:pt idx="161">
                  <c:v>161</c:v>
                </c:pt>
                <c:pt idx="162">
                  <c:v>162</c:v>
                </c:pt>
                <c:pt idx="163">
                  <c:v>163</c:v>
                </c:pt>
                <c:pt idx="164">
                  <c:v>164</c:v>
                </c:pt>
                <c:pt idx="165">
                  <c:v>165</c:v>
                </c:pt>
                <c:pt idx="166">
                  <c:v>166</c:v>
                </c:pt>
                <c:pt idx="167">
                  <c:v>167</c:v>
                </c:pt>
                <c:pt idx="168">
                  <c:v>168</c:v>
                </c:pt>
                <c:pt idx="169">
                  <c:v>169</c:v>
                </c:pt>
                <c:pt idx="170">
                  <c:v>170</c:v>
                </c:pt>
                <c:pt idx="171">
                  <c:v>171</c:v>
                </c:pt>
                <c:pt idx="172">
                  <c:v>172</c:v>
                </c:pt>
                <c:pt idx="173">
                  <c:v>173</c:v>
                </c:pt>
                <c:pt idx="174">
                  <c:v>174</c:v>
                </c:pt>
                <c:pt idx="175">
                  <c:v>175</c:v>
                </c:pt>
                <c:pt idx="176">
                  <c:v>176</c:v>
                </c:pt>
                <c:pt idx="177">
                  <c:v>177</c:v>
                </c:pt>
                <c:pt idx="178">
                  <c:v>178</c:v>
                </c:pt>
                <c:pt idx="179">
                  <c:v>179</c:v>
                </c:pt>
                <c:pt idx="180">
                  <c:v>180</c:v>
                </c:pt>
                <c:pt idx="181">
                  <c:v>181</c:v>
                </c:pt>
                <c:pt idx="182">
                  <c:v>182</c:v>
                </c:pt>
                <c:pt idx="183">
                  <c:v>183</c:v>
                </c:pt>
                <c:pt idx="184">
                  <c:v>184</c:v>
                </c:pt>
                <c:pt idx="185">
                  <c:v>185</c:v>
                </c:pt>
                <c:pt idx="186">
                  <c:v>186</c:v>
                </c:pt>
                <c:pt idx="187">
                  <c:v>187</c:v>
                </c:pt>
                <c:pt idx="188">
                  <c:v>188</c:v>
                </c:pt>
                <c:pt idx="189">
                  <c:v>189</c:v>
                </c:pt>
                <c:pt idx="190">
                  <c:v>190</c:v>
                </c:pt>
                <c:pt idx="191">
                  <c:v>191</c:v>
                </c:pt>
                <c:pt idx="192">
                  <c:v>192</c:v>
                </c:pt>
              </c:numCache>
            </c:numRef>
          </c:xVal>
          <c:yVal>
            <c:numRef>
              <c:f>'Hydrograph (2)'!$G$3:$G$1048576</c:f>
              <c:numCache>
                <c:formatCode>General</c:formatCode>
                <c:ptCount val="1048574"/>
                <c:pt idx="0">
                  <c:v>0</c:v>
                </c:pt>
                <c:pt idx="1">
                  <c:v>0</c:v>
                </c:pt>
                <c:pt idx="2">
                  <c:v>0</c:v>
                </c:pt>
                <c:pt idx="3">
                  <c:v>0</c:v>
                </c:pt>
                <c:pt idx="4">
                  <c:v>0</c:v>
                </c:pt>
                <c:pt idx="5">
                  <c:v>0.01</c:v>
                </c:pt>
                <c:pt idx="6">
                  <c:v>0.12</c:v>
                </c:pt>
                <c:pt idx="7">
                  <c:v>0.66</c:v>
                </c:pt>
                <c:pt idx="8">
                  <c:v>1.79</c:v>
                </c:pt>
                <c:pt idx="9">
                  <c:v>23.68</c:v>
                </c:pt>
                <c:pt idx="10">
                  <c:v>68.53</c:v>
                </c:pt>
                <c:pt idx="11">
                  <c:v>143.16</c:v>
                </c:pt>
                <c:pt idx="12">
                  <c:v>667.65</c:v>
                </c:pt>
                <c:pt idx="13">
                  <c:v>3737</c:v>
                </c:pt>
                <c:pt idx="14">
                  <c:v>5288.59</c:v>
                </c:pt>
                <c:pt idx="15">
                  <c:v>6032.67</c:v>
                </c:pt>
                <c:pt idx="16">
                  <c:v>6269.06</c:v>
                </c:pt>
                <c:pt idx="17">
                  <c:v>5989.43</c:v>
                </c:pt>
                <c:pt idx="18">
                  <c:v>5219</c:v>
                </c:pt>
                <c:pt idx="19">
                  <c:v>4387.12</c:v>
                </c:pt>
                <c:pt idx="20">
                  <c:v>3655.64</c:v>
                </c:pt>
                <c:pt idx="21">
                  <c:v>3081.16</c:v>
                </c:pt>
                <c:pt idx="22">
                  <c:v>2633.66</c:v>
                </c:pt>
                <c:pt idx="23">
                  <c:v>2292.81</c:v>
                </c:pt>
                <c:pt idx="24">
                  <c:v>2029.02</c:v>
                </c:pt>
                <c:pt idx="25">
                  <c:v>1790.29</c:v>
                </c:pt>
                <c:pt idx="26">
                  <c:v>1579.4</c:v>
                </c:pt>
                <c:pt idx="27">
                  <c:v>1402.73</c:v>
                </c:pt>
                <c:pt idx="28">
                  <c:v>1255.8900000000001</c:v>
                </c:pt>
                <c:pt idx="29">
                  <c:v>1133.95</c:v>
                </c:pt>
                <c:pt idx="30">
                  <c:v>1029.56</c:v>
                </c:pt>
                <c:pt idx="31">
                  <c:v>934.76</c:v>
                </c:pt>
                <c:pt idx="32">
                  <c:v>842.28</c:v>
                </c:pt>
                <c:pt idx="33">
                  <c:v>755.91</c:v>
                </c:pt>
                <c:pt idx="34">
                  <c:v>677.99</c:v>
                </c:pt>
                <c:pt idx="35">
                  <c:v>609.13</c:v>
                </c:pt>
                <c:pt idx="36">
                  <c:v>549.28</c:v>
                </c:pt>
                <c:pt idx="37">
                  <c:v>496.72</c:v>
                </c:pt>
                <c:pt idx="38">
                  <c:v>449.42</c:v>
                </c:pt>
                <c:pt idx="39">
                  <c:v>406.92</c:v>
                </c:pt>
                <c:pt idx="40">
                  <c:v>369.25</c:v>
                </c:pt>
                <c:pt idx="41">
                  <c:v>335.55</c:v>
                </c:pt>
                <c:pt idx="42">
                  <c:v>306.23</c:v>
                </c:pt>
                <c:pt idx="43">
                  <c:v>280.08</c:v>
                </c:pt>
                <c:pt idx="44">
                  <c:v>256.35000000000002</c:v>
                </c:pt>
                <c:pt idx="45">
                  <c:v>235.03</c:v>
                </c:pt>
                <c:pt idx="46">
                  <c:v>215.61</c:v>
                </c:pt>
                <c:pt idx="47">
                  <c:v>198.73</c:v>
                </c:pt>
                <c:pt idx="48">
                  <c:v>182.91</c:v>
                </c:pt>
                <c:pt idx="49">
                  <c:v>169.09</c:v>
                </c:pt>
                <c:pt idx="50">
                  <c:v>156.93</c:v>
                </c:pt>
                <c:pt idx="51">
                  <c:v>146.03</c:v>
                </c:pt>
                <c:pt idx="52">
                  <c:v>136.35</c:v>
                </c:pt>
                <c:pt idx="53">
                  <c:v>127.61</c:v>
                </c:pt>
                <c:pt idx="54">
                  <c:v>119.28</c:v>
                </c:pt>
                <c:pt idx="55">
                  <c:v>111.7</c:v>
                </c:pt>
                <c:pt idx="56">
                  <c:v>104.94</c:v>
                </c:pt>
                <c:pt idx="57">
                  <c:v>98.86</c:v>
                </c:pt>
                <c:pt idx="58">
                  <c:v>93.4</c:v>
                </c:pt>
                <c:pt idx="59">
                  <c:v>88.58</c:v>
                </c:pt>
                <c:pt idx="60">
                  <c:v>84.08</c:v>
                </c:pt>
                <c:pt idx="61">
                  <c:v>80.08</c:v>
                </c:pt>
                <c:pt idx="62">
                  <c:v>76.5</c:v>
                </c:pt>
                <c:pt idx="63">
                  <c:v>73.17</c:v>
                </c:pt>
                <c:pt idx="64">
                  <c:v>70</c:v>
                </c:pt>
                <c:pt idx="65">
                  <c:v>66.92</c:v>
                </c:pt>
                <c:pt idx="66">
                  <c:v>64.209999999999994</c:v>
                </c:pt>
                <c:pt idx="67">
                  <c:v>61.68</c:v>
                </c:pt>
                <c:pt idx="68">
                  <c:v>59.3</c:v>
                </c:pt>
                <c:pt idx="69">
                  <c:v>57.1</c:v>
                </c:pt>
                <c:pt idx="70">
                  <c:v>55.03</c:v>
                </c:pt>
                <c:pt idx="71">
                  <c:v>53.13</c:v>
                </c:pt>
                <c:pt idx="72">
                  <c:v>51.32</c:v>
                </c:pt>
                <c:pt idx="73">
                  <c:v>49.66</c:v>
                </c:pt>
                <c:pt idx="74">
                  <c:v>47.99</c:v>
                </c:pt>
                <c:pt idx="75">
                  <c:v>46.47</c:v>
                </c:pt>
                <c:pt idx="76">
                  <c:v>44.98</c:v>
                </c:pt>
                <c:pt idx="77">
                  <c:v>43.57</c:v>
                </c:pt>
                <c:pt idx="78">
                  <c:v>42.22</c:v>
                </c:pt>
                <c:pt idx="79">
                  <c:v>40.99</c:v>
                </c:pt>
                <c:pt idx="80">
                  <c:v>39.81</c:v>
                </c:pt>
                <c:pt idx="81">
                  <c:v>38.69</c:v>
                </c:pt>
                <c:pt idx="82">
                  <c:v>37.619999999999997</c:v>
                </c:pt>
                <c:pt idx="83">
                  <c:v>36.590000000000003</c:v>
                </c:pt>
                <c:pt idx="84">
                  <c:v>35.64</c:v>
                </c:pt>
                <c:pt idx="85">
                  <c:v>34.79</c:v>
                </c:pt>
                <c:pt idx="86">
                  <c:v>33.880000000000003</c:v>
                </c:pt>
                <c:pt idx="87">
                  <c:v>33.04</c:v>
                </c:pt>
                <c:pt idx="88">
                  <c:v>32.270000000000003</c:v>
                </c:pt>
                <c:pt idx="89">
                  <c:v>31.56</c:v>
                </c:pt>
                <c:pt idx="90">
                  <c:v>30.91</c:v>
                </c:pt>
                <c:pt idx="91">
                  <c:v>30.28</c:v>
                </c:pt>
                <c:pt idx="92">
                  <c:v>29.68</c:v>
                </c:pt>
                <c:pt idx="93">
                  <c:v>29.14</c:v>
                </c:pt>
                <c:pt idx="94">
                  <c:v>28.58</c:v>
                </c:pt>
                <c:pt idx="95">
                  <c:v>28.06</c:v>
                </c:pt>
                <c:pt idx="96">
                  <c:v>27.54</c:v>
                </c:pt>
                <c:pt idx="97">
                  <c:v>27</c:v>
                </c:pt>
                <c:pt idx="98">
                  <c:v>26.48</c:v>
                </c:pt>
                <c:pt idx="99">
                  <c:v>25.99</c:v>
                </c:pt>
                <c:pt idx="100">
                  <c:v>25.5</c:v>
                </c:pt>
                <c:pt idx="101">
                  <c:v>25.02</c:v>
                </c:pt>
                <c:pt idx="102">
                  <c:v>24.55</c:v>
                </c:pt>
                <c:pt idx="103">
                  <c:v>24.11</c:v>
                </c:pt>
                <c:pt idx="104">
                  <c:v>23.7</c:v>
                </c:pt>
                <c:pt idx="105">
                  <c:v>23.27</c:v>
                </c:pt>
                <c:pt idx="106">
                  <c:v>22.84</c:v>
                </c:pt>
                <c:pt idx="107">
                  <c:v>22.42</c:v>
                </c:pt>
                <c:pt idx="108">
                  <c:v>22.01</c:v>
                </c:pt>
                <c:pt idx="109">
                  <c:v>21.6</c:v>
                </c:pt>
                <c:pt idx="110">
                  <c:v>21.2</c:v>
                </c:pt>
                <c:pt idx="111">
                  <c:v>20.82</c:v>
                </c:pt>
                <c:pt idx="112">
                  <c:v>20.46</c:v>
                </c:pt>
                <c:pt idx="113">
                  <c:v>20.12</c:v>
                </c:pt>
                <c:pt idx="114">
                  <c:v>19.78</c:v>
                </c:pt>
                <c:pt idx="115">
                  <c:v>19.43</c:v>
                </c:pt>
                <c:pt idx="116">
                  <c:v>19.11</c:v>
                </c:pt>
                <c:pt idx="117">
                  <c:v>18.78</c:v>
                </c:pt>
                <c:pt idx="118">
                  <c:v>18.489999999999998</c:v>
                </c:pt>
                <c:pt idx="119">
                  <c:v>18.21</c:v>
                </c:pt>
                <c:pt idx="120">
                  <c:v>17.920000000000002</c:v>
                </c:pt>
                <c:pt idx="121">
                  <c:v>17.64</c:v>
                </c:pt>
                <c:pt idx="122">
                  <c:v>17.36</c:v>
                </c:pt>
                <c:pt idx="123">
                  <c:v>17.079999999999998</c:v>
                </c:pt>
                <c:pt idx="124">
                  <c:v>16.82</c:v>
                </c:pt>
                <c:pt idx="125">
                  <c:v>16.57</c:v>
                </c:pt>
                <c:pt idx="126">
                  <c:v>16.3</c:v>
                </c:pt>
                <c:pt idx="127">
                  <c:v>16.05</c:v>
                </c:pt>
                <c:pt idx="128">
                  <c:v>15.8</c:v>
                </c:pt>
                <c:pt idx="129">
                  <c:v>15.57</c:v>
                </c:pt>
                <c:pt idx="130">
                  <c:v>15.34</c:v>
                </c:pt>
                <c:pt idx="131">
                  <c:v>15.12</c:v>
                </c:pt>
                <c:pt idx="132">
                  <c:v>14.9</c:v>
                </c:pt>
                <c:pt idx="133">
                  <c:v>14.68</c:v>
                </c:pt>
                <c:pt idx="134">
                  <c:v>14.47</c:v>
                </c:pt>
                <c:pt idx="135">
                  <c:v>14.26</c:v>
                </c:pt>
                <c:pt idx="136">
                  <c:v>14.06</c:v>
                </c:pt>
                <c:pt idx="137">
                  <c:v>13.87</c:v>
                </c:pt>
                <c:pt idx="138">
                  <c:v>13.69</c:v>
                </c:pt>
                <c:pt idx="139">
                  <c:v>13.51</c:v>
                </c:pt>
                <c:pt idx="140">
                  <c:v>13.33</c:v>
                </c:pt>
                <c:pt idx="141">
                  <c:v>13.16</c:v>
                </c:pt>
                <c:pt idx="142">
                  <c:v>12.99</c:v>
                </c:pt>
                <c:pt idx="143">
                  <c:v>12.83</c:v>
                </c:pt>
                <c:pt idx="144">
                  <c:v>12.67</c:v>
                </c:pt>
                <c:pt idx="145">
                  <c:v>12.51</c:v>
                </c:pt>
                <c:pt idx="146">
                  <c:v>12.36</c:v>
                </c:pt>
                <c:pt idx="147">
                  <c:v>12.22</c:v>
                </c:pt>
                <c:pt idx="148">
                  <c:v>12.08</c:v>
                </c:pt>
                <c:pt idx="149">
                  <c:v>11.95</c:v>
                </c:pt>
                <c:pt idx="150">
                  <c:v>11.82</c:v>
                </c:pt>
                <c:pt idx="151">
                  <c:v>11.69</c:v>
                </c:pt>
                <c:pt idx="152">
                  <c:v>11.56</c:v>
                </c:pt>
                <c:pt idx="153">
                  <c:v>11.43</c:v>
                </c:pt>
                <c:pt idx="154">
                  <c:v>11.31</c:v>
                </c:pt>
                <c:pt idx="155">
                  <c:v>11.19</c:v>
                </c:pt>
                <c:pt idx="156">
                  <c:v>11.05</c:v>
                </c:pt>
                <c:pt idx="157">
                  <c:v>10.92</c:v>
                </c:pt>
                <c:pt idx="158">
                  <c:v>10.79</c:v>
                </c:pt>
                <c:pt idx="159">
                  <c:v>10.68</c:v>
                </c:pt>
                <c:pt idx="160">
                  <c:v>10.56</c:v>
                </c:pt>
                <c:pt idx="161">
                  <c:v>10.45</c:v>
                </c:pt>
                <c:pt idx="162">
                  <c:v>10.34</c:v>
                </c:pt>
                <c:pt idx="163">
                  <c:v>10.23</c:v>
                </c:pt>
                <c:pt idx="164">
                  <c:v>10.130000000000001</c:v>
                </c:pt>
                <c:pt idx="165">
                  <c:v>10.02</c:v>
                </c:pt>
                <c:pt idx="166">
                  <c:v>9.93</c:v>
                </c:pt>
                <c:pt idx="167">
                  <c:v>9.83</c:v>
                </c:pt>
                <c:pt idx="168">
                  <c:v>9.74</c:v>
                </c:pt>
              </c:numCache>
            </c:numRef>
          </c:yVal>
          <c:smooth val="1"/>
          <c:extLst xmlns:c16r2="http://schemas.microsoft.com/office/drawing/2015/06/chart">
            <c:ext xmlns:c16="http://schemas.microsoft.com/office/drawing/2014/chart" uri="{C3380CC4-5D6E-409C-BE32-E72D297353CC}">
              <c16:uniqueId val="{00000005-E3D3-4C69-8E12-7F78CE2323E9}"/>
            </c:ext>
          </c:extLst>
        </c:ser>
        <c:ser>
          <c:idx val="6"/>
          <c:order val="6"/>
          <c:tx>
            <c:v>1 Percent Minus Annual Chance</c:v>
          </c:tx>
          <c:marker>
            <c:symbol val="none"/>
          </c:marker>
          <c:xVal>
            <c:numRef>
              <c:f>'Hydrograph (2)'!$A$3:$A$195</c:f>
              <c:numCache>
                <c:formatCode>0.00</c:formatCode>
                <c:ptCount val="193"/>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pt idx="101">
                  <c:v>101</c:v>
                </c:pt>
                <c:pt idx="102">
                  <c:v>102</c:v>
                </c:pt>
                <c:pt idx="103">
                  <c:v>103</c:v>
                </c:pt>
                <c:pt idx="104">
                  <c:v>104</c:v>
                </c:pt>
                <c:pt idx="105">
                  <c:v>105</c:v>
                </c:pt>
                <c:pt idx="106">
                  <c:v>106</c:v>
                </c:pt>
                <c:pt idx="107">
                  <c:v>107</c:v>
                </c:pt>
                <c:pt idx="108">
                  <c:v>108</c:v>
                </c:pt>
                <c:pt idx="109">
                  <c:v>109</c:v>
                </c:pt>
                <c:pt idx="110">
                  <c:v>110</c:v>
                </c:pt>
                <c:pt idx="111">
                  <c:v>111</c:v>
                </c:pt>
                <c:pt idx="112">
                  <c:v>112</c:v>
                </c:pt>
                <c:pt idx="113">
                  <c:v>113</c:v>
                </c:pt>
                <c:pt idx="114">
                  <c:v>114</c:v>
                </c:pt>
                <c:pt idx="115">
                  <c:v>115</c:v>
                </c:pt>
                <c:pt idx="116">
                  <c:v>116</c:v>
                </c:pt>
                <c:pt idx="117">
                  <c:v>117</c:v>
                </c:pt>
                <c:pt idx="118">
                  <c:v>118</c:v>
                </c:pt>
                <c:pt idx="119">
                  <c:v>119</c:v>
                </c:pt>
                <c:pt idx="120">
                  <c:v>120</c:v>
                </c:pt>
                <c:pt idx="121">
                  <c:v>121</c:v>
                </c:pt>
                <c:pt idx="122">
                  <c:v>122</c:v>
                </c:pt>
                <c:pt idx="123">
                  <c:v>123</c:v>
                </c:pt>
                <c:pt idx="124">
                  <c:v>124</c:v>
                </c:pt>
                <c:pt idx="125">
                  <c:v>125</c:v>
                </c:pt>
                <c:pt idx="126">
                  <c:v>126</c:v>
                </c:pt>
                <c:pt idx="127">
                  <c:v>127</c:v>
                </c:pt>
                <c:pt idx="128">
                  <c:v>128</c:v>
                </c:pt>
                <c:pt idx="129">
                  <c:v>129</c:v>
                </c:pt>
                <c:pt idx="130">
                  <c:v>130</c:v>
                </c:pt>
                <c:pt idx="131">
                  <c:v>131</c:v>
                </c:pt>
                <c:pt idx="132">
                  <c:v>132</c:v>
                </c:pt>
                <c:pt idx="133">
                  <c:v>133</c:v>
                </c:pt>
                <c:pt idx="134">
                  <c:v>134</c:v>
                </c:pt>
                <c:pt idx="135">
                  <c:v>135</c:v>
                </c:pt>
                <c:pt idx="136">
                  <c:v>136</c:v>
                </c:pt>
                <c:pt idx="137">
                  <c:v>137</c:v>
                </c:pt>
                <c:pt idx="138">
                  <c:v>138</c:v>
                </c:pt>
                <c:pt idx="139">
                  <c:v>139</c:v>
                </c:pt>
                <c:pt idx="140">
                  <c:v>140</c:v>
                </c:pt>
                <c:pt idx="141">
                  <c:v>141</c:v>
                </c:pt>
                <c:pt idx="142">
                  <c:v>142</c:v>
                </c:pt>
                <c:pt idx="143">
                  <c:v>143</c:v>
                </c:pt>
                <c:pt idx="144">
                  <c:v>144</c:v>
                </c:pt>
                <c:pt idx="145">
                  <c:v>145</c:v>
                </c:pt>
                <c:pt idx="146">
                  <c:v>146</c:v>
                </c:pt>
                <c:pt idx="147">
                  <c:v>147</c:v>
                </c:pt>
                <c:pt idx="148">
                  <c:v>148</c:v>
                </c:pt>
                <c:pt idx="149">
                  <c:v>149</c:v>
                </c:pt>
                <c:pt idx="150">
                  <c:v>150</c:v>
                </c:pt>
                <c:pt idx="151">
                  <c:v>151</c:v>
                </c:pt>
                <c:pt idx="152">
                  <c:v>152</c:v>
                </c:pt>
                <c:pt idx="153">
                  <c:v>153</c:v>
                </c:pt>
                <c:pt idx="154">
                  <c:v>154</c:v>
                </c:pt>
                <c:pt idx="155">
                  <c:v>155</c:v>
                </c:pt>
                <c:pt idx="156">
                  <c:v>156</c:v>
                </c:pt>
                <c:pt idx="157">
                  <c:v>157</c:v>
                </c:pt>
                <c:pt idx="158">
                  <c:v>158</c:v>
                </c:pt>
                <c:pt idx="159">
                  <c:v>159</c:v>
                </c:pt>
                <c:pt idx="160">
                  <c:v>160</c:v>
                </c:pt>
                <c:pt idx="161">
                  <c:v>161</c:v>
                </c:pt>
                <c:pt idx="162">
                  <c:v>162</c:v>
                </c:pt>
                <c:pt idx="163">
                  <c:v>163</c:v>
                </c:pt>
                <c:pt idx="164">
                  <c:v>164</c:v>
                </c:pt>
                <c:pt idx="165">
                  <c:v>165</c:v>
                </c:pt>
                <c:pt idx="166">
                  <c:v>166</c:v>
                </c:pt>
                <c:pt idx="167">
                  <c:v>167</c:v>
                </c:pt>
                <c:pt idx="168">
                  <c:v>168</c:v>
                </c:pt>
                <c:pt idx="169">
                  <c:v>169</c:v>
                </c:pt>
                <c:pt idx="170">
                  <c:v>170</c:v>
                </c:pt>
                <c:pt idx="171">
                  <c:v>171</c:v>
                </c:pt>
                <c:pt idx="172">
                  <c:v>172</c:v>
                </c:pt>
                <c:pt idx="173">
                  <c:v>173</c:v>
                </c:pt>
                <c:pt idx="174">
                  <c:v>174</c:v>
                </c:pt>
                <c:pt idx="175">
                  <c:v>175</c:v>
                </c:pt>
                <c:pt idx="176">
                  <c:v>176</c:v>
                </c:pt>
                <c:pt idx="177">
                  <c:v>177</c:v>
                </c:pt>
                <c:pt idx="178">
                  <c:v>178</c:v>
                </c:pt>
                <c:pt idx="179">
                  <c:v>179</c:v>
                </c:pt>
                <c:pt idx="180">
                  <c:v>180</c:v>
                </c:pt>
                <c:pt idx="181">
                  <c:v>181</c:v>
                </c:pt>
                <c:pt idx="182">
                  <c:v>182</c:v>
                </c:pt>
                <c:pt idx="183">
                  <c:v>183</c:v>
                </c:pt>
                <c:pt idx="184">
                  <c:v>184</c:v>
                </c:pt>
                <c:pt idx="185">
                  <c:v>185</c:v>
                </c:pt>
                <c:pt idx="186">
                  <c:v>186</c:v>
                </c:pt>
                <c:pt idx="187">
                  <c:v>187</c:v>
                </c:pt>
                <c:pt idx="188">
                  <c:v>188</c:v>
                </c:pt>
                <c:pt idx="189">
                  <c:v>189</c:v>
                </c:pt>
                <c:pt idx="190">
                  <c:v>190</c:v>
                </c:pt>
                <c:pt idx="191">
                  <c:v>191</c:v>
                </c:pt>
                <c:pt idx="192">
                  <c:v>192</c:v>
                </c:pt>
              </c:numCache>
            </c:numRef>
          </c:xVal>
          <c:yVal>
            <c:numRef>
              <c:f>'Hydrograph (2)'!$H$3:$H$195</c:f>
              <c:numCache>
                <c:formatCode>General</c:formatCode>
                <c:ptCount val="193"/>
                <c:pt idx="0">
                  <c:v>0</c:v>
                </c:pt>
                <c:pt idx="1">
                  <c:v>0</c:v>
                </c:pt>
                <c:pt idx="2">
                  <c:v>0</c:v>
                </c:pt>
                <c:pt idx="3">
                  <c:v>0</c:v>
                </c:pt>
                <c:pt idx="4">
                  <c:v>0</c:v>
                </c:pt>
                <c:pt idx="5">
                  <c:v>0</c:v>
                </c:pt>
                <c:pt idx="6">
                  <c:v>0</c:v>
                </c:pt>
                <c:pt idx="7">
                  <c:v>0</c:v>
                </c:pt>
                <c:pt idx="8">
                  <c:v>0</c:v>
                </c:pt>
                <c:pt idx="9">
                  <c:v>0</c:v>
                </c:pt>
                <c:pt idx="10">
                  <c:v>0</c:v>
                </c:pt>
                <c:pt idx="11">
                  <c:v>0</c:v>
                </c:pt>
                <c:pt idx="12">
                  <c:v>4.72</c:v>
                </c:pt>
                <c:pt idx="13">
                  <c:v>233.2</c:v>
                </c:pt>
                <c:pt idx="14">
                  <c:v>356.19</c:v>
                </c:pt>
                <c:pt idx="15">
                  <c:v>469.15</c:v>
                </c:pt>
                <c:pt idx="16">
                  <c:v>637.07000000000005</c:v>
                </c:pt>
                <c:pt idx="17">
                  <c:v>739.32</c:v>
                </c:pt>
                <c:pt idx="18">
                  <c:v>815.89</c:v>
                </c:pt>
                <c:pt idx="19">
                  <c:v>810.11</c:v>
                </c:pt>
                <c:pt idx="20">
                  <c:v>822.02</c:v>
                </c:pt>
                <c:pt idx="21">
                  <c:v>793.14</c:v>
                </c:pt>
                <c:pt idx="22">
                  <c:v>735.94</c:v>
                </c:pt>
                <c:pt idx="23">
                  <c:v>698.82</c:v>
                </c:pt>
                <c:pt idx="24">
                  <c:v>695.44</c:v>
                </c:pt>
                <c:pt idx="25">
                  <c:v>677.4</c:v>
                </c:pt>
                <c:pt idx="26">
                  <c:v>639.08000000000004</c:v>
                </c:pt>
                <c:pt idx="27">
                  <c:v>589.15</c:v>
                </c:pt>
                <c:pt idx="28">
                  <c:v>538.20000000000005</c:v>
                </c:pt>
                <c:pt idx="29">
                  <c:v>488.37</c:v>
                </c:pt>
                <c:pt idx="30">
                  <c:v>441.62</c:v>
                </c:pt>
                <c:pt idx="31">
                  <c:v>398.53</c:v>
                </c:pt>
                <c:pt idx="32">
                  <c:v>359.57</c:v>
                </c:pt>
                <c:pt idx="33">
                  <c:v>324.58</c:v>
                </c:pt>
                <c:pt idx="34">
                  <c:v>293.82</c:v>
                </c:pt>
                <c:pt idx="35">
                  <c:v>265.19</c:v>
                </c:pt>
                <c:pt idx="36">
                  <c:v>238.29</c:v>
                </c:pt>
                <c:pt idx="37">
                  <c:v>214.8</c:v>
                </c:pt>
                <c:pt idx="38">
                  <c:v>194.13</c:v>
                </c:pt>
                <c:pt idx="39">
                  <c:v>175.75</c:v>
                </c:pt>
                <c:pt idx="40">
                  <c:v>158.9</c:v>
                </c:pt>
                <c:pt idx="41">
                  <c:v>144.1</c:v>
                </c:pt>
                <c:pt idx="42">
                  <c:v>131.15</c:v>
                </c:pt>
                <c:pt idx="43">
                  <c:v>119.5</c:v>
                </c:pt>
                <c:pt idx="44">
                  <c:v>109.28</c:v>
                </c:pt>
                <c:pt idx="45">
                  <c:v>100.01</c:v>
                </c:pt>
                <c:pt idx="46">
                  <c:v>92.19</c:v>
                </c:pt>
                <c:pt idx="47">
                  <c:v>85.25</c:v>
                </c:pt>
                <c:pt idx="48">
                  <c:v>79.069999999999993</c:v>
                </c:pt>
                <c:pt idx="49">
                  <c:v>73.66</c:v>
                </c:pt>
                <c:pt idx="50">
                  <c:v>68.760000000000005</c:v>
                </c:pt>
                <c:pt idx="51">
                  <c:v>64.31</c:v>
                </c:pt>
                <c:pt idx="52">
                  <c:v>60.05</c:v>
                </c:pt>
                <c:pt idx="53">
                  <c:v>56.17</c:v>
                </c:pt>
                <c:pt idx="54">
                  <c:v>52.8</c:v>
                </c:pt>
                <c:pt idx="55">
                  <c:v>49.67</c:v>
                </c:pt>
                <c:pt idx="56">
                  <c:v>46.85</c:v>
                </c:pt>
                <c:pt idx="57">
                  <c:v>44.24</c:v>
                </c:pt>
                <c:pt idx="58">
                  <c:v>41.96</c:v>
                </c:pt>
                <c:pt idx="59">
                  <c:v>39.76</c:v>
                </c:pt>
                <c:pt idx="60">
                  <c:v>37.78</c:v>
                </c:pt>
                <c:pt idx="61">
                  <c:v>35.979999999999997</c:v>
                </c:pt>
                <c:pt idx="62">
                  <c:v>34.22</c:v>
                </c:pt>
                <c:pt idx="63">
                  <c:v>32.72</c:v>
                </c:pt>
                <c:pt idx="64">
                  <c:v>31.18</c:v>
                </c:pt>
                <c:pt idx="65">
                  <c:v>29.76</c:v>
                </c:pt>
                <c:pt idx="66">
                  <c:v>28.46</c:v>
                </c:pt>
                <c:pt idx="67">
                  <c:v>27.36</c:v>
                </c:pt>
                <c:pt idx="68">
                  <c:v>26.28</c:v>
                </c:pt>
                <c:pt idx="69">
                  <c:v>25.25</c:v>
                </c:pt>
                <c:pt idx="70">
                  <c:v>24.29</c:v>
                </c:pt>
                <c:pt idx="71">
                  <c:v>23.43</c:v>
                </c:pt>
                <c:pt idx="72">
                  <c:v>22.63</c:v>
                </c:pt>
                <c:pt idx="73">
                  <c:v>21.86</c:v>
                </c:pt>
                <c:pt idx="74">
                  <c:v>21.11</c:v>
                </c:pt>
                <c:pt idx="75">
                  <c:v>20.43</c:v>
                </c:pt>
                <c:pt idx="76">
                  <c:v>19.77</c:v>
                </c:pt>
                <c:pt idx="77">
                  <c:v>19.23</c:v>
                </c:pt>
                <c:pt idx="78">
                  <c:v>18.54</c:v>
                </c:pt>
                <c:pt idx="79">
                  <c:v>17.95</c:v>
                </c:pt>
                <c:pt idx="80">
                  <c:v>17.41</c:v>
                </c:pt>
                <c:pt idx="81">
                  <c:v>16.920000000000002</c:v>
                </c:pt>
                <c:pt idx="82">
                  <c:v>16.45</c:v>
                </c:pt>
                <c:pt idx="83">
                  <c:v>16</c:v>
                </c:pt>
                <c:pt idx="84">
                  <c:v>15.58</c:v>
                </c:pt>
                <c:pt idx="85">
                  <c:v>15.19</c:v>
                </c:pt>
                <c:pt idx="86">
                  <c:v>14.78</c:v>
                </c:pt>
                <c:pt idx="87">
                  <c:v>14.39</c:v>
                </c:pt>
                <c:pt idx="88">
                  <c:v>14.02</c:v>
                </c:pt>
                <c:pt idx="89">
                  <c:v>13.68</c:v>
                </c:pt>
                <c:pt idx="90">
                  <c:v>13.4</c:v>
                </c:pt>
                <c:pt idx="91">
                  <c:v>13.1</c:v>
                </c:pt>
                <c:pt idx="92">
                  <c:v>12.8</c:v>
                </c:pt>
                <c:pt idx="93">
                  <c:v>12.48</c:v>
                </c:pt>
                <c:pt idx="94">
                  <c:v>12.19</c:v>
                </c:pt>
                <c:pt idx="95">
                  <c:v>11.9</c:v>
                </c:pt>
                <c:pt idx="96">
                  <c:v>11.62</c:v>
                </c:pt>
                <c:pt idx="97">
                  <c:v>11.36</c:v>
                </c:pt>
                <c:pt idx="98">
                  <c:v>11.1</c:v>
                </c:pt>
                <c:pt idx="99">
                  <c:v>10.86</c:v>
                </c:pt>
                <c:pt idx="100">
                  <c:v>10.62</c:v>
                </c:pt>
                <c:pt idx="101">
                  <c:v>10.38</c:v>
                </c:pt>
                <c:pt idx="102">
                  <c:v>10.15</c:v>
                </c:pt>
                <c:pt idx="103">
                  <c:v>9.93</c:v>
                </c:pt>
                <c:pt idx="104">
                  <c:v>9.7200000000000006</c:v>
                </c:pt>
                <c:pt idx="105">
                  <c:v>9.52</c:v>
                </c:pt>
                <c:pt idx="106">
                  <c:v>9.33</c:v>
                </c:pt>
                <c:pt idx="107">
                  <c:v>9.15</c:v>
                </c:pt>
                <c:pt idx="108">
                  <c:v>8.98</c:v>
                </c:pt>
                <c:pt idx="109">
                  <c:v>8.81</c:v>
                </c:pt>
                <c:pt idx="110">
                  <c:v>8.65</c:v>
                </c:pt>
                <c:pt idx="111">
                  <c:v>8.48</c:v>
                </c:pt>
                <c:pt idx="112">
                  <c:v>8.33</c:v>
                </c:pt>
                <c:pt idx="113">
                  <c:v>8.18</c:v>
                </c:pt>
                <c:pt idx="114">
                  <c:v>8.0299999999999994</c:v>
                </c:pt>
                <c:pt idx="115">
                  <c:v>7.89</c:v>
                </c:pt>
                <c:pt idx="116">
                  <c:v>7.76</c:v>
                </c:pt>
                <c:pt idx="117">
                  <c:v>7.63</c:v>
                </c:pt>
                <c:pt idx="118">
                  <c:v>7.51</c:v>
                </c:pt>
                <c:pt idx="119">
                  <c:v>7.39</c:v>
                </c:pt>
                <c:pt idx="120">
                  <c:v>7.27</c:v>
                </c:pt>
                <c:pt idx="121">
                  <c:v>7.16</c:v>
                </c:pt>
                <c:pt idx="122">
                  <c:v>7.04</c:v>
                </c:pt>
                <c:pt idx="123">
                  <c:v>6.93</c:v>
                </c:pt>
                <c:pt idx="124">
                  <c:v>6.82</c:v>
                </c:pt>
                <c:pt idx="125">
                  <c:v>6.72</c:v>
                </c:pt>
                <c:pt idx="126">
                  <c:v>6.62</c:v>
                </c:pt>
                <c:pt idx="127">
                  <c:v>6.52</c:v>
                </c:pt>
                <c:pt idx="128">
                  <c:v>6.43</c:v>
                </c:pt>
                <c:pt idx="129">
                  <c:v>6.34</c:v>
                </c:pt>
                <c:pt idx="130">
                  <c:v>6.25</c:v>
                </c:pt>
                <c:pt idx="131">
                  <c:v>6.16</c:v>
                </c:pt>
                <c:pt idx="132">
                  <c:v>6.07</c:v>
                </c:pt>
                <c:pt idx="133">
                  <c:v>5.99</c:v>
                </c:pt>
                <c:pt idx="134">
                  <c:v>5.91</c:v>
                </c:pt>
                <c:pt idx="135">
                  <c:v>5.83</c:v>
                </c:pt>
                <c:pt idx="136">
                  <c:v>5.75</c:v>
                </c:pt>
                <c:pt idx="137">
                  <c:v>5.67</c:v>
                </c:pt>
                <c:pt idx="138">
                  <c:v>5.6</c:v>
                </c:pt>
                <c:pt idx="139">
                  <c:v>5.52</c:v>
                </c:pt>
                <c:pt idx="140">
                  <c:v>5.44</c:v>
                </c:pt>
                <c:pt idx="141">
                  <c:v>5.37</c:v>
                </c:pt>
                <c:pt idx="142">
                  <c:v>5.31</c:v>
                </c:pt>
                <c:pt idx="143">
                  <c:v>5.24</c:v>
                </c:pt>
                <c:pt idx="144">
                  <c:v>5.18</c:v>
                </c:pt>
                <c:pt idx="145">
                  <c:v>5.1100000000000003</c:v>
                </c:pt>
                <c:pt idx="146">
                  <c:v>5.04</c:v>
                </c:pt>
                <c:pt idx="147">
                  <c:v>4.9800000000000004</c:v>
                </c:pt>
                <c:pt idx="148">
                  <c:v>4.92</c:v>
                </c:pt>
                <c:pt idx="149">
                  <c:v>4.8600000000000003</c:v>
                </c:pt>
                <c:pt idx="150">
                  <c:v>4.79</c:v>
                </c:pt>
                <c:pt idx="151">
                  <c:v>4.74</c:v>
                </c:pt>
                <c:pt idx="152">
                  <c:v>4.68</c:v>
                </c:pt>
                <c:pt idx="153">
                  <c:v>4.62</c:v>
                </c:pt>
                <c:pt idx="154">
                  <c:v>4.57</c:v>
                </c:pt>
                <c:pt idx="155">
                  <c:v>4.5199999999999996</c:v>
                </c:pt>
                <c:pt idx="156">
                  <c:v>4.47</c:v>
                </c:pt>
                <c:pt idx="157">
                  <c:v>4.42</c:v>
                </c:pt>
                <c:pt idx="158">
                  <c:v>4.37</c:v>
                </c:pt>
                <c:pt idx="159">
                  <c:v>4.3099999999999996</c:v>
                </c:pt>
                <c:pt idx="160">
                  <c:v>4.26</c:v>
                </c:pt>
                <c:pt idx="161">
                  <c:v>4.2</c:v>
                </c:pt>
                <c:pt idx="162">
                  <c:v>4.1500000000000004</c:v>
                </c:pt>
                <c:pt idx="163">
                  <c:v>4.0999999999999996</c:v>
                </c:pt>
                <c:pt idx="164">
                  <c:v>4.05</c:v>
                </c:pt>
                <c:pt idx="165">
                  <c:v>4.01</c:v>
                </c:pt>
                <c:pt idx="166">
                  <c:v>3.96</c:v>
                </c:pt>
                <c:pt idx="167">
                  <c:v>3.91</c:v>
                </c:pt>
                <c:pt idx="168">
                  <c:v>3.86</c:v>
                </c:pt>
              </c:numCache>
            </c:numRef>
          </c:yVal>
          <c:smooth val="1"/>
          <c:extLst xmlns:c16r2="http://schemas.microsoft.com/office/drawing/2015/06/chart">
            <c:ext xmlns:c16="http://schemas.microsoft.com/office/drawing/2014/chart" uri="{C3380CC4-5D6E-409C-BE32-E72D297353CC}">
              <c16:uniqueId val="{00000006-E3D3-4C69-8E12-7F78CE2323E9}"/>
            </c:ext>
          </c:extLst>
        </c:ser>
        <c:dLbls>
          <c:showLegendKey val="0"/>
          <c:showVal val="0"/>
          <c:showCatName val="0"/>
          <c:showSerName val="0"/>
          <c:showPercent val="0"/>
          <c:showBubbleSize val="0"/>
        </c:dLbls>
        <c:axId val="159850496"/>
        <c:axId val="159852416"/>
      </c:scatterChart>
      <c:valAx>
        <c:axId val="159850496"/>
        <c:scaling>
          <c:orientation val="minMax"/>
          <c:max val="72"/>
          <c:min val="0"/>
        </c:scaling>
        <c:delete val="0"/>
        <c:axPos val="b"/>
        <c:title>
          <c:tx>
            <c:rich>
              <a:bodyPr/>
              <a:lstStyle/>
              <a:p>
                <a:pPr>
                  <a:defRPr/>
                </a:pPr>
                <a:r>
                  <a:rPr lang="en-US"/>
                  <a:t>Time (hours)</a:t>
                </a:r>
              </a:p>
            </c:rich>
          </c:tx>
          <c:layout/>
          <c:overlay val="0"/>
        </c:title>
        <c:numFmt formatCode="0" sourceLinked="0"/>
        <c:majorTickMark val="out"/>
        <c:minorTickMark val="none"/>
        <c:tickLblPos val="nextTo"/>
        <c:crossAx val="159852416"/>
        <c:crosses val="autoZero"/>
        <c:crossBetween val="midCat"/>
        <c:majorUnit val="12"/>
        <c:minorUnit val="0.5"/>
      </c:valAx>
      <c:valAx>
        <c:axId val="159852416"/>
        <c:scaling>
          <c:orientation val="minMax"/>
          <c:max val="8000"/>
          <c:min val="0"/>
        </c:scaling>
        <c:delete val="0"/>
        <c:axPos val="l"/>
        <c:majorGridlines/>
        <c:title>
          <c:tx>
            <c:rich>
              <a:bodyPr rot="-5400000" vert="horz"/>
              <a:lstStyle/>
              <a:p>
                <a:pPr>
                  <a:defRPr/>
                </a:pPr>
                <a:r>
                  <a:rPr lang="en-US"/>
                  <a:t>Discharge (cfs)</a:t>
                </a:r>
              </a:p>
            </c:rich>
          </c:tx>
          <c:layout>
            <c:manualLayout>
              <c:xMode val="edge"/>
              <c:yMode val="edge"/>
              <c:x val="1.0468951496669853E-2"/>
              <c:y val="0.36171568297552548"/>
            </c:manualLayout>
          </c:layout>
          <c:overlay val="0"/>
        </c:title>
        <c:numFmt formatCode="#,##0" sourceLinked="0"/>
        <c:majorTickMark val="out"/>
        <c:minorTickMark val="none"/>
        <c:tickLblPos val="nextTo"/>
        <c:crossAx val="159850496"/>
        <c:crosses val="autoZero"/>
        <c:crossBetween val="midCat"/>
      </c:valAx>
      <c:spPr>
        <a:ln>
          <a:solidFill>
            <a:schemeClr val="tx1"/>
          </a:solidFill>
        </a:ln>
      </c:spPr>
    </c:plotArea>
    <c:legend>
      <c:legendPos val="r"/>
      <c:layout>
        <c:manualLayout>
          <c:xMode val="edge"/>
          <c:yMode val="edge"/>
          <c:x val="0.50069450742740929"/>
          <c:y val="3.9334098582945683E-2"/>
          <c:w val="0.46034391935684049"/>
          <c:h val="0.36062790228144559"/>
        </c:manualLayout>
      </c:layout>
      <c:overlay val="1"/>
      <c:spPr>
        <a:solidFill>
          <a:schemeClr val="bg1"/>
        </a:solidFill>
        <a:ln>
          <a:solidFill>
            <a:schemeClr val="tx1"/>
          </a:solidFill>
        </a:ln>
      </c:spPr>
    </c:legend>
    <c:plotVisOnly val="1"/>
    <c:dispBlanksAs val="gap"/>
    <c:showDLblsOverMax val="0"/>
  </c:chart>
  <c:externalData r:id="rId2">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scatterChart>
        <c:scatterStyle val="smoothMarker"/>
        <c:varyColors val="0"/>
        <c:ser>
          <c:idx val="4"/>
          <c:order val="0"/>
          <c:tx>
            <c:v>0.2 Percent Annual Chance</c:v>
          </c:tx>
          <c:spPr>
            <a:ln>
              <a:solidFill>
                <a:schemeClr val="accent2"/>
              </a:solidFill>
            </a:ln>
          </c:spPr>
          <c:marker>
            <c:symbol val="none"/>
          </c:marker>
          <c:xVal>
            <c:numRef>
              <c:f>'Hydrograph (3)'!$A$3:$A$279</c:f>
              <c:numCache>
                <c:formatCode>0.00</c:formatCode>
                <c:ptCount val="277"/>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pt idx="101">
                  <c:v>101</c:v>
                </c:pt>
                <c:pt idx="102">
                  <c:v>102</c:v>
                </c:pt>
                <c:pt idx="103">
                  <c:v>103</c:v>
                </c:pt>
                <c:pt idx="104">
                  <c:v>104</c:v>
                </c:pt>
                <c:pt idx="105">
                  <c:v>105</c:v>
                </c:pt>
                <c:pt idx="106">
                  <c:v>106</c:v>
                </c:pt>
                <c:pt idx="107">
                  <c:v>107</c:v>
                </c:pt>
                <c:pt idx="108">
                  <c:v>108</c:v>
                </c:pt>
                <c:pt idx="109">
                  <c:v>109</c:v>
                </c:pt>
                <c:pt idx="110">
                  <c:v>110</c:v>
                </c:pt>
                <c:pt idx="111">
                  <c:v>111</c:v>
                </c:pt>
                <c:pt idx="112">
                  <c:v>112</c:v>
                </c:pt>
                <c:pt idx="113">
                  <c:v>113</c:v>
                </c:pt>
                <c:pt idx="114">
                  <c:v>114</c:v>
                </c:pt>
                <c:pt idx="115">
                  <c:v>115</c:v>
                </c:pt>
                <c:pt idx="116">
                  <c:v>116</c:v>
                </c:pt>
                <c:pt idx="117">
                  <c:v>117</c:v>
                </c:pt>
                <c:pt idx="118">
                  <c:v>118</c:v>
                </c:pt>
                <c:pt idx="119">
                  <c:v>119</c:v>
                </c:pt>
                <c:pt idx="120">
                  <c:v>120</c:v>
                </c:pt>
              </c:numCache>
            </c:numRef>
          </c:xVal>
          <c:yVal>
            <c:numRef>
              <c:f>'Hydrograph (3)'!$F$3:$F$279</c:f>
              <c:numCache>
                <c:formatCode>General</c:formatCode>
                <c:ptCount val="277"/>
                <c:pt idx="0">
                  <c:v>0</c:v>
                </c:pt>
                <c:pt idx="1">
                  <c:v>0</c:v>
                </c:pt>
                <c:pt idx="2">
                  <c:v>0</c:v>
                </c:pt>
                <c:pt idx="3">
                  <c:v>0</c:v>
                </c:pt>
                <c:pt idx="4">
                  <c:v>0</c:v>
                </c:pt>
                <c:pt idx="5">
                  <c:v>0</c:v>
                </c:pt>
                <c:pt idx="6">
                  <c:v>0.01</c:v>
                </c:pt>
                <c:pt idx="7">
                  <c:v>0.08</c:v>
                </c:pt>
                <c:pt idx="8">
                  <c:v>0.14000000000000001</c:v>
                </c:pt>
                <c:pt idx="9">
                  <c:v>0.68</c:v>
                </c:pt>
                <c:pt idx="10">
                  <c:v>3.22</c:v>
                </c:pt>
                <c:pt idx="11">
                  <c:v>37.72</c:v>
                </c:pt>
                <c:pt idx="12">
                  <c:v>220.91</c:v>
                </c:pt>
                <c:pt idx="13">
                  <c:v>1088.28</c:v>
                </c:pt>
                <c:pt idx="14">
                  <c:v>2674.29</c:v>
                </c:pt>
                <c:pt idx="15">
                  <c:v>5727.81</c:v>
                </c:pt>
                <c:pt idx="16">
                  <c:v>7777.38</c:v>
                </c:pt>
                <c:pt idx="17">
                  <c:v>9224.64</c:v>
                </c:pt>
                <c:pt idx="18">
                  <c:v>10021.790000000001</c:v>
                </c:pt>
                <c:pt idx="19">
                  <c:v>10247.09</c:v>
                </c:pt>
                <c:pt idx="20">
                  <c:v>10152.67</c:v>
                </c:pt>
                <c:pt idx="21">
                  <c:v>9787.67</c:v>
                </c:pt>
                <c:pt idx="22">
                  <c:v>9246.7000000000007</c:v>
                </c:pt>
                <c:pt idx="23">
                  <c:v>8772.4500000000007</c:v>
                </c:pt>
                <c:pt idx="24">
                  <c:v>8473.3799999999992</c:v>
                </c:pt>
                <c:pt idx="25">
                  <c:v>8175.53</c:v>
                </c:pt>
                <c:pt idx="26">
                  <c:v>7799.35</c:v>
                </c:pt>
                <c:pt idx="27">
                  <c:v>7338.89</c:v>
                </c:pt>
                <c:pt idx="28">
                  <c:v>6830.58</c:v>
                </c:pt>
                <c:pt idx="29">
                  <c:v>6317.96</c:v>
                </c:pt>
                <c:pt idx="30">
                  <c:v>5829.14</c:v>
                </c:pt>
                <c:pt idx="31">
                  <c:v>5372.86</c:v>
                </c:pt>
                <c:pt idx="32">
                  <c:v>4950.18</c:v>
                </c:pt>
                <c:pt idx="33">
                  <c:v>4560.8900000000003</c:v>
                </c:pt>
                <c:pt idx="34">
                  <c:v>4194.79</c:v>
                </c:pt>
                <c:pt idx="35">
                  <c:v>3859.91</c:v>
                </c:pt>
                <c:pt idx="36">
                  <c:v>3554.38</c:v>
                </c:pt>
                <c:pt idx="37">
                  <c:v>3291.85</c:v>
                </c:pt>
                <c:pt idx="38">
                  <c:v>3081.52</c:v>
                </c:pt>
                <c:pt idx="39">
                  <c:v>2914.79</c:v>
                </c:pt>
                <c:pt idx="40">
                  <c:v>2761.01</c:v>
                </c:pt>
                <c:pt idx="41">
                  <c:v>2604.5</c:v>
                </c:pt>
                <c:pt idx="42">
                  <c:v>2445.09</c:v>
                </c:pt>
                <c:pt idx="43">
                  <c:v>2291.4699999999998</c:v>
                </c:pt>
                <c:pt idx="44">
                  <c:v>2144.08</c:v>
                </c:pt>
                <c:pt idx="45">
                  <c:v>2005.73</c:v>
                </c:pt>
                <c:pt idx="46">
                  <c:v>1875.88</c:v>
                </c:pt>
                <c:pt idx="47">
                  <c:v>1756.44</c:v>
                </c:pt>
                <c:pt idx="48">
                  <c:v>1644.75</c:v>
                </c:pt>
                <c:pt idx="49">
                  <c:v>1545.86</c:v>
                </c:pt>
                <c:pt idx="50">
                  <c:v>1452.82</c:v>
                </c:pt>
                <c:pt idx="51">
                  <c:v>1367.6</c:v>
                </c:pt>
                <c:pt idx="52">
                  <c:v>1291.27</c:v>
                </c:pt>
                <c:pt idx="53">
                  <c:v>1221.6500000000001</c:v>
                </c:pt>
                <c:pt idx="54">
                  <c:v>1157.4100000000001</c:v>
                </c:pt>
                <c:pt idx="55">
                  <c:v>1098.68</c:v>
                </c:pt>
                <c:pt idx="56">
                  <c:v>1044.69</c:v>
                </c:pt>
                <c:pt idx="57">
                  <c:v>992.16</c:v>
                </c:pt>
                <c:pt idx="58">
                  <c:v>943.58</c:v>
                </c:pt>
                <c:pt idx="59">
                  <c:v>898.74</c:v>
                </c:pt>
                <c:pt idx="60">
                  <c:v>857.17</c:v>
                </c:pt>
                <c:pt idx="61">
                  <c:v>818.88</c:v>
                </c:pt>
                <c:pt idx="62">
                  <c:v>782.29</c:v>
                </c:pt>
                <c:pt idx="63">
                  <c:v>747.77</c:v>
                </c:pt>
                <c:pt idx="64">
                  <c:v>715</c:v>
                </c:pt>
                <c:pt idx="65">
                  <c:v>684.1</c:v>
                </c:pt>
                <c:pt idx="66">
                  <c:v>655.16999999999996</c:v>
                </c:pt>
                <c:pt idx="67">
                  <c:v>627.53</c:v>
                </c:pt>
                <c:pt idx="68">
                  <c:v>601.48</c:v>
                </c:pt>
                <c:pt idx="69">
                  <c:v>577.05999999999995</c:v>
                </c:pt>
                <c:pt idx="70">
                  <c:v>553.94000000000005</c:v>
                </c:pt>
                <c:pt idx="71">
                  <c:v>530.59</c:v>
                </c:pt>
                <c:pt idx="72">
                  <c:v>511.04</c:v>
                </c:pt>
                <c:pt idx="73">
                  <c:v>489.77</c:v>
                </c:pt>
                <c:pt idx="74">
                  <c:v>470.62</c:v>
                </c:pt>
                <c:pt idx="75">
                  <c:v>452.62</c:v>
                </c:pt>
                <c:pt idx="76">
                  <c:v>435.84</c:v>
                </c:pt>
                <c:pt idx="77">
                  <c:v>420.15</c:v>
                </c:pt>
                <c:pt idx="78">
                  <c:v>405.29</c:v>
                </c:pt>
                <c:pt idx="79">
                  <c:v>391.54</c:v>
                </c:pt>
                <c:pt idx="80">
                  <c:v>378.16</c:v>
                </c:pt>
                <c:pt idx="81">
                  <c:v>365.43</c:v>
                </c:pt>
                <c:pt idx="82">
                  <c:v>353.71</c:v>
                </c:pt>
                <c:pt idx="83">
                  <c:v>342.37</c:v>
                </c:pt>
                <c:pt idx="84">
                  <c:v>331.32</c:v>
                </c:pt>
                <c:pt idx="85">
                  <c:v>321.16000000000003</c:v>
                </c:pt>
                <c:pt idx="86">
                  <c:v>311.72000000000003</c:v>
                </c:pt>
                <c:pt idx="87">
                  <c:v>302.7</c:v>
                </c:pt>
                <c:pt idx="88">
                  <c:v>294.12</c:v>
                </c:pt>
                <c:pt idx="89">
                  <c:v>285.86</c:v>
                </c:pt>
                <c:pt idx="90">
                  <c:v>277.77999999999997</c:v>
                </c:pt>
                <c:pt idx="91">
                  <c:v>270.24</c:v>
                </c:pt>
                <c:pt idx="92">
                  <c:v>262.7</c:v>
                </c:pt>
                <c:pt idx="93">
                  <c:v>255.68</c:v>
                </c:pt>
                <c:pt idx="94">
                  <c:v>248.96</c:v>
                </c:pt>
                <c:pt idx="95">
                  <c:v>242.45</c:v>
                </c:pt>
                <c:pt idx="96">
                  <c:v>236.17</c:v>
                </c:pt>
                <c:pt idx="97">
                  <c:v>230.23</c:v>
                </c:pt>
                <c:pt idx="98">
                  <c:v>224.53</c:v>
                </c:pt>
                <c:pt idx="99">
                  <c:v>219.04</c:v>
                </c:pt>
                <c:pt idx="100">
                  <c:v>213.92</c:v>
                </c:pt>
                <c:pt idx="101">
                  <c:v>208.81</c:v>
                </c:pt>
                <c:pt idx="102">
                  <c:v>203.76</c:v>
                </c:pt>
                <c:pt idx="103">
                  <c:v>200.43</c:v>
                </c:pt>
                <c:pt idx="104">
                  <c:v>194.72</c:v>
                </c:pt>
                <c:pt idx="105">
                  <c:v>190.04</c:v>
                </c:pt>
                <c:pt idx="106">
                  <c:v>185.56</c:v>
                </c:pt>
                <c:pt idx="107">
                  <c:v>181.34</c:v>
                </c:pt>
                <c:pt idx="108">
                  <c:v>177.28</c:v>
                </c:pt>
                <c:pt idx="109">
                  <c:v>173.42</c:v>
                </c:pt>
                <c:pt idx="110">
                  <c:v>169.57</c:v>
                </c:pt>
                <c:pt idx="111">
                  <c:v>165.99</c:v>
                </c:pt>
                <c:pt idx="112">
                  <c:v>162.46</c:v>
                </c:pt>
                <c:pt idx="113">
                  <c:v>159.06</c:v>
                </c:pt>
                <c:pt idx="114">
                  <c:v>155.57</c:v>
                </c:pt>
                <c:pt idx="115">
                  <c:v>152.16</c:v>
                </c:pt>
                <c:pt idx="116">
                  <c:v>148.91999999999999</c:v>
                </c:pt>
                <c:pt idx="117">
                  <c:v>145.83000000000001</c:v>
                </c:pt>
                <c:pt idx="118">
                  <c:v>142.88999999999999</c:v>
                </c:pt>
                <c:pt idx="119">
                  <c:v>140.02000000000001</c:v>
                </c:pt>
                <c:pt idx="120">
                  <c:v>137.25</c:v>
                </c:pt>
              </c:numCache>
            </c:numRef>
          </c:yVal>
          <c:smooth val="1"/>
          <c:extLst xmlns:c16r2="http://schemas.microsoft.com/office/drawing/2015/06/chart">
            <c:ext xmlns:c16="http://schemas.microsoft.com/office/drawing/2014/chart" uri="{C3380CC4-5D6E-409C-BE32-E72D297353CC}">
              <c16:uniqueId val="{00000000-ED98-4FC7-9126-92AAE9E529C8}"/>
            </c:ext>
          </c:extLst>
        </c:ser>
        <c:ser>
          <c:idx val="3"/>
          <c:order val="1"/>
          <c:tx>
            <c:v>1 Percent Annual Chance</c:v>
          </c:tx>
          <c:spPr>
            <a:ln>
              <a:solidFill>
                <a:schemeClr val="tx1"/>
              </a:solidFill>
            </a:ln>
          </c:spPr>
          <c:marker>
            <c:symbol val="none"/>
          </c:marker>
          <c:xVal>
            <c:numRef>
              <c:f>'Hydrograph (3)'!$A$3:$A$279</c:f>
              <c:numCache>
                <c:formatCode>0.00</c:formatCode>
                <c:ptCount val="277"/>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pt idx="101">
                  <c:v>101</c:v>
                </c:pt>
                <c:pt idx="102">
                  <c:v>102</c:v>
                </c:pt>
                <c:pt idx="103">
                  <c:v>103</c:v>
                </c:pt>
                <c:pt idx="104">
                  <c:v>104</c:v>
                </c:pt>
                <c:pt idx="105">
                  <c:v>105</c:v>
                </c:pt>
                <c:pt idx="106">
                  <c:v>106</c:v>
                </c:pt>
                <c:pt idx="107">
                  <c:v>107</c:v>
                </c:pt>
                <c:pt idx="108">
                  <c:v>108</c:v>
                </c:pt>
                <c:pt idx="109">
                  <c:v>109</c:v>
                </c:pt>
                <c:pt idx="110">
                  <c:v>110</c:v>
                </c:pt>
                <c:pt idx="111">
                  <c:v>111</c:v>
                </c:pt>
                <c:pt idx="112">
                  <c:v>112</c:v>
                </c:pt>
                <c:pt idx="113">
                  <c:v>113</c:v>
                </c:pt>
                <c:pt idx="114">
                  <c:v>114</c:v>
                </c:pt>
                <c:pt idx="115">
                  <c:v>115</c:v>
                </c:pt>
                <c:pt idx="116">
                  <c:v>116</c:v>
                </c:pt>
                <c:pt idx="117">
                  <c:v>117</c:v>
                </c:pt>
                <c:pt idx="118">
                  <c:v>118</c:v>
                </c:pt>
                <c:pt idx="119">
                  <c:v>119</c:v>
                </c:pt>
                <c:pt idx="120">
                  <c:v>120</c:v>
                </c:pt>
              </c:numCache>
            </c:numRef>
          </c:xVal>
          <c:yVal>
            <c:numRef>
              <c:f>'Hydrograph (3)'!$E$3:$E$279</c:f>
              <c:numCache>
                <c:formatCode>General</c:formatCode>
                <c:ptCount val="277"/>
                <c:pt idx="0">
                  <c:v>0</c:v>
                </c:pt>
                <c:pt idx="1">
                  <c:v>0</c:v>
                </c:pt>
                <c:pt idx="2">
                  <c:v>0</c:v>
                </c:pt>
                <c:pt idx="3">
                  <c:v>0</c:v>
                </c:pt>
                <c:pt idx="4">
                  <c:v>0</c:v>
                </c:pt>
                <c:pt idx="5">
                  <c:v>0</c:v>
                </c:pt>
                <c:pt idx="6">
                  <c:v>0</c:v>
                </c:pt>
                <c:pt idx="7">
                  <c:v>0</c:v>
                </c:pt>
                <c:pt idx="8">
                  <c:v>0.04</c:v>
                </c:pt>
                <c:pt idx="9">
                  <c:v>0.1</c:v>
                </c:pt>
                <c:pt idx="10">
                  <c:v>0.19</c:v>
                </c:pt>
                <c:pt idx="11">
                  <c:v>1.46</c:v>
                </c:pt>
                <c:pt idx="12">
                  <c:v>62.97</c:v>
                </c:pt>
                <c:pt idx="13">
                  <c:v>524.95000000000005</c:v>
                </c:pt>
                <c:pt idx="14">
                  <c:v>992.85</c:v>
                </c:pt>
                <c:pt idx="15">
                  <c:v>2105.7399999999998</c:v>
                </c:pt>
                <c:pt idx="16">
                  <c:v>3560.11</c:v>
                </c:pt>
                <c:pt idx="17">
                  <c:v>4553.8</c:v>
                </c:pt>
                <c:pt idx="18">
                  <c:v>5316.88</c:v>
                </c:pt>
                <c:pt idx="19">
                  <c:v>5666.88</c:v>
                </c:pt>
                <c:pt idx="20">
                  <c:v>5680.69</c:v>
                </c:pt>
                <c:pt idx="21">
                  <c:v>5649.87</c:v>
                </c:pt>
                <c:pt idx="22">
                  <c:v>5502.06</c:v>
                </c:pt>
                <c:pt idx="23">
                  <c:v>5216.4399999999996</c:v>
                </c:pt>
                <c:pt idx="24">
                  <c:v>4887.12</c:v>
                </c:pt>
                <c:pt idx="25">
                  <c:v>4551.6000000000004</c:v>
                </c:pt>
                <c:pt idx="26">
                  <c:v>4214.0600000000004</c:v>
                </c:pt>
                <c:pt idx="27">
                  <c:v>3867.5</c:v>
                </c:pt>
                <c:pt idx="28">
                  <c:v>3527.59</c:v>
                </c:pt>
                <c:pt idx="29">
                  <c:v>3211.28</c:v>
                </c:pt>
                <c:pt idx="30">
                  <c:v>2924.68</c:v>
                </c:pt>
                <c:pt idx="31">
                  <c:v>2708.19</c:v>
                </c:pt>
                <c:pt idx="32">
                  <c:v>2603.16</c:v>
                </c:pt>
                <c:pt idx="33">
                  <c:v>2539.77</c:v>
                </c:pt>
                <c:pt idx="34">
                  <c:v>2458.15</c:v>
                </c:pt>
                <c:pt idx="35">
                  <c:v>2345.67</c:v>
                </c:pt>
                <c:pt idx="36">
                  <c:v>2209.21</c:v>
                </c:pt>
                <c:pt idx="37">
                  <c:v>2068.5300000000002</c:v>
                </c:pt>
                <c:pt idx="38">
                  <c:v>1930.12</c:v>
                </c:pt>
                <c:pt idx="39">
                  <c:v>1796.96</c:v>
                </c:pt>
                <c:pt idx="40">
                  <c:v>1674.15</c:v>
                </c:pt>
                <c:pt idx="41">
                  <c:v>1565.93</c:v>
                </c:pt>
                <c:pt idx="42">
                  <c:v>1467.06</c:v>
                </c:pt>
                <c:pt idx="43">
                  <c:v>1379.07</c:v>
                </c:pt>
                <c:pt idx="44">
                  <c:v>1301.51</c:v>
                </c:pt>
                <c:pt idx="45">
                  <c:v>1231.31</c:v>
                </c:pt>
                <c:pt idx="46">
                  <c:v>1164.2</c:v>
                </c:pt>
                <c:pt idx="47">
                  <c:v>1100.18</c:v>
                </c:pt>
                <c:pt idx="48">
                  <c:v>1040.6199999999999</c:v>
                </c:pt>
                <c:pt idx="49">
                  <c:v>985.56</c:v>
                </c:pt>
                <c:pt idx="50">
                  <c:v>934.13</c:v>
                </c:pt>
                <c:pt idx="51">
                  <c:v>885.32</c:v>
                </c:pt>
                <c:pt idx="52">
                  <c:v>839.82</c:v>
                </c:pt>
                <c:pt idx="53">
                  <c:v>797.69</c:v>
                </c:pt>
                <c:pt idx="54">
                  <c:v>757.94</c:v>
                </c:pt>
                <c:pt idx="55">
                  <c:v>720.27</c:v>
                </c:pt>
                <c:pt idx="56">
                  <c:v>684.05</c:v>
                </c:pt>
                <c:pt idx="57">
                  <c:v>649.99</c:v>
                </c:pt>
                <c:pt idx="58">
                  <c:v>619.16999999999996</c:v>
                </c:pt>
                <c:pt idx="59">
                  <c:v>589.24</c:v>
                </c:pt>
                <c:pt idx="60">
                  <c:v>561.6</c:v>
                </c:pt>
                <c:pt idx="61">
                  <c:v>536.82000000000005</c:v>
                </c:pt>
                <c:pt idx="62">
                  <c:v>512.16</c:v>
                </c:pt>
                <c:pt idx="63">
                  <c:v>490.68</c:v>
                </c:pt>
                <c:pt idx="64">
                  <c:v>468.09</c:v>
                </c:pt>
                <c:pt idx="65">
                  <c:v>447.76</c:v>
                </c:pt>
                <c:pt idx="66">
                  <c:v>428.27</c:v>
                </c:pt>
                <c:pt idx="67">
                  <c:v>410.43</c:v>
                </c:pt>
                <c:pt idx="68">
                  <c:v>393.78</c:v>
                </c:pt>
                <c:pt idx="69">
                  <c:v>377.45</c:v>
                </c:pt>
                <c:pt idx="70">
                  <c:v>362.26</c:v>
                </c:pt>
                <c:pt idx="71">
                  <c:v>347.93</c:v>
                </c:pt>
                <c:pt idx="72">
                  <c:v>334.57</c:v>
                </c:pt>
                <c:pt idx="73">
                  <c:v>322.35000000000002</c:v>
                </c:pt>
                <c:pt idx="74">
                  <c:v>311.39</c:v>
                </c:pt>
                <c:pt idx="75">
                  <c:v>301.7</c:v>
                </c:pt>
                <c:pt idx="76">
                  <c:v>293.3</c:v>
                </c:pt>
                <c:pt idx="77">
                  <c:v>286.02</c:v>
                </c:pt>
                <c:pt idx="78">
                  <c:v>279.51</c:v>
                </c:pt>
                <c:pt idx="79">
                  <c:v>273.44</c:v>
                </c:pt>
                <c:pt idx="80">
                  <c:v>267.37</c:v>
                </c:pt>
                <c:pt idx="81">
                  <c:v>261.2</c:v>
                </c:pt>
                <c:pt idx="82">
                  <c:v>255.01</c:v>
                </c:pt>
                <c:pt idx="83">
                  <c:v>248.76</c:v>
                </c:pt>
                <c:pt idx="84">
                  <c:v>242.56</c:v>
                </c:pt>
                <c:pt idx="85">
                  <c:v>236.44</c:v>
                </c:pt>
                <c:pt idx="86">
                  <c:v>230.37</c:v>
                </c:pt>
                <c:pt idx="87">
                  <c:v>224.41</c:v>
                </c:pt>
                <c:pt idx="88">
                  <c:v>218.62</c:v>
                </c:pt>
                <c:pt idx="89">
                  <c:v>213</c:v>
                </c:pt>
                <c:pt idx="90">
                  <c:v>207.47</c:v>
                </c:pt>
                <c:pt idx="91">
                  <c:v>202.08</c:v>
                </c:pt>
                <c:pt idx="92">
                  <c:v>197.76</c:v>
                </c:pt>
                <c:pt idx="93">
                  <c:v>192.11</c:v>
                </c:pt>
                <c:pt idx="94">
                  <c:v>187.16</c:v>
                </c:pt>
                <c:pt idx="95">
                  <c:v>182.66</c:v>
                </c:pt>
                <c:pt idx="96">
                  <c:v>178.13</c:v>
                </c:pt>
                <c:pt idx="97">
                  <c:v>173.68</c:v>
                </c:pt>
                <c:pt idx="98">
                  <c:v>169.38</c:v>
                </c:pt>
                <c:pt idx="99">
                  <c:v>165.3</c:v>
                </c:pt>
                <c:pt idx="100">
                  <c:v>161.36000000000001</c:v>
                </c:pt>
                <c:pt idx="101">
                  <c:v>157.56</c:v>
                </c:pt>
                <c:pt idx="102">
                  <c:v>153.87</c:v>
                </c:pt>
                <c:pt idx="103">
                  <c:v>150.30000000000001</c:v>
                </c:pt>
                <c:pt idx="104">
                  <c:v>146.86000000000001</c:v>
                </c:pt>
                <c:pt idx="105">
                  <c:v>143.46</c:v>
                </c:pt>
                <c:pt idx="106">
                  <c:v>140.13</c:v>
                </c:pt>
                <c:pt idx="107">
                  <c:v>136.93</c:v>
                </c:pt>
                <c:pt idx="108">
                  <c:v>133.80000000000001</c:v>
                </c:pt>
                <c:pt idx="109">
                  <c:v>130.82</c:v>
                </c:pt>
                <c:pt idx="110">
                  <c:v>127.73</c:v>
                </c:pt>
                <c:pt idx="111">
                  <c:v>124.83</c:v>
                </c:pt>
                <c:pt idx="112">
                  <c:v>122.11</c:v>
                </c:pt>
                <c:pt idx="113">
                  <c:v>119.5</c:v>
                </c:pt>
                <c:pt idx="114">
                  <c:v>117.02</c:v>
                </c:pt>
                <c:pt idx="115">
                  <c:v>114.54</c:v>
                </c:pt>
                <c:pt idx="116">
                  <c:v>112.18</c:v>
                </c:pt>
                <c:pt idx="117">
                  <c:v>109.99</c:v>
                </c:pt>
                <c:pt idx="118">
                  <c:v>107.85</c:v>
                </c:pt>
                <c:pt idx="119">
                  <c:v>105.8</c:v>
                </c:pt>
                <c:pt idx="120">
                  <c:v>103.8</c:v>
                </c:pt>
              </c:numCache>
            </c:numRef>
          </c:yVal>
          <c:smooth val="1"/>
          <c:extLst xmlns:c16r2="http://schemas.microsoft.com/office/drawing/2015/06/chart">
            <c:ext xmlns:c16="http://schemas.microsoft.com/office/drawing/2014/chart" uri="{C3380CC4-5D6E-409C-BE32-E72D297353CC}">
              <c16:uniqueId val="{00000001-ED98-4FC7-9126-92AAE9E529C8}"/>
            </c:ext>
          </c:extLst>
        </c:ser>
        <c:ser>
          <c:idx val="2"/>
          <c:order val="2"/>
          <c:tx>
            <c:v>2 Percent Annual Chance</c:v>
          </c:tx>
          <c:spPr>
            <a:ln>
              <a:solidFill>
                <a:schemeClr val="tx2">
                  <a:lumMod val="60000"/>
                  <a:lumOff val="40000"/>
                </a:schemeClr>
              </a:solidFill>
            </a:ln>
          </c:spPr>
          <c:marker>
            <c:symbol val="none"/>
          </c:marker>
          <c:xVal>
            <c:numRef>
              <c:f>'Hydrograph (3)'!$A$3:$A$279</c:f>
              <c:numCache>
                <c:formatCode>0.00</c:formatCode>
                <c:ptCount val="277"/>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pt idx="101">
                  <c:v>101</c:v>
                </c:pt>
                <c:pt idx="102">
                  <c:v>102</c:v>
                </c:pt>
                <c:pt idx="103">
                  <c:v>103</c:v>
                </c:pt>
                <c:pt idx="104">
                  <c:v>104</c:v>
                </c:pt>
                <c:pt idx="105">
                  <c:v>105</c:v>
                </c:pt>
                <c:pt idx="106">
                  <c:v>106</c:v>
                </c:pt>
                <c:pt idx="107">
                  <c:v>107</c:v>
                </c:pt>
                <c:pt idx="108">
                  <c:v>108</c:v>
                </c:pt>
                <c:pt idx="109">
                  <c:v>109</c:v>
                </c:pt>
                <c:pt idx="110">
                  <c:v>110</c:v>
                </c:pt>
                <c:pt idx="111">
                  <c:v>111</c:v>
                </c:pt>
                <c:pt idx="112">
                  <c:v>112</c:v>
                </c:pt>
                <c:pt idx="113">
                  <c:v>113</c:v>
                </c:pt>
                <c:pt idx="114">
                  <c:v>114</c:v>
                </c:pt>
                <c:pt idx="115">
                  <c:v>115</c:v>
                </c:pt>
                <c:pt idx="116">
                  <c:v>116</c:v>
                </c:pt>
                <c:pt idx="117">
                  <c:v>117</c:v>
                </c:pt>
                <c:pt idx="118">
                  <c:v>118</c:v>
                </c:pt>
                <c:pt idx="119">
                  <c:v>119</c:v>
                </c:pt>
                <c:pt idx="120">
                  <c:v>120</c:v>
                </c:pt>
              </c:numCache>
            </c:numRef>
          </c:xVal>
          <c:yVal>
            <c:numRef>
              <c:f>'Hydrograph (3)'!$D$3:$D$279</c:f>
              <c:numCache>
                <c:formatCode>General</c:formatCode>
                <c:ptCount val="277"/>
                <c:pt idx="0">
                  <c:v>0</c:v>
                </c:pt>
                <c:pt idx="1">
                  <c:v>0</c:v>
                </c:pt>
                <c:pt idx="2">
                  <c:v>0</c:v>
                </c:pt>
                <c:pt idx="3">
                  <c:v>0</c:v>
                </c:pt>
                <c:pt idx="4">
                  <c:v>0</c:v>
                </c:pt>
                <c:pt idx="5">
                  <c:v>0</c:v>
                </c:pt>
                <c:pt idx="6">
                  <c:v>0</c:v>
                </c:pt>
                <c:pt idx="7">
                  <c:v>0</c:v>
                </c:pt>
                <c:pt idx="8">
                  <c:v>0</c:v>
                </c:pt>
                <c:pt idx="9">
                  <c:v>0.06</c:v>
                </c:pt>
                <c:pt idx="10">
                  <c:v>0.14000000000000001</c:v>
                </c:pt>
                <c:pt idx="11">
                  <c:v>0.87</c:v>
                </c:pt>
                <c:pt idx="12">
                  <c:v>28.57</c:v>
                </c:pt>
                <c:pt idx="13">
                  <c:v>391.4</c:v>
                </c:pt>
                <c:pt idx="14">
                  <c:v>680.31</c:v>
                </c:pt>
                <c:pt idx="15">
                  <c:v>1265.8399999999999</c:v>
                </c:pt>
                <c:pt idx="16">
                  <c:v>2313.3200000000002</c:v>
                </c:pt>
                <c:pt idx="17">
                  <c:v>3200.46</c:v>
                </c:pt>
                <c:pt idx="18">
                  <c:v>3828.73</c:v>
                </c:pt>
                <c:pt idx="19">
                  <c:v>4227.57</c:v>
                </c:pt>
                <c:pt idx="20">
                  <c:v>4347.88</c:v>
                </c:pt>
                <c:pt idx="21">
                  <c:v>4342.21</c:v>
                </c:pt>
                <c:pt idx="22">
                  <c:v>4323.2</c:v>
                </c:pt>
                <c:pt idx="23">
                  <c:v>4192.76</c:v>
                </c:pt>
                <c:pt idx="24">
                  <c:v>3958.06</c:v>
                </c:pt>
                <c:pt idx="25">
                  <c:v>3683.02</c:v>
                </c:pt>
                <c:pt idx="26">
                  <c:v>3424.61</c:v>
                </c:pt>
                <c:pt idx="27">
                  <c:v>3190.79</c:v>
                </c:pt>
                <c:pt idx="28">
                  <c:v>2964.35</c:v>
                </c:pt>
                <c:pt idx="29">
                  <c:v>2731.89</c:v>
                </c:pt>
                <c:pt idx="30">
                  <c:v>2493.9899999999998</c:v>
                </c:pt>
                <c:pt idx="31">
                  <c:v>2260.67</c:v>
                </c:pt>
                <c:pt idx="32">
                  <c:v>2042.27</c:v>
                </c:pt>
                <c:pt idx="33">
                  <c:v>1845.4</c:v>
                </c:pt>
                <c:pt idx="34">
                  <c:v>1666.63</c:v>
                </c:pt>
                <c:pt idx="35">
                  <c:v>1506.97</c:v>
                </c:pt>
                <c:pt idx="36">
                  <c:v>1362.44</c:v>
                </c:pt>
                <c:pt idx="37">
                  <c:v>1233.27</c:v>
                </c:pt>
                <c:pt idx="38">
                  <c:v>1128.97</c:v>
                </c:pt>
                <c:pt idx="39">
                  <c:v>1080.3599999999999</c:v>
                </c:pt>
                <c:pt idx="40">
                  <c:v>1077.83</c:v>
                </c:pt>
                <c:pt idx="41">
                  <c:v>1078.98</c:v>
                </c:pt>
                <c:pt idx="42">
                  <c:v>1066.5</c:v>
                </c:pt>
                <c:pt idx="43">
                  <c:v>1041.9000000000001</c:v>
                </c:pt>
                <c:pt idx="44">
                  <c:v>1008.71</c:v>
                </c:pt>
                <c:pt idx="45">
                  <c:v>969.63</c:v>
                </c:pt>
                <c:pt idx="46">
                  <c:v>925.66</c:v>
                </c:pt>
                <c:pt idx="47">
                  <c:v>881.19</c:v>
                </c:pt>
                <c:pt idx="48">
                  <c:v>838.1</c:v>
                </c:pt>
                <c:pt idx="49">
                  <c:v>796.94</c:v>
                </c:pt>
                <c:pt idx="50">
                  <c:v>757.01</c:v>
                </c:pt>
                <c:pt idx="51">
                  <c:v>718.73</c:v>
                </c:pt>
                <c:pt idx="52">
                  <c:v>682.6</c:v>
                </c:pt>
                <c:pt idx="53">
                  <c:v>648.99</c:v>
                </c:pt>
                <c:pt idx="54">
                  <c:v>616.79999999999995</c:v>
                </c:pt>
                <c:pt idx="55">
                  <c:v>585.63</c:v>
                </c:pt>
                <c:pt idx="56">
                  <c:v>556.91999999999996</c:v>
                </c:pt>
                <c:pt idx="57">
                  <c:v>531.05999999999995</c:v>
                </c:pt>
                <c:pt idx="58">
                  <c:v>510.04</c:v>
                </c:pt>
                <c:pt idx="59">
                  <c:v>485.62</c:v>
                </c:pt>
                <c:pt idx="60">
                  <c:v>463.15</c:v>
                </c:pt>
                <c:pt idx="61">
                  <c:v>443.06</c:v>
                </c:pt>
                <c:pt idx="62">
                  <c:v>424.52</c:v>
                </c:pt>
                <c:pt idx="63">
                  <c:v>406.42</c:v>
                </c:pt>
                <c:pt idx="64">
                  <c:v>389.82</c:v>
                </c:pt>
                <c:pt idx="65">
                  <c:v>373.8</c:v>
                </c:pt>
                <c:pt idx="66">
                  <c:v>358.68</c:v>
                </c:pt>
                <c:pt idx="67">
                  <c:v>345.03</c:v>
                </c:pt>
                <c:pt idx="68">
                  <c:v>332.23</c:v>
                </c:pt>
                <c:pt idx="69">
                  <c:v>319.75</c:v>
                </c:pt>
                <c:pt idx="70">
                  <c:v>307.88</c:v>
                </c:pt>
                <c:pt idx="71">
                  <c:v>296.62</c:v>
                </c:pt>
                <c:pt idx="72">
                  <c:v>285.79000000000002</c:v>
                </c:pt>
                <c:pt idx="73">
                  <c:v>275.45999999999998</c:v>
                </c:pt>
                <c:pt idx="74">
                  <c:v>266.04000000000002</c:v>
                </c:pt>
                <c:pt idx="75">
                  <c:v>257.02999999999997</c:v>
                </c:pt>
                <c:pt idx="76">
                  <c:v>248.46</c:v>
                </c:pt>
                <c:pt idx="77">
                  <c:v>240.16</c:v>
                </c:pt>
                <c:pt idx="78">
                  <c:v>232.37</c:v>
                </c:pt>
                <c:pt idx="79">
                  <c:v>224.92</c:v>
                </c:pt>
                <c:pt idx="80">
                  <c:v>218.07</c:v>
                </c:pt>
                <c:pt idx="81">
                  <c:v>211.23</c:v>
                </c:pt>
                <c:pt idx="82">
                  <c:v>204.58</c:v>
                </c:pt>
                <c:pt idx="83">
                  <c:v>199.73</c:v>
                </c:pt>
                <c:pt idx="84">
                  <c:v>192.62</c:v>
                </c:pt>
                <c:pt idx="85">
                  <c:v>186.6</c:v>
                </c:pt>
                <c:pt idx="86">
                  <c:v>181.08</c:v>
                </c:pt>
                <c:pt idx="87">
                  <c:v>175.87</c:v>
                </c:pt>
                <c:pt idx="88">
                  <c:v>170.9</c:v>
                </c:pt>
                <c:pt idx="89">
                  <c:v>166.22</c:v>
                </c:pt>
                <c:pt idx="90">
                  <c:v>161.66</c:v>
                </c:pt>
                <c:pt idx="91">
                  <c:v>157.30000000000001</c:v>
                </c:pt>
                <c:pt idx="92">
                  <c:v>153.09</c:v>
                </c:pt>
                <c:pt idx="93">
                  <c:v>149.09</c:v>
                </c:pt>
                <c:pt idx="94">
                  <c:v>145.32</c:v>
                </c:pt>
                <c:pt idx="95">
                  <c:v>141.69999999999999</c:v>
                </c:pt>
                <c:pt idx="96">
                  <c:v>138.15</c:v>
                </c:pt>
                <c:pt idx="97">
                  <c:v>134.71</c:v>
                </c:pt>
                <c:pt idx="98">
                  <c:v>131.62</c:v>
                </c:pt>
                <c:pt idx="99">
                  <c:v>128.59</c:v>
                </c:pt>
                <c:pt idx="100">
                  <c:v>125.48</c:v>
                </c:pt>
                <c:pt idx="101">
                  <c:v>122.42</c:v>
                </c:pt>
                <c:pt idx="102">
                  <c:v>119.44</c:v>
                </c:pt>
                <c:pt idx="103">
                  <c:v>116.57</c:v>
                </c:pt>
                <c:pt idx="104">
                  <c:v>113.81</c:v>
                </c:pt>
                <c:pt idx="105">
                  <c:v>111.15</c:v>
                </c:pt>
                <c:pt idx="106">
                  <c:v>108.81</c:v>
                </c:pt>
                <c:pt idx="107">
                  <c:v>106.34</c:v>
                </c:pt>
                <c:pt idx="108">
                  <c:v>103.96</c:v>
                </c:pt>
                <c:pt idx="109">
                  <c:v>101.62</c:v>
                </c:pt>
                <c:pt idx="110">
                  <c:v>99.34</c:v>
                </c:pt>
                <c:pt idx="111">
                  <c:v>97.15</c:v>
                </c:pt>
                <c:pt idx="112">
                  <c:v>94.99</c:v>
                </c:pt>
                <c:pt idx="113">
                  <c:v>92.95</c:v>
                </c:pt>
                <c:pt idx="114">
                  <c:v>91</c:v>
                </c:pt>
                <c:pt idx="115">
                  <c:v>89.04</c:v>
                </c:pt>
                <c:pt idx="116">
                  <c:v>87.14</c:v>
                </c:pt>
                <c:pt idx="117">
                  <c:v>85.32</c:v>
                </c:pt>
                <c:pt idx="118">
                  <c:v>83.57</c:v>
                </c:pt>
                <c:pt idx="119">
                  <c:v>81.900000000000006</c:v>
                </c:pt>
                <c:pt idx="120">
                  <c:v>80.31</c:v>
                </c:pt>
              </c:numCache>
            </c:numRef>
          </c:yVal>
          <c:smooth val="1"/>
          <c:extLst xmlns:c16r2="http://schemas.microsoft.com/office/drawing/2015/06/chart">
            <c:ext xmlns:c16="http://schemas.microsoft.com/office/drawing/2014/chart" uri="{C3380CC4-5D6E-409C-BE32-E72D297353CC}">
              <c16:uniqueId val="{00000002-ED98-4FC7-9126-92AAE9E529C8}"/>
            </c:ext>
          </c:extLst>
        </c:ser>
        <c:ser>
          <c:idx val="1"/>
          <c:order val="3"/>
          <c:tx>
            <c:v>4 Percent Annual Chance</c:v>
          </c:tx>
          <c:spPr>
            <a:ln>
              <a:solidFill>
                <a:srgbClr val="FFCC00"/>
              </a:solidFill>
            </a:ln>
          </c:spPr>
          <c:marker>
            <c:symbol val="none"/>
          </c:marker>
          <c:xVal>
            <c:numRef>
              <c:f>'Hydrograph (3)'!$A$3:$A$279</c:f>
              <c:numCache>
                <c:formatCode>0.00</c:formatCode>
                <c:ptCount val="277"/>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pt idx="101">
                  <c:v>101</c:v>
                </c:pt>
                <c:pt idx="102">
                  <c:v>102</c:v>
                </c:pt>
                <c:pt idx="103">
                  <c:v>103</c:v>
                </c:pt>
                <c:pt idx="104">
                  <c:v>104</c:v>
                </c:pt>
                <c:pt idx="105">
                  <c:v>105</c:v>
                </c:pt>
                <c:pt idx="106">
                  <c:v>106</c:v>
                </c:pt>
                <c:pt idx="107">
                  <c:v>107</c:v>
                </c:pt>
                <c:pt idx="108">
                  <c:v>108</c:v>
                </c:pt>
                <c:pt idx="109">
                  <c:v>109</c:v>
                </c:pt>
                <c:pt idx="110">
                  <c:v>110</c:v>
                </c:pt>
                <c:pt idx="111">
                  <c:v>111</c:v>
                </c:pt>
                <c:pt idx="112">
                  <c:v>112</c:v>
                </c:pt>
                <c:pt idx="113">
                  <c:v>113</c:v>
                </c:pt>
                <c:pt idx="114">
                  <c:v>114</c:v>
                </c:pt>
                <c:pt idx="115">
                  <c:v>115</c:v>
                </c:pt>
                <c:pt idx="116">
                  <c:v>116</c:v>
                </c:pt>
                <c:pt idx="117">
                  <c:v>117</c:v>
                </c:pt>
                <c:pt idx="118">
                  <c:v>118</c:v>
                </c:pt>
                <c:pt idx="119">
                  <c:v>119</c:v>
                </c:pt>
                <c:pt idx="120">
                  <c:v>120</c:v>
                </c:pt>
              </c:numCache>
            </c:numRef>
          </c:xVal>
          <c:yVal>
            <c:numRef>
              <c:f>'Hydrograph (3)'!$C$3:$C$279</c:f>
              <c:numCache>
                <c:formatCode>General</c:formatCode>
                <c:ptCount val="277"/>
                <c:pt idx="0">
                  <c:v>0</c:v>
                </c:pt>
                <c:pt idx="1">
                  <c:v>0</c:v>
                </c:pt>
                <c:pt idx="2">
                  <c:v>0</c:v>
                </c:pt>
                <c:pt idx="3">
                  <c:v>0</c:v>
                </c:pt>
                <c:pt idx="4">
                  <c:v>0</c:v>
                </c:pt>
                <c:pt idx="5">
                  <c:v>0</c:v>
                </c:pt>
                <c:pt idx="6">
                  <c:v>0</c:v>
                </c:pt>
                <c:pt idx="7">
                  <c:v>0</c:v>
                </c:pt>
                <c:pt idx="8">
                  <c:v>0</c:v>
                </c:pt>
                <c:pt idx="9">
                  <c:v>0.02</c:v>
                </c:pt>
                <c:pt idx="10">
                  <c:v>0.1</c:v>
                </c:pt>
                <c:pt idx="11">
                  <c:v>0.28000000000000003</c:v>
                </c:pt>
                <c:pt idx="12">
                  <c:v>11.31</c:v>
                </c:pt>
                <c:pt idx="13">
                  <c:v>274.18</c:v>
                </c:pt>
                <c:pt idx="14">
                  <c:v>479.3</c:v>
                </c:pt>
                <c:pt idx="15">
                  <c:v>752.84</c:v>
                </c:pt>
                <c:pt idx="16">
                  <c:v>1325.84</c:v>
                </c:pt>
                <c:pt idx="17">
                  <c:v>2076.48</c:v>
                </c:pt>
                <c:pt idx="18">
                  <c:v>2641.68</c:v>
                </c:pt>
                <c:pt idx="19">
                  <c:v>2996.97</c:v>
                </c:pt>
                <c:pt idx="20">
                  <c:v>3164.03</c:v>
                </c:pt>
                <c:pt idx="21">
                  <c:v>3186.57</c:v>
                </c:pt>
                <c:pt idx="22">
                  <c:v>3196</c:v>
                </c:pt>
                <c:pt idx="23">
                  <c:v>3209.34</c:v>
                </c:pt>
                <c:pt idx="24">
                  <c:v>3135.76</c:v>
                </c:pt>
                <c:pt idx="25">
                  <c:v>2978.94</c:v>
                </c:pt>
                <c:pt idx="26">
                  <c:v>2787.83</c:v>
                </c:pt>
                <c:pt idx="27">
                  <c:v>2584.2199999999998</c:v>
                </c:pt>
                <c:pt idx="28">
                  <c:v>2387.65</c:v>
                </c:pt>
                <c:pt idx="29">
                  <c:v>2206.4299999999998</c:v>
                </c:pt>
                <c:pt idx="30">
                  <c:v>2042.87</c:v>
                </c:pt>
                <c:pt idx="31">
                  <c:v>1888.16</c:v>
                </c:pt>
                <c:pt idx="32">
                  <c:v>1736.39</c:v>
                </c:pt>
                <c:pt idx="33">
                  <c:v>1586.6</c:v>
                </c:pt>
                <c:pt idx="34">
                  <c:v>1444.13</c:v>
                </c:pt>
                <c:pt idx="35">
                  <c:v>1311.12</c:v>
                </c:pt>
                <c:pt idx="36">
                  <c:v>1187.2</c:v>
                </c:pt>
                <c:pt idx="37">
                  <c:v>1074.3800000000001</c:v>
                </c:pt>
                <c:pt idx="38">
                  <c:v>974.64</c:v>
                </c:pt>
                <c:pt idx="39">
                  <c:v>889.88</c:v>
                </c:pt>
                <c:pt idx="40">
                  <c:v>816.18</c:v>
                </c:pt>
                <c:pt idx="41">
                  <c:v>752.22</c:v>
                </c:pt>
                <c:pt idx="42">
                  <c:v>697.27</c:v>
                </c:pt>
                <c:pt idx="43">
                  <c:v>648.47</c:v>
                </c:pt>
                <c:pt idx="44">
                  <c:v>602.02</c:v>
                </c:pt>
                <c:pt idx="45">
                  <c:v>559.73</c:v>
                </c:pt>
                <c:pt idx="46">
                  <c:v>522.1</c:v>
                </c:pt>
                <c:pt idx="47">
                  <c:v>488.94</c:v>
                </c:pt>
                <c:pt idx="48">
                  <c:v>455.72</c:v>
                </c:pt>
                <c:pt idx="49">
                  <c:v>424.7</c:v>
                </c:pt>
                <c:pt idx="50">
                  <c:v>396.99</c:v>
                </c:pt>
                <c:pt idx="51">
                  <c:v>371.95</c:v>
                </c:pt>
                <c:pt idx="52">
                  <c:v>348.7</c:v>
                </c:pt>
                <c:pt idx="53">
                  <c:v>326.74</c:v>
                </c:pt>
                <c:pt idx="54">
                  <c:v>306.52</c:v>
                </c:pt>
                <c:pt idx="55">
                  <c:v>290.86</c:v>
                </c:pt>
                <c:pt idx="56">
                  <c:v>285.37</c:v>
                </c:pt>
                <c:pt idx="57">
                  <c:v>291.3</c:v>
                </c:pt>
                <c:pt idx="58">
                  <c:v>301.87</c:v>
                </c:pt>
                <c:pt idx="59">
                  <c:v>310.07</c:v>
                </c:pt>
                <c:pt idx="60">
                  <c:v>313.87</c:v>
                </c:pt>
                <c:pt idx="61">
                  <c:v>312.73</c:v>
                </c:pt>
                <c:pt idx="62">
                  <c:v>308.76</c:v>
                </c:pt>
                <c:pt idx="63">
                  <c:v>302.39999999999998</c:v>
                </c:pt>
                <c:pt idx="64">
                  <c:v>294.94</c:v>
                </c:pt>
                <c:pt idx="65">
                  <c:v>286.56</c:v>
                </c:pt>
                <c:pt idx="66">
                  <c:v>277.76</c:v>
                </c:pt>
                <c:pt idx="67">
                  <c:v>269.26</c:v>
                </c:pt>
                <c:pt idx="68">
                  <c:v>260.18</c:v>
                </c:pt>
                <c:pt idx="69">
                  <c:v>251.34</c:v>
                </c:pt>
                <c:pt idx="70">
                  <c:v>242.79</c:v>
                </c:pt>
                <c:pt idx="71">
                  <c:v>234.45</c:v>
                </c:pt>
                <c:pt idx="72">
                  <c:v>226.42</c:v>
                </c:pt>
                <c:pt idx="73">
                  <c:v>218.72</c:v>
                </c:pt>
                <c:pt idx="74">
                  <c:v>211.39</c:v>
                </c:pt>
                <c:pt idx="75">
                  <c:v>204.31</c:v>
                </c:pt>
                <c:pt idx="76">
                  <c:v>198.8</c:v>
                </c:pt>
                <c:pt idx="77">
                  <c:v>191.48</c:v>
                </c:pt>
                <c:pt idx="78">
                  <c:v>185.47</c:v>
                </c:pt>
                <c:pt idx="79">
                  <c:v>179.52</c:v>
                </c:pt>
                <c:pt idx="80">
                  <c:v>173.81</c:v>
                </c:pt>
                <c:pt idx="81">
                  <c:v>168.5</c:v>
                </c:pt>
                <c:pt idx="82">
                  <c:v>163.36000000000001</c:v>
                </c:pt>
                <c:pt idx="83">
                  <c:v>158.46</c:v>
                </c:pt>
                <c:pt idx="84">
                  <c:v>153.85</c:v>
                </c:pt>
                <c:pt idx="85">
                  <c:v>149.41999999999999</c:v>
                </c:pt>
                <c:pt idx="86">
                  <c:v>145.22</c:v>
                </c:pt>
                <c:pt idx="87">
                  <c:v>141.18</c:v>
                </c:pt>
                <c:pt idx="88">
                  <c:v>137.29</c:v>
                </c:pt>
                <c:pt idx="89">
                  <c:v>133.56</c:v>
                </c:pt>
                <c:pt idx="90">
                  <c:v>129.99</c:v>
                </c:pt>
                <c:pt idx="91">
                  <c:v>126.65</c:v>
                </c:pt>
                <c:pt idx="92">
                  <c:v>123.42</c:v>
                </c:pt>
                <c:pt idx="93">
                  <c:v>120.25</c:v>
                </c:pt>
                <c:pt idx="94">
                  <c:v>117.22</c:v>
                </c:pt>
                <c:pt idx="95">
                  <c:v>114.48</c:v>
                </c:pt>
                <c:pt idx="96">
                  <c:v>111.75</c:v>
                </c:pt>
                <c:pt idx="97">
                  <c:v>109.12</c:v>
                </c:pt>
                <c:pt idx="98">
                  <c:v>106.42</c:v>
                </c:pt>
                <c:pt idx="99">
                  <c:v>103.81</c:v>
                </c:pt>
                <c:pt idx="100">
                  <c:v>101.34</c:v>
                </c:pt>
                <c:pt idx="101">
                  <c:v>98.96</c:v>
                </c:pt>
                <c:pt idx="102">
                  <c:v>96.7</c:v>
                </c:pt>
                <c:pt idx="103">
                  <c:v>94.52</c:v>
                </c:pt>
                <c:pt idx="104">
                  <c:v>92.42</c:v>
                </c:pt>
                <c:pt idx="105">
                  <c:v>90.35</c:v>
                </c:pt>
                <c:pt idx="106">
                  <c:v>88.35</c:v>
                </c:pt>
                <c:pt idx="107">
                  <c:v>86.41</c:v>
                </c:pt>
                <c:pt idx="108">
                  <c:v>84.52</c:v>
                </c:pt>
                <c:pt idx="109">
                  <c:v>82.71</c:v>
                </c:pt>
                <c:pt idx="110">
                  <c:v>80.94</c:v>
                </c:pt>
                <c:pt idx="111">
                  <c:v>79.27</c:v>
                </c:pt>
                <c:pt idx="112">
                  <c:v>77.61</c:v>
                </c:pt>
                <c:pt idx="113">
                  <c:v>75.95</c:v>
                </c:pt>
                <c:pt idx="114">
                  <c:v>74.33</c:v>
                </c:pt>
                <c:pt idx="115">
                  <c:v>72.77</c:v>
                </c:pt>
                <c:pt idx="116">
                  <c:v>71.28</c:v>
                </c:pt>
                <c:pt idx="117">
                  <c:v>69.849999999999994</c:v>
                </c:pt>
                <c:pt idx="118">
                  <c:v>68.48</c:v>
                </c:pt>
                <c:pt idx="119">
                  <c:v>67.209999999999994</c:v>
                </c:pt>
                <c:pt idx="120">
                  <c:v>65.92</c:v>
                </c:pt>
              </c:numCache>
            </c:numRef>
          </c:yVal>
          <c:smooth val="1"/>
          <c:extLst xmlns:c16r2="http://schemas.microsoft.com/office/drawing/2015/06/chart">
            <c:ext xmlns:c16="http://schemas.microsoft.com/office/drawing/2014/chart" uri="{C3380CC4-5D6E-409C-BE32-E72D297353CC}">
              <c16:uniqueId val="{00000003-ED98-4FC7-9126-92AAE9E529C8}"/>
            </c:ext>
          </c:extLst>
        </c:ser>
        <c:ser>
          <c:idx val="0"/>
          <c:order val="4"/>
          <c:tx>
            <c:v>10 Percent Annual Chance</c:v>
          </c:tx>
          <c:spPr>
            <a:ln>
              <a:solidFill>
                <a:srgbClr val="33CC33"/>
              </a:solidFill>
            </a:ln>
          </c:spPr>
          <c:marker>
            <c:symbol val="none"/>
          </c:marker>
          <c:xVal>
            <c:numRef>
              <c:f>'Hydrograph (3)'!$A$3:$A$279</c:f>
              <c:numCache>
                <c:formatCode>0.00</c:formatCode>
                <c:ptCount val="277"/>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pt idx="101">
                  <c:v>101</c:v>
                </c:pt>
                <c:pt idx="102">
                  <c:v>102</c:v>
                </c:pt>
                <c:pt idx="103">
                  <c:v>103</c:v>
                </c:pt>
                <c:pt idx="104">
                  <c:v>104</c:v>
                </c:pt>
                <c:pt idx="105">
                  <c:v>105</c:v>
                </c:pt>
                <c:pt idx="106">
                  <c:v>106</c:v>
                </c:pt>
                <c:pt idx="107">
                  <c:v>107</c:v>
                </c:pt>
                <c:pt idx="108">
                  <c:v>108</c:v>
                </c:pt>
                <c:pt idx="109">
                  <c:v>109</c:v>
                </c:pt>
                <c:pt idx="110">
                  <c:v>110</c:v>
                </c:pt>
                <c:pt idx="111">
                  <c:v>111</c:v>
                </c:pt>
                <c:pt idx="112">
                  <c:v>112</c:v>
                </c:pt>
                <c:pt idx="113">
                  <c:v>113</c:v>
                </c:pt>
                <c:pt idx="114">
                  <c:v>114</c:v>
                </c:pt>
                <c:pt idx="115">
                  <c:v>115</c:v>
                </c:pt>
                <c:pt idx="116">
                  <c:v>116</c:v>
                </c:pt>
                <c:pt idx="117">
                  <c:v>117</c:v>
                </c:pt>
                <c:pt idx="118">
                  <c:v>118</c:v>
                </c:pt>
                <c:pt idx="119">
                  <c:v>119</c:v>
                </c:pt>
                <c:pt idx="120">
                  <c:v>120</c:v>
                </c:pt>
              </c:numCache>
            </c:numRef>
          </c:xVal>
          <c:yVal>
            <c:numRef>
              <c:f>'Hydrograph (3)'!$B$3:$B$279</c:f>
              <c:numCache>
                <c:formatCode>General</c:formatCode>
                <c:ptCount val="277"/>
                <c:pt idx="0">
                  <c:v>0</c:v>
                </c:pt>
                <c:pt idx="1">
                  <c:v>0</c:v>
                </c:pt>
                <c:pt idx="2">
                  <c:v>0</c:v>
                </c:pt>
                <c:pt idx="3">
                  <c:v>0</c:v>
                </c:pt>
                <c:pt idx="4">
                  <c:v>0</c:v>
                </c:pt>
                <c:pt idx="5">
                  <c:v>0</c:v>
                </c:pt>
                <c:pt idx="6">
                  <c:v>0</c:v>
                </c:pt>
                <c:pt idx="7">
                  <c:v>0</c:v>
                </c:pt>
                <c:pt idx="8">
                  <c:v>0</c:v>
                </c:pt>
                <c:pt idx="9">
                  <c:v>0</c:v>
                </c:pt>
                <c:pt idx="10">
                  <c:v>0.03</c:v>
                </c:pt>
                <c:pt idx="11">
                  <c:v>0.17</c:v>
                </c:pt>
                <c:pt idx="12">
                  <c:v>4.72</c:v>
                </c:pt>
                <c:pt idx="13">
                  <c:v>132.62</c:v>
                </c:pt>
                <c:pt idx="14">
                  <c:v>286.73</c:v>
                </c:pt>
                <c:pt idx="15">
                  <c:v>408.8</c:v>
                </c:pt>
                <c:pt idx="16">
                  <c:v>574.77</c:v>
                </c:pt>
                <c:pt idx="17">
                  <c:v>864.48</c:v>
                </c:pt>
                <c:pt idx="18">
                  <c:v>1273.58</c:v>
                </c:pt>
                <c:pt idx="19">
                  <c:v>1648.46</c:v>
                </c:pt>
                <c:pt idx="20">
                  <c:v>1849.78</c:v>
                </c:pt>
                <c:pt idx="21">
                  <c:v>1935.64</c:v>
                </c:pt>
                <c:pt idx="22">
                  <c:v>1915.74</c:v>
                </c:pt>
                <c:pt idx="23">
                  <c:v>1877.1</c:v>
                </c:pt>
                <c:pt idx="24">
                  <c:v>1903.51</c:v>
                </c:pt>
                <c:pt idx="25">
                  <c:v>1948.47</c:v>
                </c:pt>
                <c:pt idx="26">
                  <c:v>1930.86</c:v>
                </c:pt>
                <c:pt idx="27">
                  <c:v>1857.64</c:v>
                </c:pt>
                <c:pt idx="28">
                  <c:v>1755.66</c:v>
                </c:pt>
                <c:pt idx="29">
                  <c:v>1635.03</c:v>
                </c:pt>
                <c:pt idx="30">
                  <c:v>1505.91</c:v>
                </c:pt>
                <c:pt idx="31">
                  <c:v>1375.78</c:v>
                </c:pt>
                <c:pt idx="32">
                  <c:v>1250.8900000000001</c:v>
                </c:pt>
                <c:pt idx="33">
                  <c:v>1136.72</c:v>
                </c:pt>
                <c:pt idx="34">
                  <c:v>1035.6300000000001</c:v>
                </c:pt>
                <c:pt idx="35">
                  <c:v>951.39</c:v>
                </c:pt>
                <c:pt idx="36">
                  <c:v>880.3</c:v>
                </c:pt>
                <c:pt idx="37">
                  <c:v>820.08</c:v>
                </c:pt>
                <c:pt idx="38">
                  <c:v>769.45</c:v>
                </c:pt>
                <c:pt idx="39">
                  <c:v>725.4</c:v>
                </c:pt>
                <c:pt idx="40">
                  <c:v>683.15</c:v>
                </c:pt>
                <c:pt idx="41">
                  <c:v>642.02</c:v>
                </c:pt>
                <c:pt idx="42">
                  <c:v>601.30999999999995</c:v>
                </c:pt>
                <c:pt idx="43">
                  <c:v>563.1</c:v>
                </c:pt>
                <c:pt idx="44">
                  <c:v>527.70000000000005</c:v>
                </c:pt>
                <c:pt idx="45">
                  <c:v>495.94</c:v>
                </c:pt>
                <c:pt idx="46">
                  <c:v>462.74</c:v>
                </c:pt>
                <c:pt idx="47">
                  <c:v>430.95</c:v>
                </c:pt>
                <c:pt idx="48">
                  <c:v>402.73</c:v>
                </c:pt>
                <c:pt idx="49">
                  <c:v>377.07</c:v>
                </c:pt>
                <c:pt idx="50">
                  <c:v>353.25</c:v>
                </c:pt>
                <c:pt idx="51">
                  <c:v>330.8</c:v>
                </c:pt>
                <c:pt idx="52">
                  <c:v>309.8</c:v>
                </c:pt>
                <c:pt idx="53">
                  <c:v>290.8</c:v>
                </c:pt>
                <c:pt idx="54">
                  <c:v>273.67</c:v>
                </c:pt>
                <c:pt idx="55">
                  <c:v>258.20999999999998</c:v>
                </c:pt>
                <c:pt idx="56">
                  <c:v>244.06</c:v>
                </c:pt>
                <c:pt idx="57">
                  <c:v>230.74</c:v>
                </c:pt>
                <c:pt idx="58">
                  <c:v>218.32</c:v>
                </c:pt>
                <c:pt idx="59">
                  <c:v>206.19</c:v>
                </c:pt>
                <c:pt idx="60">
                  <c:v>196.23</c:v>
                </c:pt>
                <c:pt idx="61">
                  <c:v>184.74</c:v>
                </c:pt>
                <c:pt idx="62">
                  <c:v>175.02</c:v>
                </c:pt>
                <c:pt idx="63">
                  <c:v>166.19</c:v>
                </c:pt>
                <c:pt idx="64">
                  <c:v>158</c:v>
                </c:pt>
                <c:pt idx="65">
                  <c:v>150.26</c:v>
                </c:pt>
                <c:pt idx="66">
                  <c:v>142.84</c:v>
                </c:pt>
                <c:pt idx="67">
                  <c:v>135.97</c:v>
                </c:pt>
                <c:pt idx="68">
                  <c:v>129.47</c:v>
                </c:pt>
                <c:pt idx="69">
                  <c:v>123.3</c:v>
                </c:pt>
                <c:pt idx="70">
                  <c:v>117.68</c:v>
                </c:pt>
                <c:pt idx="71">
                  <c:v>112.34</c:v>
                </c:pt>
                <c:pt idx="72">
                  <c:v>107.35</c:v>
                </c:pt>
                <c:pt idx="73">
                  <c:v>102.64</c:v>
                </c:pt>
                <c:pt idx="74">
                  <c:v>97.9</c:v>
                </c:pt>
                <c:pt idx="75">
                  <c:v>93.83</c:v>
                </c:pt>
                <c:pt idx="76">
                  <c:v>89.86</c:v>
                </c:pt>
                <c:pt idx="77">
                  <c:v>85.84</c:v>
                </c:pt>
                <c:pt idx="78">
                  <c:v>82.09</c:v>
                </c:pt>
                <c:pt idx="79">
                  <c:v>78.540000000000006</c:v>
                </c:pt>
                <c:pt idx="80">
                  <c:v>75.260000000000005</c:v>
                </c:pt>
                <c:pt idx="81">
                  <c:v>72.22</c:v>
                </c:pt>
                <c:pt idx="82">
                  <c:v>69.34</c:v>
                </c:pt>
                <c:pt idx="83">
                  <c:v>66.67</c:v>
                </c:pt>
                <c:pt idx="84">
                  <c:v>64.09</c:v>
                </c:pt>
                <c:pt idx="85">
                  <c:v>61.6</c:v>
                </c:pt>
                <c:pt idx="86">
                  <c:v>59.26</c:v>
                </c:pt>
                <c:pt idx="87">
                  <c:v>57.64</c:v>
                </c:pt>
                <c:pt idx="88">
                  <c:v>55.42</c:v>
                </c:pt>
                <c:pt idx="89">
                  <c:v>53.4</c:v>
                </c:pt>
                <c:pt idx="90">
                  <c:v>51.6</c:v>
                </c:pt>
                <c:pt idx="91">
                  <c:v>50.1</c:v>
                </c:pt>
                <c:pt idx="92">
                  <c:v>48.58</c:v>
                </c:pt>
                <c:pt idx="93">
                  <c:v>46.99</c:v>
                </c:pt>
                <c:pt idx="94">
                  <c:v>45.42</c:v>
                </c:pt>
                <c:pt idx="95">
                  <c:v>43.88</c:v>
                </c:pt>
                <c:pt idx="96">
                  <c:v>42.4</c:v>
                </c:pt>
                <c:pt idx="97">
                  <c:v>40.97</c:v>
                </c:pt>
                <c:pt idx="98">
                  <c:v>39.630000000000003</c:v>
                </c:pt>
                <c:pt idx="99">
                  <c:v>38.36</c:v>
                </c:pt>
                <c:pt idx="100">
                  <c:v>37.15</c:v>
                </c:pt>
                <c:pt idx="101">
                  <c:v>36.07</c:v>
                </c:pt>
                <c:pt idx="102">
                  <c:v>34.979999999999997</c:v>
                </c:pt>
                <c:pt idx="103">
                  <c:v>33.909999999999997</c:v>
                </c:pt>
                <c:pt idx="104">
                  <c:v>32.92</c:v>
                </c:pt>
                <c:pt idx="105">
                  <c:v>32</c:v>
                </c:pt>
                <c:pt idx="106">
                  <c:v>31.08</c:v>
                </c:pt>
                <c:pt idx="107">
                  <c:v>30.14</c:v>
                </c:pt>
                <c:pt idx="108">
                  <c:v>29.25</c:v>
                </c:pt>
                <c:pt idx="109">
                  <c:v>28.44</c:v>
                </c:pt>
                <c:pt idx="110">
                  <c:v>27.67</c:v>
                </c:pt>
                <c:pt idx="111">
                  <c:v>26.94</c:v>
                </c:pt>
                <c:pt idx="112">
                  <c:v>26.25</c:v>
                </c:pt>
                <c:pt idx="113">
                  <c:v>25.59</c:v>
                </c:pt>
                <c:pt idx="114">
                  <c:v>24.92</c:v>
                </c:pt>
                <c:pt idx="115">
                  <c:v>24.28</c:v>
                </c:pt>
                <c:pt idx="116">
                  <c:v>23.65</c:v>
                </c:pt>
                <c:pt idx="117">
                  <c:v>23.06</c:v>
                </c:pt>
                <c:pt idx="118">
                  <c:v>22.5</c:v>
                </c:pt>
                <c:pt idx="119">
                  <c:v>21.98</c:v>
                </c:pt>
                <c:pt idx="120">
                  <c:v>21.52</c:v>
                </c:pt>
              </c:numCache>
            </c:numRef>
          </c:yVal>
          <c:smooth val="1"/>
          <c:extLst xmlns:c16r2="http://schemas.microsoft.com/office/drawing/2015/06/chart">
            <c:ext xmlns:c16="http://schemas.microsoft.com/office/drawing/2014/chart" uri="{C3380CC4-5D6E-409C-BE32-E72D297353CC}">
              <c16:uniqueId val="{00000004-ED98-4FC7-9126-92AAE9E529C8}"/>
            </c:ext>
          </c:extLst>
        </c:ser>
        <c:ser>
          <c:idx val="5"/>
          <c:order val="5"/>
          <c:tx>
            <c:v>1 Percent Plus Annual Chance</c:v>
          </c:tx>
          <c:marker>
            <c:symbol val="none"/>
          </c:marker>
          <c:xVal>
            <c:numRef>
              <c:f>'Hydrograph (3)'!$A$3:$A$195</c:f>
              <c:numCache>
                <c:formatCode>0.00</c:formatCode>
                <c:ptCount val="193"/>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pt idx="101">
                  <c:v>101</c:v>
                </c:pt>
                <c:pt idx="102">
                  <c:v>102</c:v>
                </c:pt>
                <c:pt idx="103">
                  <c:v>103</c:v>
                </c:pt>
                <c:pt idx="104">
                  <c:v>104</c:v>
                </c:pt>
                <c:pt idx="105">
                  <c:v>105</c:v>
                </c:pt>
                <c:pt idx="106">
                  <c:v>106</c:v>
                </c:pt>
                <c:pt idx="107">
                  <c:v>107</c:v>
                </c:pt>
                <c:pt idx="108">
                  <c:v>108</c:v>
                </c:pt>
                <c:pt idx="109">
                  <c:v>109</c:v>
                </c:pt>
                <c:pt idx="110">
                  <c:v>110</c:v>
                </c:pt>
                <c:pt idx="111">
                  <c:v>111</c:v>
                </c:pt>
                <c:pt idx="112">
                  <c:v>112</c:v>
                </c:pt>
                <c:pt idx="113">
                  <c:v>113</c:v>
                </c:pt>
                <c:pt idx="114">
                  <c:v>114</c:v>
                </c:pt>
                <c:pt idx="115">
                  <c:v>115</c:v>
                </c:pt>
                <c:pt idx="116">
                  <c:v>116</c:v>
                </c:pt>
                <c:pt idx="117">
                  <c:v>117</c:v>
                </c:pt>
                <c:pt idx="118">
                  <c:v>118</c:v>
                </c:pt>
                <c:pt idx="119">
                  <c:v>119</c:v>
                </c:pt>
                <c:pt idx="120">
                  <c:v>120</c:v>
                </c:pt>
              </c:numCache>
            </c:numRef>
          </c:xVal>
          <c:yVal>
            <c:numRef>
              <c:f>'Hydrograph (3)'!$G$3:$G$1048576</c:f>
              <c:numCache>
                <c:formatCode>General</c:formatCode>
                <c:ptCount val="1048574"/>
                <c:pt idx="0">
                  <c:v>0</c:v>
                </c:pt>
                <c:pt idx="1">
                  <c:v>0</c:v>
                </c:pt>
                <c:pt idx="2">
                  <c:v>0</c:v>
                </c:pt>
                <c:pt idx="3">
                  <c:v>0</c:v>
                </c:pt>
                <c:pt idx="4">
                  <c:v>0</c:v>
                </c:pt>
                <c:pt idx="5">
                  <c:v>0</c:v>
                </c:pt>
                <c:pt idx="6">
                  <c:v>0</c:v>
                </c:pt>
                <c:pt idx="7">
                  <c:v>0.01</c:v>
                </c:pt>
                <c:pt idx="8">
                  <c:v>0.09</c:v>
                </c:pt>
                <c:pt idx="9">
                  <c:v>0.17</c:v>
                </c:pt>
                <c:pt idx="10">
                  <c:v>1.2</c:v>
                </c:pt>
                <c:pt idx="11">
                  <c:v>17.23</c:v>
                </c:pt>
                <c:pt idx="12">
                  <c:v>193.51</c:v>
                </c:pt>
                <c:pt idx="13">
                  <c:v>952.71</c:v>
                </c:pt>
                <c:pt idx="14">
                  <c:v>2228.38</c:v>
                </c:pt>
                <c:pt idx="15">
                  <c:v>4946.29</c:v>
                </c:pt>
                <c:pt idx="16">
                  <c:v>6904.58</c:v>
                </c:pt>
                <c:pt idx="17">
                  <c:v>8251.68</c:v>
                </c:pt>
                <c:pt idx="18">
                  <c:v>8966.7000000000007</c:v>
                </c:pt>
                <c:pt idx="19">
                  <c:v>9096.93</c:v>
                </c:pt>
                <c:pt idx="20">
                  <c:v>8965.5400000000009</c:v>
                </c:pt>
                <c:pt idx="21">
                  <c:v>8562.2900000000009</c:v>
                </c:pt>
                <c:pt idx="22">
                  <c:v>7946.85</c:v>
                </c:pt>
                <c:pt idx="23">
                  <c:v>7254.33</c:v>
                </c:pt>
                <c:pt idx="24">
                  <c:v>6643.51</c:v>
                </c:pt>
                <c:pt idx="25">
                  <c:v>6238.29</c:v>
                </c:pt>
                <c:pt idx="26">
                  <c:v>5929.7</c:v>
                </c:pt>
                <c:pt idx="27">
                  <c:v>5605.08</c:v>
                </c:pt>
                <c:pt idx="28">
                  <c:v>5246.26</c:v>
                </c:pt>
                <c:pt idx="29">
                  <c:v>4874.28</c:v>
                </c:pt>
                <c:pt idx="30">
                  <c:v>4505.24</c:v>
                </c:pt>
                <c:pt idx="31">
                  <c:v>4161.95</c:v>
                </c:pt>
                <c:pt idx="32">
                  <c:v>3835.32</c:v>
                </c:pt>
                <c:pt idx="33">
                  <c:v>3532.7</c:v>
                </c:pt>
                <c:pt idx="34">
                  <c:v>3249.22</c:v>
                </c:pt>
                <c:pt idx="35">
                  <c:v>2985.34</c:v>
                </c:pt>
                <c:pt idx="36">
                  <c:v>2742.25</c:v>
                </c:pt>
                <c:pt idx="37">
                  <c:v>2524.6999999999998</c:v>
                </c:pt>
                <c:pt idx="38">
                  <c:v>2327.89</c:v>
                </c:pt>
                <c:pt idx="39">
                  <c:v>2147.75</c:v>
                </c:pt>
                <c:pt idx="40">
                  <c:v>1987.37</c:v>
                </c:pt>
                <c:pt idx="41">
                  <c:v>1848.48</c:v>
                </c:pt>
                <c:pt idx="42">
                  <c:v>1726.85</c:v>
                </c:pt>
                <c:pt idx="43">
                  <c:v>1626.86</c:v>
                </c:pt>
                <c:pt idx="44">
                  <c:v>1550.21</c:v>
                </c:pt>
                <c:pt idx="45">
                  <c:v>1487.97</c:v>
                </c:pt>
                <c:pt idx="46">
                  <c:v>1428.67</c:v>
                </c:pt>
                <c:pt idx="47">
                  <c:v>1366.84</c:v>
                </c:pt>
                <c:pt idx="48">
                  <c:v>1303.19</c:v>
                </c:pt>
                <c:pt idx="49">
                  <c:v>1240.04</c:v>
                </c:pt>
                <c:pt idx="50">
                  <c:v>1178.6199999999999</c:v>
                </c:pt>
                <c:pt idx="51">
                  <c:v>1120.19</c:v>
                </c:pt>
                <c:pt idx="52">
                  <c:v>1061.82</c:v>
                </c:pt>
                <c:pt idx="53">
                  <c:v>1006.34</c:v>
                </c:pt>
                <c:pt idx="54">
                  <c:v>955.21</c:v>
                </c:pt>
                <c:pt idx="55">
                  <c:v>907.46</c:v>
                </c:pt>
                <c:pt idx="56">
                  <c:v>862.89</c:v>
                </c:pt>
                <c:pt idx="57">
                  <c:v>821.6</c:v>
                </c:pt>
                <c:pt idx="58">
                  <c:v>782.33</c:v>
                </c:pt>
                <c:pt idx="59">
                  <c:v>745.66</c:v>
                </c:pt>
                <c:pt idx="60">
                  <c:v>710.68</c:v>
                </c:pt>
                <c:pt idx="61">
                  <c:v>677.91</c:v>
                </c:pt>
                <c:pt idx="62">
                  <c:v>647.41</c:v>
                </c:pt>
                <c:pt idx="63">
                  <c:v>617.89</c:v>
                </c:pt>
                <c:pt idx="64">
                  <c:v>589.44000000000005</c:v>
                </c:pt>
                <c:pt idx="65">
                  <c:v>562.95000000000005</c:v>
                </c:pt>
                <c:pt idx="66">
                  <c:v>539.77</c:v>
                </c:pt>
                <c:pt idx="67">
                  <c:v>515.58000000000004</c:v>
                </c:pt>
                <c:pt idx="68">
                  <c:v>495.25</c:v>
                </c:pt>
                <c:pt idx="69">
                  <c:v>473.65</c:v>
                </c:pt>
                <c:pt idx="70">
                  <c:v>453.47</c:v>
                </c:pt>
                <c:pt idx="71">
                  <c:v>435.16</c:v>
                </c:pt>
                <c:pt idx="72">
                  <c:v>417.99</c:v>
                </c:pt>
                <c:pt idx="73">
                  <c:v>401.68</c:v>
                </c:pt>
                <c:pt idx="74">
                  <c:v>386.57</c:v>
                </c:pt>
                <c:pt idx="75">
                  <c:v>372.05</c:v>
                </c:pt>
                <c:pt idx="76">
                  <c:v>358.04</c:v>
                </c:pt>
                <c:pt idx="77">
                  <c:v>345.15</c:v>
                </c:pt>
                <c:pt idx="78">
                  <c:v>333.06</c:v>
                </c:pt>
                <c:pt idx="79">
                  <c:v>321.56</c:v>
                </c:pt>
                <c:pt idx="80">
                  <c:v>310.81</c:v>
                </c:pt>
                <c:pt idx="81">
                  <c:v>300.67</c:v>
                </c:pt>
                <c:pt idx="82">
                  <c:v>291.18</c:v>
                </c:pt>
                <c:pt idx="83">
                  <c:v>282.02999999999997</c:v>
                </c:pt>
                <c:pt idx="84">
                  <c:v>273.35000000000002</c:v>
                </c:pt>
                <c:pt idx="85">
                  <c:v>265.02</c:v>
                </c:pt>
                <c:pt idx="86">
                  <c:v>257</c:v>
                </c:pt>
                <c:pt idx="87">
                  <c:v>249.54</c:v>
                </c:pt>
                <c:pt idx="88">
                  <c:v>242.38</c:v>
                </c:pt>
                <c:pt idx="89">
                  <c:v>235.57</c:v>
                </c:pt>
                <c:pt idx="90">
                  <c:v>228.93</c:v>
                </c:pt>
                <c:pt idx="91">
                  <c:v>222.44</c:v>
                </c:pt>
                <c:pt idx="92">
                  <c:v>216.27</c:v>
                </c:pt>
                <c:pt idx="93">
                  <c:v>210.22</c:v>
                </c:pt>
                <c:pt idx="94">
                  <c:v>204.5</c:v>
                </c:pt>
                <c:pt idx="95">
                  <c:v>200.51</c:v>
                </c:pt>
                <c:pt idx="96">
                  <c:v>194.21</c:v>
                </c:pt>
                <c:pt idx="97">
                  <c:v>188.9</c:v>
                </c:pt>
                <c:pt idx="98">
                  <c:v>184.07</c:v>
                </c:pt>
                <c:pt idx="99">
                  <c:v>179.49</c:v>
                </c:pt>
                <c:pt idx="100">
                  <c:v>175.24</c:v>
                </c:pt>
                <c:pt idx="101">
                  <c:v>171.07</c:v>
                </c:pt>
                <c:pt idx="102">
                  <c:v>166.86</c:v>
                </c:pt>
                <c:pt idx="103">
                  <c:v>162.81</c:v>
                </c:pt>
                <c:pt idx="104">
                  <c:v>158.93</c:v>
                </c:pt>
                <c:pt idx="105">
                  <c:v>155.22</c:v>
                </c:pt>
                <c:pt idx="106">
                  <c:v>151.72999999999999</c:v>
                </c:pt>
                <c:pt idx="107">
                  <c:v>148.24</c:v>
                </c:pt>
                <c:pt idx="108">
                  <c:v>144.76</c:v>
                </c:pt>
                <c:pt idx="109">
                  <c:v>141.4</c:v>
                </c:pt>
                <c:pt idx="110">
                  <c:v>138.16999999999999</c:v>
                </c:pt>
                <c:pt idx="111">
                  <c:v>135.04</c:v>
                </c:pt>
                <c:pt idx="112">
                  <c:v>132.03</c:v>
                </c:pt>
                <c:pt idx="113">
                  <c:v>129.16</c:v>
                </c:pt>
                <c:pt idx="114">
                  <c:v>126.38</c:v>
                </c:pt>
                <c:pt idx="115">
                  <c:v>123.58</c:v>
                </c:pt>
                <c:pt idx="116">
                  <c:v>120.89</c:v>
                </c:pt>
                <c:pt idx="117">
                  <c:v>118.4</c:v>
                </c:pt>
                <c:pt idx="118">
                  <c:v>115.97</c:v>
                </c:pt>
                <c:pt idx="119">
                  <c:v>113.78</c:v>
                </c:pt>
                <c:pt idx="120">
                  <c:v>111.56</c:v>
                </c:pt>
              </c:numCache>
            </c:numRef>
          </c:yVal>
          <c:smooth val="1"/>
          <c:extLst xmlns:c16r2="http://schemas.microsoft.com/office/drawing/2015/06/chart">
            <c:ext xmlns:c16="http://schemas.microsoft.com/office/drawing/2014/chart" uri="{C3380CC4-5D6E-409C-BE32-E72D297353CC}">
              <c16:uniqueId val="{00000005-ED98-4FC7-9126-92AAE9E529C8}"/>
            </c:ext>
          </c:extLst>
        </c:ser>
        <c:ser>
          <c:idx val="6"/>
          <c:order val="6"/>
          <c:tx>
            <c:v>1 Percent Minus Annual Chance</c:v>
          </c:tx>
          <c:marker>
            <c:symbol val="none"/>
          </c:marker>
          <c:xVal>
            <c:numRef>
              <c:f>'Hydrograph (3)'!$A$3:$A$195</c:f>
              <c:numCache>
                <c:formatCode>0.00</c:formatCode>
                <c:ptCount val="193"/>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pt idx="101">
                  <c:v>101</c:v>
                </c:pt>
                <c:pt idx="102">
                  <c:v>102</c:v>
                </c:pt>
                <c:pt idx="103">
                  <c:v>103</c:v>
                </c:pt>
                <c:pt idx="104">
                  <c:v>104</c:v>
                </c:pt>
                <c:pt idx="105">
                  <c:v>105</c:v>
                </c:pt>
                <c:pt idx="106">
                  <c:v>106</c:v>
                </c:pt>
                <c:pt idx="107">
                  <c:v>107</c:v>
                </c:pt>
                <c:pt idx="108">
                  <c:v>108</c:v>
                </c:pt>
                <c:pt idx="109">
                  <c:v>109</c:v>
                </c:pt>
                <c:pt idx="110">
                  <c:v>110</c:v>
                </c:pt>
                <c:pt idx="111">
                  <c:v>111</c:v>
                </c:pt>
                <c:pt idx="112">
                  <c:v>112</c:v>
                </c:pt>
                <c:pt idx="113">
                  <c:v>113</c:v>
                </c:pt>
                <c:pt idx="114">
                  <c:v>114</c:v>
                </c:pt>
                <c:pt idx="115">
                  <c:v>115</c:v>
                </c:pt>
                <c:pt idx="116">
                  <c:v>116</c:v>
                </c:pt>
                <c:pt idx="117">
                  <c:v>117</c:v>
                </c:pt>
                <c:pt idx="118">
                  <c:v>118</c:v>
                </c:pt>
                <c:pt idx="119">
                  <c:v>119</c:v>
                </c:pt>
                <c:pt idx="120">
                  <c:v>120</c:v>
                </c:pt>
              </c:numCache>
            </c:numRef>
          </c:xVal>
          <c:yVal>
            <c:numRef>
              <c:f>'Hydrograph (3)'!$H$3:$H$195</c:f>
              <c:numCache>
                <c:formatCode>General</c:formatCode>
                <c:ptCount val="193"/>
                <c:pt idx="0">
                  <c:v>0</c:v>
                </c:pt>
                <c:pt idx="1">
                  <c:v>0</c:v>
                </c:pt>
                <c:pt idx="2">
                  <c:v>0</c:v>
                </c:pt>
                <c:pt idx="3">
                  <c:v>0</c:v>
                </c:pt>
                <c:pt idx="4">
                  <c:v>0</c:v>
                </c:pt>
                <c:pt idx="5">
                  <c:v>0</c:v>
                </c:pt>
                <c:pt idx="6">
                  <c:v>0</c:v>
                </c:pt>
                <c:pt idx="7">
                  <c:v>0</c:v>
                </c:pt>
                <c:pt idx="8">
                  <c:v>0</c:v>
                </c:pt>
                <c:pt idx="9">
                  <c:v>0</c:v>
                </c:pt>
                <c:pt idx="10">
                  <c:v>0</c:v>
                </c:pt>
                <c:pt idx="11">
                  <c:v>0.03</c:v>
                </c:pt>
                <c:pt idx="12">
                  <c:v>4.09</c:v>
                </c:pt>
                <c:pt idx="13">
                  <c:v>142.44999999999999</c:v>
                </c:pt>
                <c:pt idx="14">
                  <c:v>328.68</c:v>
                </c:pt>
                <c:pt idx="15">
                  <c:v>492.23</c:v>
                </c:pt>
                <c:pt idx="16">
                  <c:v>741.87</c:v>
                </c:pt>
                <c:pt idx="17">
                  <c:v>1186.83</c:v>
                </c:pt>
                <c:pt idx="18">
                  <c:v>1747.42</c:v>
                </c:pt>
                <c:pt idx="19">
                  <c:v>2144.44</c:v>
                </c:pt>
                <c:pt idx="20">
                  <c:v>2347.4899999999998</c:v>
                </c:pt>
                <c:pt idx="21">
                  <c:v>2411.4499999999998</c:v>
                </c:pt>
                <c:pt idx="22">
                  <c:v>2392.79</c:v>
                </c:pt>
                <c:pt idx="23">
                  <c:v>2394.65</c:v>
                </c:pt>
                <c:pt idx="24">
                  <c:v>2425.23</c:v>
                </c:pt>
                <c:pt idx="25">
                  <c:v>2387.9299999999998</c:v>
                </c:pt>
                <c:pt idx="26">
                  <c:v>2281.86</c:v>
                </c:pt>
                <c:pt idx="27">
                  <c:v>2135.7800000000002</c:v>
                </c:pt>
                <c:pt idx="28">
                  <c:v>1974.96</c:v>
                </c:pt>
                <c:pt idx="29">
                  <c:v>1813.25</c:v>
                </c:pt>
                <c:pt idx="30">
                  <c:v>1654.59</c:v>
                </c:pt>
                <c:pt idx="31">
                  <c:v>1508.28</c:v>
                </c:pt>
                <c:pt idx="32">
                  <c:v>1376.83</c:v>
                </c:pt>
                <c:pt idx="33">
                  <c:v>1263.3399999999999</c:v>
                </c:pt>
                <c:pt idx="34">
                  <c:v>1163.6099999999999</c:v>
                </c:pt>
                <c:pt idx="35">
                  <c:v>1075.3599999999999</c:v>
                </c:pt>
                <c:pt idx="36">
                  <c:v>993.61</c:v>
                </c:pt>
                <c:pt idx="37">
                  <c:v>920.19</c:v>
                </c:pt>
                <c:pt idx="38">
                  <c:v>851.14</c:v>
                </c:pt>
                <c:pt idx="39">
                  <c:v>788.04</c:v>
                </c:pt>
                <c:pt idx="40">
                  <c:v>732.81</c:v>
                </c:pt>
                <c:pt idx="41">
                  <c:v>682.34</c:v>
                </c:pt>
                <c:pt idx="42">
                  <c:v>635.47</c:v>
                </c:pt>
                <c:pt idx="43">
                  <c:v>590.47</c:v>
                </c:pt>
                <c:pt idx="44">
                  <c:v>551.1</c:v>
                </c:pt>
                <c:pt idx="45">
                  <c:v>512.29999999999995</c:v>
                </c:pt>
                <c:pt idx="46">
                  <c:v>478.78</c:v>
                </c:pt>
                <c:pt idx="47">
                  <c:v>445.69</c:v>
                </c:pt>
                <c:pt idx="48">
                  <c:v>415.14</c:v>
                </c:pt>
                <c:pt idx="49">
                  <c:v>387.69</c:v>
                </c:pt>
                <c:pt idx="50">
                  <c:v>362.57</c:v>
                </c:pt>
                <c:pt idx="51">
                  <c:v>339.17</c:v>
                </c:pt>
                <c:pt idx="52">
                  <c:v>317.22000000000003</c:v>
                </c:pt>
                <c:pt idx="53">
                  <c:v>297.12</c:v>
                </c:pt>
                <c:pt idx="54">
                  <c:v>279.24</c:v>
                </c:pt>
                <c:pt idx="55">
                  <c:v>263.08</c:v>
                </c:pt>
                <c:pt idx="56">
                  <c:v>248.38</c:v>
                </c:pt>
                <c:pt idx="57">
                  <c:v>234.56</c:v>
                </c:pt>
                <c:pt idx="58">
                  <c:v>221.82</c:v>
                </c:pt>
                <c:pt idx="59">
                  <c:v>209.37</c:v>
                </c:pt>
                <c:pt idx="60">
                  <c:v>199.18</c:v>
                </c:pt>
                <c:pt idx="61">
                  <c:v>187.5</c:v>
                </c:pt>
                <c:pt idx="62">
                  <c:v>177.24</c:v>
                </c:pt>
                <c:pt idx="63">
                  <c:v>168.21</c:v>
                </c:pt>
                <c:pt idx="64">
                  <c:v>159.87</c:v>
                </c:pt>
                <c:pt idx="65">
                  <c:v>152.03</c:v>
                </c:pt>
                <c:pt idx="66">
                  <c:v>144.49</c:v>
                </c:pt>
                <c:pt idx="67">
                  <c:v>137.49</c:v>
                </c:pt>
                <c:pt idx="68">
                  <c:v>130.91</c:v>
                </c:pt>
                <c:pt idx="69">
                  <c:v>124.65</c:v>
                </c:pt>
                <c:pt idx="70">
                  <c:v>118.87</c:v>
                </c:pt>
                <c:pt idx="71">
                  <c:v>113.5</c:v>
                </c:pt>
                <c:pt idx="72">
                  <c:v>108.41</c:v>
                </c:pt>
                <c:pt idx="73">
                  <c:v>103.67</c:v>
                </c:pt>
                <c:pt idx="74">
                  <c:v>98.88</c:v>
                </c:pt>
                <c:pt idx="75">
                  <c:v>94.67</c:v>
                </c:pt>
                <c:pt idx="76">
                  <c:v>90.73</c:v>
                </c:pt>
                <c:pt idx="77">
                  <c:v>86.69</c:v>
                </c:pt>
                <c:pt idx="78">
                  <c:v>82.87</c:v>
                </c:pt>
                <c:pt idx="79">
                  <c:v>79.260000000000005</c:v>
                </c:pt>
                <c:pt idx="80">
                  <c:v>75.930000000000007</c:v>
                </c:pt>
                <c:pt idx="81">
                  <c:v>72.86</c:v>
                </c:pt>
                <c:pt idx="82">
                  <c:v>69.959999999999994</c:v>
                </c:pt>
                <c:pt idx="83">
                  <c:v>67.290000000000006</c:v>
                </c:pt>
                <c:pt idx="84">
                  <c:v>64.739999999999995</c:v>
                </c:pt>
                <c:pt idx="85">
                  <c:v>62.25</c:v>
                </c:pt>
                <c:pt idx="86">
                  <c:v>59.9</c:v>
                </c:pt>
                <c:pt idx="87">
                  <c:v>57.73</c:v>
                </c:pt>
                <c:pt idx="88">
                  <c:v>56.07</c:v>
                </c:pt>
                <c:pt idx="89">
                  <c:v>54</c:v>
                </c:pt>
                <c:pt idx="90">
                  <c:v>52.13</c:v>
                </c:pt>
                <c:pt idx="91">
                  <c:v>50.54</c:v>
                </c:pt>
                <c:pt idx="92">
                  <c:v>49.02</c:v>
                </c:pt>
                <c:pt idx="93">
                  <c:v>47.44</c:v>
                </c:pt>
                <c:pt idx="94">
                  <c:v>45.86</c:v>
                </c:pt>
                <c:pt idx="95">
                  <c:v>44.32</c:v>
                </c:pt>
                <c:pt idx="96">
                  <c:v>42.83</c:v>
                </c:pt>
                <c:pt idx="97">
                  <c:v>41.4</c:v>
                </c:pt>
                <c:pt idx="98">
                  <c:v>40.03</c:v>
                </c:pt>
                <c:pt idx="99">
                  <c:v>38.75</c:v>
                </c:pt>
                <c:pt idx="100">
                  <c:v>37.53</c:v>
                </c:pt>
                <c:pt idx="101">
                  <c:v>36.4</c:v>
                </c:pt>
                <c:pt idx="102">
                  <c:v>35.32</c:v>
                </c:pt>
                <c:pt idx="103">
                  <c:v>34.270000000000003</c:v>
                </c:pt>
                <c:pt idx="104">
                  <c:v>33.299999999999997</c:v>
                </c:pt>
                <c:pt idx="105">
                  <c:v>32.369999999999997</c:v>
                </c:pt>
                <c:pt idx="106">
                  <c:v>31.46</c:v>
                </c:pt>
                <c:pt idx="107">
                  <c:v>30.51</c:v>
                </c:pt>
                <c:pt idx="108">
                  <c:v>29.6</c:v>
                </c:pt>
                <c:pt idx="109">
                  <c:v>28.76</c:v>
                </c:pt>
                <c:pt idx="110">
                  <c:v>27.99</c:v>
                </c:pt>
                <c:pt idx="111">
                  <c:v>27.25</c:v>
                </c:pt>
                <c:pt idx="112">
                  <c:v>26.54</c:v>
                </c:pt>
                <c:pt idx="113">
                  <c:v>25.87</c:v>
                </c:pt>
                <c:pt idx="114">
                  <c:v>25.23</c:v>
                </c:pt>
                <c:pt idx="115">
                  <c:v>24.57</c:v>
                </c:pt>
                <c:pt idx="116">
                  <c:v>23.96</c:v>
                </c:pt>
                <c:pt idx="117">
                  <c:v>23.35</c:v>
                </c:pt>
                <c:pt idx="118">
                  <c:v>22.8</c:v>
                </c:pt>
                <c:pt idx="119">
                  <c:v>22.24</c:v>
                </c:pt>
                <c:pt idx="120">
                  <c:v>21.77</c:v>
                </c:pt>
              </c:numCache>
            </c:numRef>
          </c:yVal>
          <c:smooth val="1"/>
          <c:extLst xmlns:c16r2="http://schemas.microsoft.com/office/drawing/2015/06/chart">
            <c:ext xmlns:c16="http://schemas.microsoft.com/office/drawing/2014/chart" uri="{C3380CC4-5D6E-409C-BE32-E72D297353CC}">
              <c16:uniqueId val="{00000006-ED98-4FC7-9126-92AAE9E529C8}"/>
            </c:ext>
          </c:extLst>
        </c:ser>
        <c:dLbls>
          <c:showLegendKey val="0"/>
          <c:showVal val="0"/>
          <c:showCatName val="0"/>
          <c:showSerName val="0"/>
          <c:showPercent val="0"/>
          <c:showBubbleSize val="0"/>
        </c:dLbls>
        <c:axId val="160098944"/>
        <c:axId val="159990528"/>
      </c:scatterChart>
      <c:valAx>
        <c:axId val="160098944"/>
        <c:scaling>
          <c:orientation val="minMax"/>
          <c:max val="108"/>
          <c:min val="0"/>
        </c:scaling>
        <c:delete val="0"/>
        <c:axPos val="b"/>
        <c:title>
          <c:tx>
            <c:rich>
              <a:bodyPr/>
              <a:lstStyle/>
              <a:p>
                <a:pPr>
                  <a:defRPr/>
                </a:pPr>
                <a:r>
                  <a:rPr lang="en-US"/>
                  <a:t>Time (hours)</a:t>
                </a:r>
              </a:p>
            </c:rich>
          </c:tx>
          <c:layout/>
          <c:overlay val="0"/>
        </c:title>
        <c:numFmt formatCode="0" sourceLinked="0"/>
        <c:majorTickMark val="out"/>
        <c:minorTickMark val="none"/>
        <c:tickLblPos val="nextTo"/>
        <c:crossAx val="159990528"/>
        <c:crosses val="autoZero"/>
        <c:crossBetween val="midCat"/>
        <c:majorUnit val="12"/>
        <c:minorUnit val="0.5"/>
      </c:valAx>
      <c:valAx>
        <c:axId val="159990528"/>
        <c:scaling>
          <c:orientation val="minMax"/>
          <c:min val="0"/>
        </c:scaling>
        <c:delete val="0"/>
        <c:axPos val="l"/>
        <c:majorGridlines/>
        <c:title>
          <c:tx>
            <c:rich>
              <a:bodyPr rot="-5400000" vert="horz"/>
              <a:lstStyle/>
              <a:p>
                <a:pPr>
                  <a:defRPr/>
                </a:pPr>
                <a:r>
                  <a:rPr lang="en-US"/>
                  <a:t>Discharge (cfs)</a:t>
                </a:r>
              </a:p>
            </c:rich>
          </c:tx>
          <c:layout>
            <c:manualLayout>
              <c:xMode val="edge"/>
              <c:yMode val="edge"/>
              <c:x val="1.0468951496669853E-2"/>
              <c:y val="0.36171568297552548"/>
            </c:manualLayout>
          </c:layout>
          <c:overlay val="0"/>
        </c:title>
        <c:numFmt formatCode="#,##0" sourceLinked="0"/>
        <c:majorTickMark val="out"/>
        <c:minorTickMark val="none"/>
        <c:tickLblPos val="nextTo"/>
        <c:crossAx val="160098944"/>
        <c:crosses val="autoZero"/>
        <c:crossBetween val="midCat"/>
      </c:valAx>
      <c:spPr>
        <a:ln>
          <a:solidFill>
            <a:schemeClr val="tx1"/>
          </a:solidFill>
        </a:ln>
      </c:spPr>
    </c:plotArea>
    <c:legend>
      <c:legendPos val="r"/>
      <c:layout>
        <c:manualLayout>
          <c:xMode val="edge"/>
          <c:yMode val="edge"/>
          <c:x val="0.58730080205942847"/>
          <c:y val="3.6263530349845509E-2"/>
          <c:w val="0.36910816217902825"/>
          <c:h val="0.36062790228144559"/>
        </c:manualLayout>
      </c:layout>
      <c:overlay val="1"/>
      <c:spPr>
        <a:solidFill>
          <a:schemeClr val="bg1"/>
        </a:solidFill>
        <a:ln>
          <a:solidFill>
            <a:schemeClr val="tx1"/>
          </a:solidFill>
        </a:ln>
      </c:spPr>
    </c:legend>
    <c:plotVisOnly val="1"/>
    <c:dispBlanksAs val="gap"/>
    <c:showDLblsOverMax val="0"/>
  </c:chart>
  <c:externalData r:id="rId2">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102">
  <cs:axisTitle>
    <cs:lnRef idx="0"/>
    <cs:fillRef idx="0"/>
    <cs:effectRef idx="0"/>
    <cs:fontRef idx="minor">
      <a:schemeClr val="tx1"/>
    </cs:fontRef>
    <cs:defRPr sz="1000" b="1" kern="1200"/>
  </cs:axisTitle>
  <cs:categoryAxis>
    <cs:lnRef idx="1">
      <a:schemeClr val="tx1">
        <a:tint val="75000"/>
      </a:schemeClr>
    </cs:lnRef>
    <cs:fillRef idx="0"/>
    <cs:effectRef idx="0"/>
    <cs:fontRef idx="minor">
      <a:schemeClr val="tx1"/>
    </cs:fontRef>
    <cs:spPr>
      <a:ln>
        <a:round/>
      </a:ln>
    </cs:spPr>
    <cs:defRPr sz="1000" kern="1200"/>
  </cs:categoryAxis>
  <cs:chartArea mods="allowNoFillOverride allowNoLineOverride">
    <cs:lnRef idx="1">
      <a:schemeClr val="tx1">
        <a:tint val="75000"/>
      </a:schemeClr>
    </cs:lnRef>
    <cs:fillRef idx="1">
      <a:schemeClr val="bg1"/>
    </cs:fillRef>
    <cs:effectRef idx="0"/>
    <cs:fontRef idx="minor">
      <a:schemeClr val="tx1"/>
    </cs:fontRef>
    <cs:spPr>
      <a:ln>
        <a:round/>
      </a:ln>
    </cs:spPr>
    <cs:defRPr sz="1000" kern="1200"/>
  </cs:chartArea>
  <cs:dataLabel>
    <cs:lnRef idx="0"/>
    <cs:fillRef idx="0"/>
    <cs:effectRef idx="0"/>
    <cs:fontRef idx="minor">
      <a:schemeClr val="tx1"/>
    </cs:fontRef>
    <cs:defRPr sz="1000" kern="1200"/>
  </cs:dataLabel>
  <cs:dataLabelCallout>
    <cs:lnRef idx="0"/>
    <cs:fillRef idx="0"/>
    <cs:effectRef idx="0"/>
    <cs:fontRef idx="minor">
      <a:schemeClr val="dk1"/>
    </cs:fontRef>
    <cs:spPr>
      <a:solidFill>
        <a:schemeClr val="lt1"/>
      </a:solidFill>
      <a:ln>
        <a:solidFill>
          <a:schemeClr val="dk1">
            <a:lumMod val="65000"/>
            <a:lumOff val="35000"/>
          </a:schemeClr>
        </a:solidFill>
      </a:ln>
    </cs:spPr>
    <cs:defRPr sz="1000" kern="1200"/>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1">
      <cs:styleClr val="auto"/>
    </cs:lnRef>
    <cs:lineWidthScale>3</cs:lineWidthScale>
    <cs:fillRef idx="0"/>
    <cs:effectRef idx="0"/>
    <cs:fontRef idx="minor">
      <a:schemeClr val="tx1"/>
    </cs:fontRef>
    <cs:spPr>
      <a:ln cap="rnd">
        <a:round/>
      </a:ln>
    </cs:spPr>
  </cs:dataPointLine>
  <cs:dataPointMarker>
    <cs:lnRef idx="1">
      <cs:styleClr val="auto"/>
    </cs:lnRef>
    <cs:fillRef idx="1">
      <cs:styleClr val="auto"/>
    </cs:fillRef>
    <cs:effectRef idx="0"/>
    <cs:fontRef idx="minor">
      <a:schemeClr val="tx1"/>
    </cs:fontRef>
    <cs:spPr>
      <a:ln>
        <a:round/>
      </a:ln>
    </cs:spPr>
  </cs:dataPointMarker>
  <cs:dataPointMarkerLayout/>
  <cs:dataPointWireframe>
    <cs:lnRef idx="1">
      <cs:styleClr val="auto"/>
    </cs:lnRef>
    <cs:fillRef idx="0"/>
    <cs:effectRef idx="0"/>
    <cs:fontRef idx="minor">
      <a:schemeClr val="tx1"/>
    </cs:fontRef>
    <cs:spPr>
      <a:ln>
        <a:round/>
      </a:ln>
    </cs:spPr>
  </cs:dataPointWireframe>
  <cs:dataTable>
    <cs:lnRef idx="1">
      <a:schemeClr val="tx1">
        <a:tint val="75000"/>
      </a:schemeClr>
    </cs:lnRef>
    <cs:fillRef idx="0"/>
    <cs:effectRef idx="0"/>
    <cs:fontRef idx="minor">
      <a:schemeClr val="tx1"/>
    </cs:fontRef>
    <cs:spPr>
      <a:ln>
        <a:round/>
      </a:ln>
    </cs:spPr>
    <cs:defRPr sz="1000" kern="1200"/>
  </cs:dataTable>
  <cs:downBar>
    <cs:lnRef idx="1">
      <a:schemeClr val="tx1"/>
    </cs:lnRef>
    <cs:fillRef idx="1">
      <a:schemeClr val="dk1">
        <a:tint val="95000"/>
      </a:schemeClr>
    </cs:fillRef>
    <cs:effectRef idx="0"/>
    <cs:fontRef idx="minor">
      <a:schemeClr val="tx1"/>
    </cs:fontRef>
    <cs:spPr>
      <a:ln>
        <a:round/>
      </a:ln>
    </cs:spPr>
  </cs:downBar>
  <cs:dropLine>
    <cs:lnRef idx="1">
      <a:schemeClr val="tx1"/>
    </cs:lnRef>
    <cs:fillRef idx="0"/>
    <cs:effectRef idx="0"/>
    <cs:fontRef idx="minor">
      <a:schemeClr val="tx1"/>
    </cs:fontRef>
    <cs:spPr>
      <a:ln>
        <a:round/>
      </a:ln>
    </cs:spPr>
  </cs:dropLine>
  <cs:errorBar>
    <cs:lnRef idx="1">
      <a:schemeClr val="tx1"/>
    </cs:lnRef>
    <cs:fillRef idx="1">
      <a:schemeClr val="tx1"/>
    </cs:fillRef>
    <cs:effectRef idx="0"/>
    <cs:fontRef idx="minor">
      <a:schemeClr val="tx1"/>
    </cs:fontRef>
    <cs:spPr>
      <a:ln>
        <a:round/>
      </a:ln>
    </cs:spPr>
  </cs:errorBar>
  <cs:floor>
    <cs:lnRef idx="1">
      <a:schemeClr val="tx1">
        <a:tint val="75000"/>
      </a:schemeClr>
    </cs:lnRef>
    <cs:fillRef idx="0"/>
    <cs:effectRef idx="0"/>
    <cs:fontRef idx="minor">
      <a:schemeClr val="tx1"/>
    </cs:fontRef>
    <cs:spPr>
      <a:ln>
        <a:round/>
      </a:ln>
    </cs:spPr>
  </cs:floor>
  <cs:gridlineMajor>
    <cs:lnRef idx="1">
      <a:schemeClr val="tx1">
        <a:tint val="75000"/>
      </a:schemeClr>
    </cs:lnRef>
    <cs:fillRef idx="0"/>
    <cs:effectRef idx="0"/>
    <cs:fontRef idx="minor">
      <a:schemeClr val="tx1"/>
    </cs:fontRef>
    <cs:spPr>
      <a:ln>
        <a:round/>
      </a:ln>
    </cs:spPr>
  </cs:gridlineMajor>
  <cs:gridlineMinor>
    <cs:lnRef idx="1">
      <a:schemeClr val="tx1">
        <a:tint val="50000"/>
      </a:schemeClr>
    </cs:lnRef>
    <cs:fillRef idx="0"/>
    <cs:effectRef idx="0"/>
    <cs:fontRef idx="minor">
      <a:schemeClr val="tx1"/>
    </cs:fontRef>
    <cs:spPr>
      <a:ln>
        <a:round/>
      </a:ln>
    </cs:spPr>
  </cs:gridlineMinor>
  <cs:hiLoLine>
    <cs:lnRef idx="1">
      <a:schemeClr val="tx1"/>
    </cs:lnRef>
    <cs:fillRef idx="0"/>
    <cs:effectRef idx="0"/>
    <cs:fontRef idx="minor">
      <a:schemeClr val="tx1"/>
    </cs:fontRef>
    <cs:spPr>
      <a:ln>
        <a:round/>
      </a:ln>
    </cs:spPr>
  </cs:hiLoLine>
  <cs:leaderLine>
    <cs:lnRef idx="1">
      <a:schemeClr val="tx1"/>
    </cs:lnRef>
    <cs:fillRef idx="0"/>
    <cs:effectRef idx="0"/>
    <cs:fontRef idx="minor">
      <a:schemeClr val="tx1"/>
    </cs:fontRef>
    <cs:spPr>
      <a:ln>
        <a:round/>
      </a:ln>
    </cs:spPr>
  </cs:leaderLine>
  <cs:legend>
    <cs:lnRef idx="0"/>
    <cs:fillRef idx="0"/>
    <cs:effectRef idx="0"/>
    <cs:fontRef idx="minor">
      <a:schemeClr val="tx1"/>
    </cs:fontRef>
    <cs:defRPr sz="1000" kern="1200"/>
  </cs:legend>
  <cs:plotArea mods="allowNoFillOverride allowNoLineOverride">
    <cs:lnRef idx="0"/>
    <cs:fillRef idx="1">
      <a:schemeClr val="bg1"/>
    </cs:fillRef>
    <cs:effectRef idx="0"/>
    <cs:fontRef idx="minor">
      <a:schemeClr val="tx1"/>
    </cs:fontRef>
  </cs:plotArea>
  <cs:plotArea3D>
    <cs:lnRef idx="0"/>
    <cs:fillRef idx="0"/>
    <cs:effectRef idx="0"/>
    <cs:fontRef idx="minor">
      <a:schemeClr val="tx1"/>
    </cs:fontRef>
  </cs:plotArea3D>
  <cs:seriesAxis>
    <cs:lnRef idx="1">
      <a:schemeClr val="tx1">
        <a:tint val="75000"/>
      </a:schemeClr>
    </cs:lnRef>
    <cs:fillRef idx="0"/>
    <cs:effectRef idx="0"/>
    <cs:fontRef idx="minor">
      <a:schemeClr val="tx1"/>
    </cs:fontRef>
    <cs:spPr>
      <a:ln>
        <a:round/>
      </a:ln>
    </cs:spPr>
    <cs:defRPr sz="1000" kern="1200"/>
  </cs:seriesAxis>
  <cs:seriesLine>
    <cs:lnRef idx="1">
      <a:schemeClr val="tx1"/>
    </cs:lnRef>
    <cs:fillRef idx="0"/>
    <cs:effectRef idx="0"/>
    <cs:fontRef idx="minor">
      <a:schemeClr val="tx1"/>
    </cs:fontRef>
    <cs:spPr>
      <a:ln>
        <a:round/>
      </a:ln>
    </cs:spPr>
  </cs:seriesLine>
  <cs:title>
    <cs:lnRef idx="0"/>
    <cs:fillRef idx="0"/>
    <cs:effectRef idx="0"/>
    <cs:fontRef idx="minor">
      <a:schemeClr val="tx1"/>
    </cs:fontRef>
    <cs:defRPr sz="1800" b="1" kern="1200"/>
  </cs:title>
  <cs:trendline>
    <cs:lnRef idx="1">
      <a:schemeClr val="tx1"/>
    </cs:lnRef>
    <cs:fillRef idx="0"/>
    <cs:effectRef idx="0"/>
    <cs:fontRef idx="minor">
      <a:schemeClr val="tx1"/>
    </cs:fontRef>
    <cs:spPr>
      <a:ln cap="rnd">
        <a:round/>
      </a:ln>
    </cs:spPr>
  </cs:trendline>
  <cs:trendlineLabel>
    <cs:lnRef idx="0"/>
    <cs:fillRef idx="0"/>
    <cs:effectRef idx="0"/>
    <cs:fontRef idx="minor">
      <a:schemeClr val="tx1"/>
    </cs:fontRef>
    <cs:defRPr sz="1000" kern="1200"/>
  </cs:trendlineLabel>
  <cs:upBar>
    <cs:lnRef idx="1">
      <a:schemeClr val="tx1"/>
    </cs:lnRef>
    <cs:fillRef idx="1">
      <a:schemeClr val="dk1">
        <a:tint val="5000"/>
      </a:schemeClr>
    </cs:fillRef>
    <cs:effectRef idx="0"/>
    <cs:fontRef idx="minor">
      <a:schemeClr val="tx1"/>
    </cs:fontRef>
    <cs:spPr>
      <a:ln>
        <a:round/>
      </a:ln>
    </cs:spPr>
  </cs:upBar>
  <cs:valueAxis>
    <cs:lnRef idx="1">
      <a:schemeClr val="tx1">
        <a:tint val="75000"/>
      </a:schemeClr>
    </cs:lnRef>
    <cs:fillRef idx="0"/>
    <cs:effectRef idx="0"/>
    <cs:fontRef idx="minor">
      <a:schemeClr val="tx1"/>
    </cs:fontRef>
    <cs:spPr>
      <a:ln>
        <a:round/>
      </a:ln>
    </cs:spPr>
    <cs:defRPr sz="1000" kern="1200"/>
  </cs:valueAxis>
  <cs:wall>
    <cs:lnRef idx="0"/>
    <cs:fillRef idx="0"/>
    <cs:effectRef idx="0"/>
    <cs:fontRef idx="minor">
      <a:schemeClr val="tx1"/>
    </cs:fontRef>
  </cs:wall>
</cs:chartStyle>
</file>

<file path=word/theme/theme1.xml><?xml version="1.0" encoding="utf-8"?>
<a:theme xmlns:a="http://schemas.openxmlformats.org/drawingml/2006/main" name="Office Theme">
  <a:themeElements>
    <a:clrScheme name="AECOM">
      <a:dk1>
        <a:sysClr val="windowText" lastClr="000000"/>
      </a:dk1>
      <a:lt1>
        <a:sysClr val="window" lastClr="FFFFFF"/>
      </a:lt1>
      <a:dk2>
        <a:srgbClr val="000000"/>
      </a:dk2>
      <a:lt2>
        <a:srgbClr val="FFFFFF"/>
      </a:lt2>
      <a:accent1>
        <a:srgbClr val="00B5E2"/>
      </a:accent1>
      <a:accent2>
        <a:srgbClr val="84BD00"/>
      </a:accent2>
      <a:accent3>
        <a:srgbClr val="F68B1F"/>
      </a:accent3>
      <a:accent4>
        <a:srgbClr val="9E007E"/>
      </a:accent4>
      <a:accent5>
        <a:srgbClr val="FFE512"/>
      </a:accent5>
      <a:accent6>
        <a:srgbClr val="8C8279"/>
      </a:accent6>
      <a:hlink>
        <a:srgbClr val="63C1DF"/>
      </a:hlink>
      <a:folHlink>
        <a:srgbClr val="9C0880"/>
      </a:folHlink>
    </a:clrScheme>
    <a:fontScheme name="AECOM Arial">
      <a:majorFont>
        <a:latin typeface="Arial"/>
        <a:ea typeface=""/>
        <a:cs typeface=""/>
      </a:majorFont>
      <a:minorFont>
        <a:latin typeface="Arial"/>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6.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7.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8.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9.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FF7A7AF-8167-4B21-AB81-42046A3A411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AECOM_Report</Template>
  <TotalTime>3294</TotalTime>
  <Pages>37</Pages>
  <Words>10769</Words>
  <Characters>61384</Characters>
  <Application>Microsoft Office Word</Application>
  <DocSecurity>0</DocSecurity>
  <Lines>511</Lines>
  <Paragraphs>144</Paragraphs>
  <ScaleCrop>false</ScaleCrop>
  <HeadingPairs>
    <vt:vector size="2" baseType="variant">
      <vt:variant>
        <vt:lpstr>Title</vt:lpstr>
      </vt:variant>
      <vt:variant>
        <vt:i4>1</vt:i4>
      </vt:variant>
    </vt:vector>
  </HeadingPairs>
  <TitlesOfParts>
    <vt:vector size="1" baseType="lpstr">
      <vt:lpstr>Texas Water Development Board 2D BLE</vt:lpstr>
    </vt:vector>
  </TitlesOfParts>
  <Company>AECOM</Company>
  <LinksUpToDate>false</LinksUpToDate>
  <CharactersWithSpaces>72009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Texas Water Development Board 2D BLE</dc:title>
  <dc:subject>Texas Water Development Water Board</dc:subject>
  <dc:creator>Samagra.Rana@aecom.com</dc:creator>
  <cp:keywords>Project ref:   Project number:</cp:keywords>
  <cp:lastModifiedBy>Rana, Samagra</cp:lastModifiedBy>
  <cp:revision>80</cp:revision>
  <cp:lastPrinted>2022-09-01T04:23:00Z</cp:lastPrinted>
  <dcterms:created xsi:type="dcterms:W3CDTF">2022-07-14T20:18:00Z</dcterms:created>
  <dcterms:modified xsi:type="dcterms:W3CDTF">2022-09-01T04:24:00Z</dcterms:modified>
  <cp:category>Report</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emplate">
    <vt:lpwstr>AECOM_Report</vt:lpwstr>
  </property>
  <property fmtid="{D5CDD505-2E9C-101B-9397-08002B2CF9AE}" pid="3" name="TemplateVersion">
    <vt:lpwstr>2.4</vt:lpwstr>
  </property>
  <property fmtid="{D5CDD505-2E9C-101B-9397-08002B2CF9AE}" pid="4" name="HeaderTitle">
    <vt:lpwstr>Verdigris Custom Watershed</vt:lpwstr>
  </property>
  <property fmtid="{D5CDD505-2E9C-101B-9397-08002B2CF9AE}" pid="5" name="ProtectiveMarking">
    <vt:lpwstr/>
  </property>
  <property fmtid="{D5CDD505-2E9C-101B-9397-08002B2CF9AE}" pid="6" name="HeaderClient">
    <vt:lpwstr> </vt:lpwstr>
  </property>
  <property fmtid="{D5CDD505-2E9C-101B-9397-08002B2CF9AE}" pid="7" name="AdditionalCompanyName">
    <vt:lpwstr/>
  </property>
  <property fmtid="{D5CDD505-2E9C-101B-9397-08002B2CF9AE}" pid="8" name="ClientName">
    <vt:lpwstr>Kansas Department of Agriculture Division of Water Resources</vt:lpwstr>
  </property>
  <property fmtid="{D5CDD505-2E9C-101B-9397-08002B2CF9AE}" pid="9" name="TenderStage">
    <vt:lpwstr/>
  </property>
  <property fmtid="{D5CDD505-2E9C-101B-9397-08002B2CF9AE}" pid="10" name="ProjectRef">
    <vt:lpwstr> </vt:lpwstr>
  </property>
  <property fmtid="{D5CDD505-2E9C-101B-9397-08002B2CF9AE}" pid="11" name="ProjectNumber">
    <vt:lpwstr> </vt:lpwstr>
  </property>
  <property fmtid="{D5CDD505-2E9C-101B-9397-08002B2CF9AE}" pid="12" name="CopyNo">
    <vt:lpwstr>&lt;CopyNo&gt;</vt:lpwstr>
  </property>
  <property fmtid="{D5CDD505-2E9C-101B-9397-08002B2CF9AE}" pid="13" name="CopyNoTotal">
    <vt:lpwstr>&lt;CopyNoTotal&gt;</vt:lpwstr>
  </property>
  <property fmtid="{D5CDD505-2E9C-101B-9397-08002B2CF9AE}" pid="14" name="SupplementaryTitle">
    <vt:lpwstr>XZY Model Hydrology and Hydraulics</vt:lpwstr>
  </property>
  <property fmtid="{D5CDD505-2E9C-101B-9397-08002B2CF9AE}" pid="15" name="Subtitle">
    <vt:lpwstr>2D Base Level Engineering</vt:lpwstr>
  </property>
  <property fmtid="{D5CDD505-2E9C-101B-9397-08002B2CF9AE}" pid="16" name="DocumentReference">
    <vt:lpwstr/>
  </property>
  <property fmtid="{D5CDD505-2E9C-101B-9397-08002B2CF9AE}" pid="17" name="Date">
    <vt:lpwstr>April 8, 2019</vt:lpwstr>
  </property>
  <property fmtid="{D5CDD505-2E9C-101B-9397-08002B2CF9AE}" pid="18" name="Copies">
    <vt:lpwstr/>
  </property>
  <property fmtid="{D5CDD505-2E9C-101B-9397-08002B2CF9AE}" pid="19" name="ProjectRefSlash">
    <vt:lpwstr> / </vt:lpwstr>
  </property>
  <property fmtid="{D5CDD505-2E9C-101B-9397-08002B2CF9AE}" pid="20" name="DocumentTitle">
    <vt:lpwstr>Verdigris Custom Watershed</vt:lpwstr>
  </property>
  <property fmtid="{D5CDD505-2E9C-101B-9397-08002B2CF9AE}" pid="21" name="FooterClientAddress">
    <vt:lpwstr/>
  </property>
  <property fmtid="{D5CDD505-2E9C-101B-9397-08002B2CF9AE}" pid="22" name="ClientNumber">
    <vt:lpwstr/>
  </property>
  <property fmtid="{D5CDD505-2E9C-101B-9397-08002B2CF9AE}" pid="23" name="Draft">
    <vt:lpwstr> </vt:lpwstr>
  </property>
  <property fmtid="{D5CDD505-2E9C-101B-9397-08002B2CF9AE}" pid="24" name="AccreditationText">
    <vt:lpwstr/>
  </property>
  <property fmtid="{D5CDD505-2E9C-101B-9397-08002B2CF9AE}" pid="25" name="GreenInitiative">
    <vt:lpwstr/>
  </property>
  <property fmtid="{D5CDD505-2E9C-101B-9397-08002B2CF9AE}" pid="26" name="PreparedBy">
    <vt:lpwstr>&lt;PreparedBy&gt;</vt:lpwstr>
  </property>
  <property fmtid="{D5CDD505-2E9C-101B-9397-08002B2CF9AE}" pid="27" name="ShowFilePath">
    <vt:lpwstr>0</vt:lpwstr>
  </property>
  <property fmtid="{D5CDD505-2E9C-101B-9397-08002B2CF9AE}" pid="28" name="PreparedFor">
    <vt:lpwstr>Prepared for: </vt:lpwstr>
  </property>
  <property fmtid="{D5CDD505-2E9C-101B-9397-08002B2CF9AE}" pid="29" name="InAssociationWith">
    <vt:lpwstr> </vt:lpwstr>
  </property>
  <property fmtid="{D5CDD505-2E9C-101B-9397-08002B2CF9AE}" pid="30" name="ShowFileName">
    <vt:lpwstr>0</vt:lpwstr>
  </property>
</Properties>
</file>